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575001pt;margin-top:49.174999pt;width:485.85pt;height:.1pt;mso-position-horizontal-relative:page;mso-position-vertical-relative:page;z-index:0" coordorigin="1112,983" coordsize="9717,2">
            <v:shape style="position:absolute;left:1112;top:983;width:9717;height:2" coordorigin="1112,983" coordsize="9717,0" path="m1112,983l10829,983e" filled="false" stroked="true" strokeweight=".75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7"/>
          <w:szCs w:val="17"/>
        </w:rPr>
      </w:pPr>
    </w:p>
    <w:p>
      <w:pPr>
        <w:spacing w:line="570" w:lineRule="exact"/>
        <w:ind w:left="384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drawing>
          <wp:inline distT="0" distB="0" distL="0" distR="0">
            <wp:extent cx="1409700" cy="36195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09700" cy="361950"/>
                    </a:xfrm>
                    <a:prstGeom prst="rect">
                      <a:avLst/>
                    </a:prstGeom>
                  </pic:spPr>
                </pic:pic>
              </a:graphicData>
            </a:graphic>
          </wp:inline>
        </w:drawing>
      </w:r>
      <w:r>
        <w:rPr>
          <w:rFonts w:ascii="Times New Roman" w:hAnsi="Times New Roman" w:cs="Times New Roman" w:eastAsia="Times New Roman" w:hint="default"/>
          <w:position w:val="-10"/>
          <w:sz w:val="20"/>
          <w:szCs w:val="20"/>
        </w:rPr>
      </w:r>
    </w:p>
    <w:p>
      <w:pPr>
        <w:spacing w:line="240" w:lineRule="auto" w:before="11"/>
        <w:rPr>
          <w:rFonts w:ascii="Times New Roman" w:hAnsi="Times New Roman" w:cs="Times New Roman" w:eastAsia="Times New Roman" w:hint="default"/>
          <w:sz w:val="12"/>
          <w:szCs w:val="12"/>
        </w:rPr>
      </w:pPr>
    </w:p>
    <w:p>
      <w:pPr>
        <w:spacing w:line="460" w:lineRule="exact" w:before="0"/>
        <w:ind w:left="2782" w:right="3750" w:firstLine="0"/>
        <w:jc w:val="center"/>
        <w:rPr>
          <w:rFonts w:ascii="宋体" w:hAnsi="宋体" w:cs="宋体" w:eastAsia="宋体" w:hint="default"/>
          <w:sz w:val="36"/>
          <w:szCs w:val="36"/>
        </w:rPr>
      </w:pPr>
      <w:r>
        <w:rPr>
          <w:rFonts w:ascii="宋体" w:hAnsi="宋体" w:cs="宋体" w:eastAsia="宋体" w:hint="default"/>
          <w:b/>
          <w:bCs/>
          <w:sz w:val="36"/>
          <w:szCs w:val="36"/>
        </w:rPr>
        <w:t>飞天诚信科技股份有限公司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2"/>
          <w:szCs w:val="32"/>
        </w:rPr>
      </w:pPr>
    </w:p>
    <w:p>
      <w:pPr>
        <w:spacing w:before="0"/>
        <w:ind w:left="2782" w:right="3749" w:firstLine="0"/>
        <w:jc w:val="center"/>
        <w:rPr>
          <w:rFonts w:ascii="宋体" w:hAnsi="宋体" w:cs="宋体" w:eastAsia="宋体" w:hint="default"/>
          <w:sz w:val="31"/>
          <w:szCs w:val="31"/>
        </w:rPr>
      </w:pPr>
      <w:r>
        <w:rPr>
          <w:rFonts w:ascii="Times New Roman" w:hAnsi="Times New Roman" w:cs="Times New Roman" w:eastAsia="Times New Roman" w:hint="default"/>
          <w:b/>
          <w:bCs/>
          <w:spacing w:val="4"/>
          <w:sz w:val="31"/>
          <w:szCs w:val="31"/>
        </w:rPr>
        <w:t>2019</w:t>
      </w:r>
      <w:r>
        <w:rPr>
          <w:rFonts w:ascii="Times New Roman" w:hAnsi="Times New Roman" w:cs="Times New Roman" w:eastAsia="Times New Roman" w:hint="default"/>
          <w:b/>
          <w:bCs/>
          <w:spacing w:val="30"/>
          <w:sz w:val="31"/>
          <w:szCs w:val="31"/>
        </w:rPr>
        <w:t> </w:t>
      </w:r>
      <w:r>
        <w:rPr>
          <w:rFonts w:ascii="宋体" w:hAnsi="宋体" w:cs="宋体" w:eastAsia="宋体" w:hint="default"/>
          <w:b/>
          <w:bCs/>
          <w:spacing w:val="5"/>
          <w:sz w:val="31"/>
          <w:szCs w:val="31"/>
        </w:rPr>
        <w:t>年年度报告</w:t>
      </w:r>
      <w:r>
        <w:rPr>
          <w:rFonts w:ascii="宋体" w:hAnsi="宋体" w:cs="宋体" w:eastAsia="宋体" w:hint="default"/>
          <w:spacing w:val="5"/>
          <w:sz w:val="31"/>
          <w:szCs w:val="31"/>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1"/>
        <w:rPr>
          <w:rFonts w:ascii="宋体" w:hAnsi="宋体" w:cs="宋体" w:eastAsia="宋体" w:hint="default"/>
          <w:b/>
          <w:bCs/>
          <w:sz w:val="41"/>
          <w:szCs w:val="41"/>
        </w:rPr>
      </w:pPr>
    </w:p>
    <w:p>
      <w:pPr>
        <w:spacing w:before="0"/>
        <w:ind w:left="2782" w:right="3749" w:firstLine="0"/>
        <w:jc w:val="center"/>
        <w:rPr>
          <w:rFonts w:ascii="宋体" w:hAnsi="宋体" w:cs="宋体" w:eastAsia="宋体" w:hint="default"/>
          <w:sz w:val="31"/>
          <w:szCs w:val="31"/>
        </w:rPr>
      </w:pPr>
      <w:r>
        <w:rPr>
          <w:rFonts w:ascii="Times New Roman" w:hAnsi="Times New Roman" w:cs="Times New Roman" w:eastAsia="Times New Roman" w:hint="default"/>
          <w:b/>
          <w:bCs/>
          <w:spacing w:val="4"/>
          <w:sz w:val="31"/>
          <w:szCs w:val="31"/>
        </w:rPr>
        <w:t>2020 </w:t>
      </w:r>
      <w:r>
        <w:rPr>
          <w:rFonts w:ascii="宋体" w:hAnsi="宋体" w:cs="宋体" w:eastAsia="宋体" w:hint="default"/>
          <w:b/>
          <w:bCs/>
          <w:sz w:val="31"/>
          <w:szCs w:val="31"/>
        </w:rPr>
        <w:t>年 </w:t>
      </w:r>
      <w:r>
        <w:rPr>
          <w:rFonts w:ascii="Times New Roman" w:hAnsi="Times New Roman" w:cs="Times New Roman" w:eastAsia="Times New Roman" w:hint="default"/>
          <w:b/>
          <w:bCs/>
          <w:spacing w:val="3"/>
          <w:sz w:val="31"/>
          <w:szCs w:val="31"/>
        </w:rPr>
        <w:t>04</w:t>
      </w:r>
      <w:r>
        <w:rPr>
          <w:rFonts w:ascii="Times New Roman" w:hAnsi="Times New Roman" w:cs="Times New Roman" w:eastAsia="Times New Roman" w:hint="default"/>
          <w:b/>
          <w:bCs/>
          <w:spacing w:val="-45"/>
          <w:sz w:val="31"/>
          <w:szCs w:val="31"/>
        </w:rPr>
        <w:t> </w:t>
      </w:r>
      <w:r>
        <w:rPr>
          <w:rFonts w:ascii="宋体" w:hAnsi="宋体" w:cs="宋体" w:eastAsia="宋体" w:hint="default"/>
          <w:b/>
          <w:bCs/>
          <w:sz w:val="31"/>
          <w:szCs w:val="31"/>
        </w:rPr>
        <w:t>月</w:t>
      </w:r>
      <w:r>
        <w:rPr>
          <w:rFonts w:ascii="宋体" w:hAnsi="宋体" w:cs="宋体" w:eastAsia="宋体" w:hint="default"/>
          <w:sz w:val="31"/>
          <w:szCs w:val="31"/>
        </w:rPr>
      </w:r>
    </w:p>
    <w:p>
      <w:pPr>
        <w:spacing w:after="0"/>
        <w:jc w:val="center"/>
        <w:rPr>
          <w:rFonts w:ascii="宋体" w:hAnsi="宋体" w:cs="宋体" w:eastAsia="宋体" w:hint="default"/>
          <w:sz w:val="31"/>
          <w:szCs w:val="31"/>
        </w:rPr>
        <w:sectPr>
          <w:headerReference w:type="default" r:id="rId5"/>
          <w:footerReference w:type="default" r:id="rId6"/>
          <w:type w:val="continuous"/>
          <w:pgSz w:w="11910" w:h="16850"/>
          <w:pgMar w:header="731" w:footer="981" w:top="1040" w:bottom="1180" w:left="1000" w:right="0"/>
        </w:sectPr>
      </w:pPr>
    </w:p>
    <w:p>
      <w:pPr>
        <w:spacing w:line="240" w:lineRule="auto" w:before="2"/>
        <w:rPr>
          <w:rFonts w:ascii="宋体" w:hAnsi="宋体" w:cs="宋体" w:eastAsia="宋体" w:hint="default"/>
          <w:b/>
          <w:bCs/>
          <w:sz w:val="4"/>
          <w:szCs w:val="4"/>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86.6pt;height:.75pt;mso-position-horizontal-relative:char;mso-position-vertical-relative:line" coordorigin="0,0" coordsize="9732,15">
            <v:group style="position:absolute;left:8;top:8;width:9717;height:2" coordorigin="8,8" coordsize="9717,2">
              <v:shape style="position:absolute;left:8;top:8;width:9717;height:2" coordorigin="8,8" coordsize="9717,0" path="m8,8l9725,8e" filled="false" stroked="true" strokeweight=".75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8"/>
          <w:szCs w:val="18"/>
        </w:rPr>
      </w:pPr>
    </w:p>
    <w:p>
      <w:pPr>
        <w:pStyle w:val="Heading1"/>
        <w:spacing w:line="240" w:lineRule="auto"/>
        <w:ind w:left="2875" w:right="1100"/>
        <w:jc w:val="left"/>
        <w:rPr>
          <w:b w:val="0"/>
          <w:bCs w:val="0"/>
        </w:rPr>
      </w:pPr>
      <w:bookmarkStart w:name="第一节重要提示、目录和释义" w:id="1"/>
      <w:bookmarkEnd w:id="1"/>
      <w:r>
        <w:rPr>
          <w:b w:val="0"/>
          <w:bCs w:val="0"/>
        </w:rPr>
      </w:r>
      <w:bookmarkStart w:name="_bookmark0" w:id="2"/>
      <w:bookmarkEnd w:id="2"/>
      <w:r>
        <w:rPr>
          <w:b w:val="0"/>
          <w:bCs w:val="0"/>
        </w:rPr>
      </w:r>
      <w:r>
        <w:rPr>
          <w:spacing w:val="6"/>
        </w:rPr>
        <w:t>第一节重要提示、目录和释义</w:t>
      </w:r>
      <w:r>
        <w:rPr>
          <w:b w:val="0"/>
          <w:bCs w:val="0"/>
          <w:spacing w:val="6"/>
        </w:rPr>
      </w:r>
    </w:p>
    <w:p>
      <w:pPr>
        <w:spacing w:line="240" w:lineRule="auto" w:before="0"/>
        <w:rPr>
          <w:rFonts w:ascii="宋体" w:hAnsi="宋体" w:cs="宋体" w:eastAsia="宋体" w:hint="default"/>
          <w:b/>
          <w:bCs/>
          <w:sz w:val="32"/>
          <w:szCs w:val="32"/>
        </w:rPr>
      </w:pPr>
    </w:p>
    <w:p>
      <w:pPr>
        <w:spacing w:line="408" w:lineRule="auto" w:before="216"/>
        <w:ind w:left="141" w:right="1089" w:firstLine="555"/>
        <w:jc w:val="both"/>
        <w:rPr>
          <w:rFonts w:ascii="宋体" w:hAnsi="宋体" w:cs="宋体" w:eastAsia="宋体" w:hint="default"/>
          <w:sz w:val="28"/>
          <w:szCs w:val="28"/>
        </w:rPr>
      </w:pPr>
      <w:r>
        <w:rPr>
          <w:rFonts w:ascii="宋体" w:hAnsi="宋体" w:cs="宋体" w:eastAsia="宋体" w:hint="default"/>
          <w:b/>
          <w:bCs/>
          <w:spacing w:val="-1"/>
          <w:sz w:val="28"/>
          <w:szCs w:val="28"/>
        </w:rPr>
        <w:t>公司董事会、监事会及董事、监事、高级管理人员保证年度报告内容的真</w:t>
      </w:r>
      <w:r>
        <w:rPr>
          <w:rFonts w:ascii="宋体" w:hAnsi="宋体" w:cs="宋体" w:eastAsia="宋体" w:hint="default"/>
          <w:b/>
          <w:bCs/>
          <w:w w:val="101"/>
          <w:sz w:val="28"/>
          <w:szCs w:val="28"/>
        </w:rPr>
        <w:t> </w:t>
      </w:r>
      <w:r>
        <w:rPr>
          <w:rFonts w:ascii="宋体" w:hAnsi="宋体" w:cs="宋体" w:eastAsia="宋体" w:hint="default"/>
          <w:b/>
          <w:bCs/>
          <w:spacing w:val="-1"/>
          <w:sz w:val="28"/>
          <w:szCs w:val="28"/>
        </w:rPr>
        <w:t>实、准确、完整，不存在虚假记载、误导性陈述或重大遗漏，并承担个别和连</w:t>
      </w:r>
      <w:r>
        <w:rPr>
          <w:rFonts w:ascii="宋体" w:hAnsi="宋体" w:cs="宋体" w:eastAsia="宋体" w:hint="default"/>
          <w:b/>
          <w:bCs/>
          <w:spacing w:val="10"/>
          <w:sz w:val="28"/>
          <w:szCs w:val="28"/>
        </w:rPr>
        <w:t> </w:t>
      </w:r>
      <w:r>
        <w:rPr>
          <w:rFonts w:ascii="宋体" w:hAnsi="宋体" w:cs="宋体" w:eastAsia="宋体" w:hint="default"/>
          <w:b/>
          <w:bCs/>
          <w:spacing w:val="10"/>
          <w:sz w:val="28"/>
          <w:szCs w:val="28"/>
        </w:rPr>
      </w:r>
      <w:r>
        <w:rPr>
          <w:rFonts w:ascii="宋体" w:hAnsi="宋体" w:cs="宋体" w:eastAsia="宋体" w:hint="default"/>
          <w:b/>
          <w:bCs/>
          <w:spacing w:val="-3"/>
          <w:sz w:val="28"/>
          <w:szCs w:val="28"/>
        </w:rPr>
        <w:t>带的法律责任。</w:t>
      </w:r>
      <w:r>
        <w:rPr>
          <w:rFonts w:ascii="宋体" w:hAnsi="宋体" w:cs="宋体" w:eastAsia="宋体" w:hint="default"/>
          <w:spacing w:val="-3"/>
          <w:sz w:val="28"/>
          <w:szCs w:val="28"/>
        </w:rPr>
      </w:r>
    </w:p>
    <w:p>
      <w:pPr>
        <w:spacing w:line="391" w:lineRule="auto" w:before="158"/>
        <w:ind w:left="141" w:right="1110" w:firstLine="555"/>
        <w:jc w:val="both"/>
        <w:rPr>
          <w:rFonts w:ascii="宋体" w:hAnsi="宋体" w:cs="宋体" w:eastAsia="宋体" w:hint="default"/>
          <w:sz w:val="28"/>
          <w:szCs w:val="28"/>
        </w:rPr>
      </w:pPr>
      <w:r>
        <w:rPr>
          <w:rFonts w:ascii="宋体" w:hAnsi="宋体" w:cs="宋体" w:eastAsia="宋体" w:hint="default"/>
          <w:b/>
          <w:bCs/>
          <w:spacing w:val="-5"/>
          <w:sz w:val="28"/>
          <w:szCs w:val="28"/>
        </w:rPr>
        <w:t>公司负责人黄煜、主管会计工作负责人朱宝祥及会计机构负责人</w:t>
      </w:r>
      <w:r>
        <w:rPr>
          <w:rFonts w:ascii="Times New Roman" w:hAnsi="Times New Roman" w:cs="Times New Roman" w:eastAsia="Times New Roman" w:hint="default"/>
          <w:b/>
          <w:bCs/>
          <w:spacing w:val="-5"/>
          <w:sz w:val="28"/>
          <w:szCs w:val="28"/>
        </w:rPr>
        <w:t>(</w:t>
      </w:r>
      <w:r>
        <w:rPr>
          <w:rFonts w:ascii="宋体" w:hAnsi="宋体" w:cs="宋体" w:eastAsia="宋体" w:hint="default"/>
          <w:b/>
          <w:bCs/>
          <w:spacing w:val="-5"/>
          <w:sz w:val="28"/>
          <w:szCs w:val="28"/>
        </w:rPr>
        <w:t>会计主管</w:t>
      </w:r>
      <w:r>
        <w:rPr>
          <w:rFonts w:ascii="宋体" w:hAnsi="宋体" w:cs="宋体" w:eastAsia="宋体" w:hint="default"/>
          <w:b/>
          <w:bCs/>
          <w:w w:val="101"/>
          <w:sz w:val="28"/>
          <w:szCs w:val="28"/>
        </w:rPr>
        <w:t> </w:t>
      </w:r>
      <w:r>
        <w:rPr>
          <w:rFonts w:ascii="宋体" w:hAnsi="宋体" w:cs="宋体" w:eastAsia="宋体" w:hint="default"/>
          <w:b/>
          <w:bCs/>
          <w:spacing w:val="-4"/>
          <w:sz w:val="28"/>
          <w:szCs w:val="28"/>
        </w:rPr>
        <w:t>人员</w:t>
      </w:r>
      <w:r>
        <w:rPr>
          <w:rFonts w:ascii="Times New Roman" w:hAnsi="Times New Roman" w:cs="Times New Roman" w:eastAsia="Times New Roman" w:hint="default"/>
          <w:b/>
          <w:bCs/>
          <w:spacing w:val="-4"/>
          <w:sz w:val="28"/>
          <w:szCs w:val="28"/>
        </w:rPr>
        <w:t>)</w:t>
      </w:r>
      <w:r>
        <w:rPr>
          <w:rFonts w:ascii="宋体" w:hAnsi="宋体" w:cs="宋体" w:eastAsia="宋体" w:hint="default"/>
          <w:b/>
          <w:bCs/>
          <w:spacing w:val="-4"/>
          <w:sz w:val="28"/>
          <w:szCs w:val="28"/>
        </w:rPr>
        <w:t>石井平声明：保证年度报告中财务报告的真实、准确、完整。</w:t>
      </w:r>
      <w:r>
        <w:rPr>
          <w:rFonts w:ascii="宋体" w:hAnsi="宋体" w:cs="宋体" w:eastAsia="宋体" w:hint="default"/>
          <w:spacing w:val="-4"/>
          <w:sz w:val="28"/>
          <w:szCs w:val="28"/>
        </w:rPr>
      </w:r>
    </w:p>
    <w:p>
      <w:pPr>
        <w:spacing w:before="138"/>
        <w:ind w:left="696" w:right="1100" w:firstLine="0"/>
        <w:jc w:val="left"/>
        <w:rPr>
          <w:rFonts w:ascii="宋体" w:hAnsi="宋体" w:cs="宋体" w:eastAsia="宋体" w:hint="default"/>
          <w:sz w:val="28"/>
          <w:szCs w:val="28"/>
        </w:rPr>
      </w:pPr>
      <w:r>
        <w:rPr>
          <w:rFonts w:ascii="宋体" w:hAnsi="宋体" w:cs="宋体" w:eastAsia="宋体" w:hint="default"/>
          <w:b/>
          <w:bCs/>
          <w:spacing w:val="-4"/>
          <w:sz w:val="28"/>
          <w:szCs w:val="28"/>
        </w:rPr>
        <w:t>所有董事均已出席了审议本报告的董事会会议。</w:t>
      </w:r>
      <w:r>
        <w:rPr>
          <w:rFonts w:ascii="宋体" w:hAnsi="宋体" w:cs="宋体" w:eastAsia="宋体" w:hint="default"/>
          <w:spacing w:val="-4"/>
          <w:sz w:val="28"/>
          <w:szCs w:val="28"/>
        </w:rPr>
      </w:r>
    </w:p>
    <w:p>
      <w:pPr>
        <w:spacing w:line="240" w:lineRule="auto" w:before="1"/>
        <w:rPr>
          <w:rFonts w:ascii="宋体" w:hAnsi="宋体" w:cs="宋体" w:eastAsia="宋体" w:hint="default"/>
          <w:b/>
          <w:bCs/>
          <w:sz w:val="27"/>
          <w:szCs w:val="27"/>
        </w:rPr>
      </w:pPr>
    </w:p>
    <w:p>
      <w:pPr>
        <w:spacing w:line="456" w:lineRule="auto" w:before="0"/>
        <w:ind w:left="696" w:right="110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(1) </w:t>
      </w:r>
      <w:r>
        <w:rPr>
          <w:rFonts w:ascii="Times New Roman" w:hAnsi="Times New Roman" w:cs="Times New Roman" w:eastAsia="Times New Roman" w:hint="default"/>
          <w:b/>
          <w:bCs/>
          <w:spacing w:val="-3"/>
          <w:sz w:val="28"/>
          <w:szCs w:val="28"/>
        </w:rPr>
        <w:t>USB </w:t>
      </w:r>
      <w:r>
        <w:rPr>
          <w:rFonts w:ascii="Times New Roman" w:hAnsi="Times New Roman" w:cs="Times New Roman" w:eastAsia="Times New Roman" w:hint="default"/>
          <w:b/>
          <w:bCs/>
          <w:spacing w:val="-5"/>
          <w:sz w:val="28"/>
          <w:szCs w:val="28"/>
        </w:rPr>
        <w:t>Key</w:t>
      </w:r>
      <w:r>
        <w:rPr>
          <w:rFonts w:ascii="宋体" w:hAnsi="宋体" w:cs="宋体" w:eastAsia="宋体" w:hint="default"/>
          <w:b/>
          <w:bCs/>
          <w:spacing w:val="-5"/>
          <w:sz w:val="28"/>
          <w:szCs w:val="28"/>
        </w:rPr>
        <w:t>、</w:t>
      </w:r>
      <w:r>
        <w:rPr>
          <w:rFonts w:ascii="Times New Roman" w:hAnsi="Times New Roman" w:cs="Times New Roman" w:eastAsia="Times New Roman" w:hint="default"/>
          <w:b/>
          <w:bCs/>
          <w:spacing w:val="-5"/>
          <w:sz w:val="28"/>
          <w:szCs w:val="28"/>
        </w:rPr>
        <w:t>OTP </w:t>
      </w:r>
      <w:r>
        <w:rPr>
          <w:rFonts w:ascii="宋体" w:hAnsi="宋体" w:cs="宋体" w:eastAsia="宋体" w:hint="default"/>
          <w:b/>
          <w:bCs/>
          <w:sz w:val="28"/>
          <w:szCs w:val="28"/>
        </w:rPr>
        <w:t>产品的市场饱和风险</w:t>
      </w:r>
      <w:r>
        <w:rPr>
          <w:rFonts w:ascii="宋体" w:hAnsi="宋体" w:cs="宋体" w:eastAsia="宋体" w:hint="default"/>
          <w:b/>
          <w:bCs/>
          <w:spacing w:val="-74"/>
          <w:sz w:val="28"/>
          <w:szCs w:val="28"/>
        </w:rPr>
        <w:t> </w:t>
      </w:r>
      <w:r>
        <w:rPr>
          <w:rFonts w:ascii="宋体" w:hAnsi="宋体" w:cs="宋体" w:eastAsia="宋体" w:hint="default"/>
          <w:b/>
          <w:bCs/>
          <w:spacing w:val="-74"/>
          <w:sz w:val="28"/>
          <w:szCs w:val="28"/>
        </w:rPr>
      </w:r>
      <w:r>
        <w:rPr>
          <w:rFonts w:ascii="宋体" w:hAnsi="宋体" w:cs="宋体" w:eastAsia="宋体" w:hint="default"/>
          <w:b/>
          <w:bCs/>
          <w:spacing w:val="-5"/>
          <w:sz w:val="28"/>
          <w:szCs w:val="28"/>
        </w:rPr>
        <w:t>公司的客户主要为银行，现阶段银行对 </w:t>
      </w:r>
      <w:r>
        <w:rPr>
          <w:rFonts w:ascii="Times New Roman" w:hAnsi="Times New Roman" w:cs="Times New Roman" w:eastAsia="Times New Roman" w:hint="default"/>
          <w:b/>
          <w:bCs/>
          <w:spacing w:val="-7"/>
          <w:sz w:val="28"/>
          <w:szCs w:val="28"/>
        </w:rPr>
        <w:t>USB  </w:t>
      </w:r>
      <w:r>
        <w:rPr>
          <w:rFonts w:ascii="Times New Roman" w:hAnsi="Times New Roman" w:cs="Times New Roman" w:eastAsia="Times New Roman" w:hint="default"/>
          <w:b/>
          <w:bCs/>
          <w:spacing w:val="-10"/>
          <w:sz w:val="28"/>
          <w:szCs w:val="28"/>
        </w:rPr>
        <w:t>Key</w:t>
      </w:r>
      <w:r>
        <w:rPr>
          <w:rFonts w:ascii="宋体" w:hAnsi="宋体" w:cs="宋体" w:eastAsia="宋体" w:hint="default"/>
          <w:b/>
          <w:bCs/>
          <w:spacing w:val="-10"/>
          <w:sz w:val="28"/>
          <w:szCs w:val="28"/>
        </w:rPr>
        <w:t>、</w:t>
      </w:r>
      <w:r>
        <w:rPr>
          <w:rFonts w:ascii="Times New Roman" w:hAnsi="Times New Roman" w:cs="Times New Roman" w:eastAsia="Times New Roman" w:hint="default"/>
          <w:b/>
          <w:bCs/>
          <w:spacing w:val="-10"/>
          <w:sz w:val="28"/>
          <w:szCs w:val="28"/>
        </w:rPr>
        <w:t>OTP</w:t>
      </w:r>
      <w:r>
        <w:rPr>
          <w:rFonts w:ascii="Times New Roman" w:hAnsi="Times New Roman" w:cs="Times New Roman" w:eastAsia="Times New Roman" w:hint="default"/>
          <w:b/>
          <w:bCs/>
          <w:spacing w:val="27"/>
          <w:sz w:val="28"/>
          <w:szCs w:val="28"/>
        </w:rPr>
        <w:t> </w:t>
      </w:r>
      <w:r>
        <w:rPr>
          <w:rFonts w:ascii="宋体" w:hAnsi="宋体" w:cs="宋体" w:eastAsia="宋体" w:hint="default"/>
          <w:b/>
          <w:bCs/>
          <w:sz w:val="28"/>
          <w:szCs w:val="28"/>
        </w:rPr>
        <w:t>等网银产品的需求</w:t>
      </w:r>
      <w:r>
        <w:rPr>
          <w:rFonts w:ascii="宋体" w:hAnsi="宋体" w:cs="宋体" w:eastAsia="宋体" w:hint="default"/>
          <w:sz w:val="28"/>
          <w:szCs w:val="28"/>
        </w:rPr>
      </w:r>
    </w:p>
    <w:p>
      <w:pPr>
        <w:spacing w:line="315" w:lineRule="exact" w:before="0"/>
        <w:ind w:left="141" w:right="1100" w:firstLine="0"/>
        <w:jc w:val="left"/>
        <w:rPr>
          <w:rFonts w:ascii="宋体" w:hAnsi="宋体" w:cs="宋体" w:eastAsia="宋体" w:hint="default"/>
          <w:sz w:val="28"/>
          <w:szCs w:val="28"/>
        </w:rPr>
      </w:pPr>
      <w:r>
        <w:rPr>
          <w:rFonts w:ascii="宋体" w:hAnsi="宋体" w:cs="宋体" w:eastAsia="宋体" w:hint="default"/>
          <w:b/>
          <w:bCs/>
          <w:sz w:val="28"/>
          <w:szCs w:val="28"/>
        </w:rPr>
        <w:t>逐渐下降，加之市场过度竞争，售价也呈下降趋势，从而很大程度影响公司的</w:t>
      </w:r>
      <w:r>
        <w:rPr>
          <w:rFonts w:ascii="宋体" w:hAnsi="宋体" w:cs="宋体" w:eastAsia="宋体" w:hint="default"/>
          <w:sz w:val="28"/>
          <w:szCs w:val="28"/>
        </w:rPr>
      </w:r>
    </w:p>
    <w:p>
      <w:pPr>
        <w:spacing w:line="240" w:lineRule="auto" w:before="2"/>
        <w:rPr>
          <w:rFonts w:ascii="宋体" w:hAnsi="宋体" w:cs="宋体" w:eastAsia="宋体" w:hint="default"/>
          <w:b/>
          <w:bCs/>
          <w:sz w:val="20"/>
          <w:szCs w:val="20"/>
        </w:rPr>
      </w:pPr>
    </w:p>
    <w:p>
      <w:pPr>
        <w:spacing w:before="0"/>
        <w:ind w:left="141" w:right="1100" w:firstLine="0"/>
        <w:jc w:val="left"/>
        <w:rPr>
          <w:rFonts w:ascii="宋体" w:hAnsi="宋体" w:cs="宋体" w:eastAsia="宋体" w:hint="default"/>
          <w:sz w:val="28"/>
          <w:szCs w:val="28"/>
        </w:rPr>
      </w:pPr>
      <w:r>
        <w:rPr>
          <w:rFonts w:ascii="宋体" w:hAnsi="宋体" w:cs="宋体" w:eastAsia="宋体" w:hint="default"/>
          <w:b/>
          <w:bCs/>
          <w:sz w:val="28"/>
          <w:szCs w:val="28"/>
        </w:rPr>
        <w:t>经营业绩。</w:t>
      </w:r>
      <w:r>
        <w:rPr>
          <w:rFonts w:ascii="宋体" w:hAnsi="宋体" w:cs="宋体" w:eastAsia="宋体" w:hint="default"/>
          <w:sz w:val="28"/>
          <w:szCs w:val="28"/>
        </w:rPr>
      </w:r>
    </w:p>
    <w:p>
      <w:pPr>
        <w:spacing w:line="240" w:lineRule="auto" w:before="1"/>
        <w:rPr>
          <w:rFonts w:ascii="宋体" w:hAnsi="宋体" w:cs="宋体" w:eastAsia="宋体" w:hint="default"/>
          <w:b/>
          <w:bCs/>
          <w:sz w:val="27"/>
          <w:szCs w:val="27"/>
        </w:rPr>
      </w:pPr>
    </w:p>
    <w:p>
      <w:pPr>
        <w:spacing w:line="412" w:lineRule="auto" w:before="0"/>
        <w:ind w:left="141" w:right="1105" w:firstLine="555"/>
        <w:jc w:val="both"/>
        <w:rPr>
          <w:rFonts w:ascii="宋体" w:hAnsi="宋体" w:cs="宋体" w:eastAsia="宋体" w:hint="default"/>
          <w:sz w:val="28"/>
          <w:szCs w:val="28"/>
        </w:rPr>
      </w:pPr>
      <w:r>
        <w:rPr>
          <w:rFonts w:ascii="宋体" w:hAnsi="宋体" w:cs="宋体" w:eastAsia="宋体" w:hint="default"/>
          <w:b/>
          <w:bCs/>
          <w:spacing w:val="-1"/>
          <w:sz w:val="28"/>
          <w:szCs w:val="28"/>
        </w:rPr>
        <w:t>为此，公司将在努力维护现有主营产品市场的同时，进行其他产品的研发</w:t>
      </w:r>
      <w:r>
        <w:rPr>
          <w:rFonts w:ascii="宋体" w:hAnsi="宋体" w:cs="宋体" w:eastAsia="宋体" w:hint="default"/>
          <w:b/>
          <w:bCs/>
          <w:w w:val="101"/>
          <w:sz w:val="28"/>
          <w:szCs w:val="28"/>
        </w:rPr>
        <w:t> </w:t>
      </w:r>
      <w:r>
        <w:rPr>
          <w:rFonts w:ascii="宋体" w:hAnsi="宋体" w:cs="宋体" w:eastAsia="宋体" w:hint="default"/>
          <w:b/>
          <w:bCs/>
          <w:spacing w:val="-4"/>
          <w:sz w:val="28"/>
          <w:szCs w:val="28"/>
        </w:rPr>
        <w:t>和市场开拓，以培育新的增长点。</w:t>
      </w:r>
      <w:r>
        <w:rPr>
          <w:rFonts w:ascii="宋体" w:hAnsi="宋体" w:cs="宋体" w:eastAsia="宋体" w:hint="default"/>
          <w:spacing w:val="-4"/>
          <w:sz w:val="28"/>
          <w:szCs w:val="28"/>
        </w:rPr>
      </w:r>
    </w:p>
    <w:p>
      <w:pPr>
        <w:spacing w:line="446" w:lineRule="auto" w:before="152"/>
        <w:ind w:left="696" w:right="110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 </w:t>
      </w:r>
      <w:r>
        <w:rPr>
          <w:rFonts w:ascii="宋体" w:hAnsi="宋体" w:cs="宋体" w:eastAsia="宋体" w:hint="default"/>
          <w:b/>
          <w:bCs/>
          <w:sz w:val="28"/>
          <w:szCs w:val="28"/>
        </w:rPr>
        <w:t>研发投入风险</w:t>
      </w:r>
      <w:r>
        <w:rPr>
          <w:rFonts w:ascii="宋体" w:hAnsi="宋体" w:cs="宋体" w:eastAsia="宋体" w:hint="default"/>
          <w:b/>
          <w:bCs/>
          <w:spacing w:val="-119"/>
          <w:sz w:val="28"/>
          <w:szCs w:val="28"/>
        </w:rPr>
        <w:t> </w:t>
      </w:r>
      <w:r>
        <w:rPr>
          <w:rFonts w:ascii="宋体" w:hAnsi="宋体" w:cs="宋体" w:eastAsia="宋体" w:hint="default"/>
          <w:b/>
          <w:bCs/>
          <w:spacing w:val="-1"/>
          <w:sz w:val="28"/>
          <w:szCs w:val="28"/>
        </w:rPr>
        <w:t>为了应对日益激烈的竞争，公司会通过加大研发投入来提高企业的创新能</w:t>
      </w:r>
      <w:r>
        <w:rPr>
          <w:rFonts w:ascii="宋体" w:hAnsi="宋体" w:cs="宋体" w:eastAsia="宋体" w:hint="default"/>
          <w:spacing w:val="-1"/>
          <w:sz w:val="28"/>
          <w:szCs w:val="28"/>
        </w:rPr>
      </w:r>
    </w:p>
    <w:p>
      <w:pPr>
        <w:spacing w:line="403" w:lineRule="auto" w:before="23"/>
        <w:ind w:left="141" w:right="1100" w:firstLine="0"/>
        <w:jc w:val="left"/>
        <w:rPr>
          <w:rFonts w:ascii="宋体" w:hAnsi="宋体" w:cs="宋体" w:eastAsia="宋体" w:hint="default"/>
          <w:sz w:val="28"/>
          <w:szCs w:val="28"/>
        </w:rPr>
      </w:pPr>
      <w:r>
        <w:rPr>
          <w:rFonts w:ascii="宋体" w:hAnsi="宋体" w:cs="宋体" w:eastAsia="宋体" w:hint="default"/>
          <w:b/>
          <w:bCs/>
          <w:spacing w:val="-1"/>
          <w:sz w:val="28"/>
          <w:szCs w:val="28"/>
        </w:rPr>
        <w:t>力，但研发活动存在着不确定性，加之研发人力成本不断增长，公司的整体研</w:t>
      </w:r>
      <w:r>
        <w:rPr>
          <w:rFonts w:ascii="宋体" w:hAnsi="宋体" w:cs="宋体" w:eastAsia="宋体" w:hint="default"/>
          <w:b/>
          <w:bCs/>
          <w:spacing w:val="10"/>
          <w:sz w:val="28"/>
          <w:szCs w:val="28"/>
        </w:rPr>
        <w:t> </w:t>
      </w:r>
      <w:r>
        <w:rPr>
          <w:rFonts w:ascii="宋体" w:hAnsi="宋体" w:cs="宋体" w:eastAsia="宋体" w:hint="default"/>
          <w:b/>
          <w:bCs/>
          <w:spacing w:val="10"/>
          <w:sz w:val="28"/>
          <w:szCs w:val="28"/>
        </w:rPr>
      </w:r>
      <w:r>
        <w:rPr>
          <w:rFonts w:ascii="宋体" w:hAnsi="宋体" w:cs="宋体" w:eastAsia="宋体" w:hint="default"/>
          <w:b/>
          <w:bCs/>
          <w:spacing w:val="-3"/>
          <w:sz w:val="28"/>
          <w:szCs w:val="28"/>
        </w:rPr>
        <w:t>发费用对盈利有较大影响。</w:t>
      </w:r>
      <w:r>
        <w:rPr>
          <w:rFonts w:ascii="宋体" w:hAnsi="宋体" w:cs="宋体" w:eastAsia="宋体" w:hint="default"/>
          <w:spacing w:val="-3"/>
          <w:sz w:val="28"/>
          <w:szCs w:val="28"/>
        </w:rPr>
      </w:r>
    </w:p>
    <w:p>
      <w:pPr>
        <w:spacing w:line="403" w:lineRule="auto" w:before="179"/>
        <w:ind w:left="141" w:right="1105" w:firstLine="555"/>
        <w:jc w:val="both"/>
        <w:rPr>
          <w:rFonts w:ascii="宋体" w:hAnsi="宋体" w:cs="宋体" w:eastAsia="宋体" w:hint="default"/>
          <w:sz w:val="28"/>
          <w:szCs w:val="28"/>
        </w:rPr>
      </w:pPr>
      <w:r>
        <w:rPr>
          <w:rFonts w:ascii="宋体" w:hAnsi="宋体" w:cs="宋体" w:eastAsia="宋体" w:hint="default"/>
          <w:b/>
          <w:bCs/>
          <w:spacing w:val="-1"/>
          <w:sz w:val="28"/>
          <w:szCs w:val="28"/>
        </w:rPr>
        <w:t>公司务求在研发前期进行详细的市场调研工作，提高对市场的判断能力；</w:t>
      </w:r>
      <w:r>
        <w:rPr>
          <w:rFonts w:ascii="宋体" w:hAnsi="宋体" w:cs="宋体" w:eastAsia="宋体" w:hint="default"/>
          <w:b/>
          <w:bCs/>
          <w:w w:val="101"/>
          <w:sz w:val="28"/>
          <w:szCs w:val="28"/>
        </w:rPr>
        <w:t> </w:t>
      </w:r>
      <w:r>
        <w:rPr>
          <w:rFonts w:ascii="宋体" w:hAnsi="宋体" w:cs="宋体" w:eastAsia="宋体" w:hint="default"/>
          <w:b/>
          <w:bCs/>
          <w:spacing w:val="-4"/>
          <w:sz w:val="28"/>
          <w:szCs w:val="28"/>
        </w:rPr>
        <w:t>在研发过程中严格管理开发进度和成效，最大限度的提高效率。</w:t>
      </w:r>
      <w:r>
        <w:rPr>
          <w:rFonts w:ascii="宋体" w:hAnsi="宋体" w:cs="宋体" w:eastAsia="宋体" w:hint="default"/>
          <w:spacing w:val="-4"/>
          <w:sz w:val="28"/>
          <w:szCs w:val="28"/>
        </w:rPr>
      </w:r>
    </w:p>
    <w:p>
      <w:pPr>
        <w:spacing w:after="0" w:line="403" w:lineRule="auto"/>
        <w:jc w:val="both"/>
        <w:rPr>
          <w:rFonts w:ascii="宋体" w:hAnsi="宋体" w:cs="宋体" w:eastAsia="宋体" w:hint="default"/>
          <w:sz w:val="28"/>
          <w:szCs w:val="28"/>
        </w:rPr>
        <w:sectPr>
          <w:footerReference w:type="default" r:id="rId8"/>
          <w:pgSz w:w="11910" w:h="16850"/>
          <w:pgMar w:footer="981" w:header="731" w:top="1040" w:bottom="1180" w:left="1000" w:right="0"/>
          <w:pgNumType w:start="2"/>
        </w:sectPr>
      </w:pPr>
    </w:p>
    <w:p>
      <w:pPr>
        <w:spacing w:line="240" w:lineRule="auto" w:before="2"/>
        <w:rPr>
          <w:rFonts w:ascii="宋体" w:hAnsi="宋体" w:cs="宋体" w:eastAsia="宋体" w:hint="default"/>
          <w:b/>
          <w:bCs/>
          <w:sz w:val="4"/>
          <w:szCs w:val="4"/>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86.6pt;height:.75pt;mso-position-horizontal-relative:char;mso-position-vertical-relative:line" coordorigin="0,0" coordsize="9732,15">
            <v:group style="position:absolute;left:8;top:8;width:9717;height:2" coordorigin="8,8" coordsize="9717,2">
              <v:shape style="position:absolute;left:8;top:8;width:9717;height:2" coordorigin="8,8" coordsize="9717,0" path="m8,8l9725,8e" filled="false" stroked="true" strokeweight=".75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28"/>
          <w:szCs w:val="28"/>
        </w:rPr>
      </w:pPr>
    </w:p>
    <w:p>
      <w:pPr>
        <w:spacing w:before="18"/>
        <w:ind w:left="847" w:right="1100" w:firstLine="0"/>
        <w:jc w:val="left"/>
        <w:rPr>
          <w:rFonts w:ascii="宋体" w:hAnsi="宋体" w:cs="宋体" w:eastAsia="宋体" w:hint="default"/>
          <w:sz w:val="28"/>
          <w:szCs w:val="28"/>
        </w:rPr>
      </w:pPr>
      <w:r>
        <w:rPr>
          <w:rFonts w:ascii="Times New Roman" w:hAnsi="Times New Roman" w:cs="Times New Roman" w:eastAsia="Times New Roman" w:hint="default"/>
          <w:b/>
          <w:bCs/>
          <w:spacing w:val="-3"/>
          <w:sz w:val="28"/>
          <w:szCs w:val="28"/>
        </w:rPr>
        <w:t>(3)</w:t>
      </w:r>
      <w:r>
        <w:rPr>
          <w:rFonts w:ascii="宋体" w:hAnsi="宋体" w:cs="宋体" w:eastAsia="宋体" w:hint="default"/>
          <w:b/>
          <w:bCs/>
          <w:spacing w:val="-3"/>
          <w:sz w:val="28"/>
          <w:szCs w:val="28"/>
        </w:rPr>
        <w:t>商誉减值风险</w:t>
      </w:r>
      <w:r>
        <w:rPr>
          <w:rFonts w:ascii="宋体" w:hAnsi="宋体" w:cs="宋体" w:eastAsia="宋体" w:hint="default"/>
          <w:spacing w:val="-3"/>
          <w:sz w:val="28"/>
          <w:szCs w:val="28"/>
        </w:rPr>
      </w:r>
    </w:p>
    <w:p>
      <w:pPr>
        <w:spacing w:line="240" w:lineRule="auto" w:before="6"/>
        <w:rPr>
          <w:rFonts w:ascii="宋体" w:hAnsi="宋体" w:cs="宋体" w:eastAsia="宋体" w:hint="default"/>
          <w:b/>
          <w:bCs/>
          <w:sz w:val="25"/>
          <w:szCs w:val="25"/>
        </w:rPr>
      </w:pPr>
    </w:p>
    <w:p>
      <w:pPr>
        <w:spacing w:line="403" w:lineRule="auto" w:before="0"/>
        <w:ind w:left="141" w:right="1100" w:firstLine="555"/>
        <w:jc w:val="left"/>
        <w:rPr>
          <w:rFonts w:ascii="宋体" w:hAnsi="宋体" w:cs="宋体" w:eastAsia="宋体" w:hint="default"/>
          <w:sz w:val="28"/>
          <w:szCs w:val="28"/>
        </w:rPr>
      </w:pPr>
      <w:r>
        <w:rPr>
          <w:rFonts w:ascii="宋体" w:hAnsi="宋体" w:cs="宋体" w:eastAsia="宋体" w:hint="default"/>
          <w:b/>
          <w:bCs/>
          <w:spacing w:val="-6"/>
          <w:sz w:val="28"/>
          <w:szCs w:val="28"/>
        </w:rPr>
        <w:t>截至本报告期末，公司商誉金额为 </w:t>
      </w:r>
      <w:r>
        <w:rPr>
          <w:rFonts w:ascii="Times New Roman" w:hAnsi="Times New Roman" w:cs="Times New Roman" w:eastAsia="Times New Roman" w:hint="default"/>
          <w:b/>
          <w:bCs/>
          <w:spacing w:val="-5"/>
          <w:sz w:val="28"/>
          <w:szCs w:val="28"/>
        </w:rPr>
        <w:t>10,229.43</w:t>
      </w:r>
      <w:r>
        <w:rPr>
          <w:rFonts w:ascii="Times New Roman" w:hAnsi="Times New Roman" w:cs="Times New Roman" w:eastAsia="Times New Roman" w:hint="default"/>
          <w:b/>
          <w:bCs/>
          <w:spacing w:val="12"/>
          <w:sz w:val="28"/>
          <w:szCs w:val="28"/>
        </w:rPr>
        <w:t> </w:t>
      </w:r>
      <w:r>
        <w:rPr>
          <w:rFonts w:ascii="宋体" w:hAnsi="宋体" w:cs="宋体" w:eastAsia="宋体" w:hint="default"/>
          <w:b/>
          <w:bCs/>
          <w:spacing w:val="-5"/>
          <w:sz w:val="28"/>
          <w:szCs w:val="28"/>
        </w:rPr>
        <w:t>万元。如果未来宏观经济形势</w:t>
      </w:r>
      <w:r>
        <w:rPr>
          <w:rFonts w:ascii="宋体" w:hAnsi="宋体" w:cs="宋体" w:eastAsia="宋体" w:hint="default"/>
          <w:b/>
          <w:bCs/>
          <w:w w:val="101"/>
          <w:sz w:val="28"/>
          <w:szCs w:val="28"/>
        </w:rPr>
        <w:t> </w:t>
      </w:r>
      <w:r>
        <w:rPr>
          <w:rFonts w:ascii="宋体" w:hAnsi="宋体" w:cs="宋体" w:eastAsia="宋体" w:hint="default"/>
          <w:b/>
          <w:bCs/>
          <w:spacing w:val="-6"/>
          <w:sz w:val="28"/>
          <w:szCs w:val="28"/>
        </w:rPr>
        <w:t>发生变化，或被并购企业的市场情况、内部管理出现问题，导致经营状况恶化，</w:t>
      </w:r>
      <w:r>
        <w:rPr>
          <w:rFonts w:ascii="宋体" w:hAnsi="宋体" w:cs="宋体" w:eastAsia="宋体" w:hint="default"/>
          <w:b/>
          <w:bCs/>
          <w:spacing w:val="31"/>
          <w:sz w:val="28"/>
          <w:szCs w:val="28"/>
        </w:rPr>
        <w:t> </w:t>
      </w:r>
      <w:r>
        <w:rPr>
          <w:rFonts w:ascii="宋体" w:hAnsi="宋体" w:cs="宋体" w:eastAsia="宋体" w:hint="default"/>
          <w:b/>
          <w:bCs/>
          <w:spacing w:val="31"/>
          <w:sz w:val="28"/>
          <w:szCs w:val="28"/>
        </w:rPr>
      </w:r>
      <w:r>
        <w:rPr>
          <w:rFonts w:ascii="宋体" w:hAnsi="宋体" w:cs="宋体" w:eastAsia="宋体" w:hint="default"/>
          <w:b/>
          <w:bCs/>
          <w:sz w:val="28"/>
          <w:szCs w:val="28"/>
        </w:rPr>
        <w:t>从而导致商誉的账面价值小于可收回金额，根据《企业会计准则》的规定，需</w:t>
      </w:r>
      <w:r>
        <w:rPr>
          <w:rFonts w:ascii="宋体" w:hAnsi="宋体" w:cs="宋体" w:eastAsia="宋体" w:hint="default"/>
          <w:b/>
          <w:bCs/>
          <w:spacing w:val="-24"/>
          <w:sz w:val="28"/>
          <w:szCs w:val="28"/>
        </w:rPr>
        <w:t> </w:t>
      </w:r>
      <w:r>
        <w:rPr>
          <w:rFonts w:ascii="宋体" w:hAnsi="宋体" w:cs="宋体" w:eastAsia="宋体" w:hint="default"/>
          <w:b/>
          <w:bCs/>
          <w:spacing w:val="-24"/>
          <w:sz w:val="28"/>
          <w:szCs w:val="28"/>
        </w:rPr>
      </w:r>
      <w:r>
        <w:rPr>
          <w:rFonts w:ascii="宋体" w:hAnsi="宋体" w:cs="宋体" w:eastAsia="宋体" w:hint="default"/>
          <w:b/>
          <w:bCs/>
          <w:spacing w:val="-4"/>
          <w:sz w:val="28"/>
          <w:szCs w:val="28"/>
        </w:rPr>
        <w:t>要对商誉计提减值，将对公司的经营业绩造成不利影响。</w:t>
      </w:r>
      <w:r>
        <w:rPr>
          <w:rFonts w:ascii="宋体" w:hAnsi="宋体" w:cs="宋体" w:eastAsia="宋体" w:hint="default"/>
          <w:spacing w:val="-4"/>
          <w:sz w:val="28"/>
          <w:szCs w:val="28"/>
        </w:rPr>
      </w:r>
    </w:p>
    <w:p>
      <w:pPr>
        <w:spacing w:before="163"/>
        <w:ind w:left="696" w:right="0" w:firstLine="0"/>
        <w:jc w:val="left"/>
        <w:rPr>
          <w:rFonts w:ascii="宋体" w:hAnsi="宋体" w:cs="宋体" w:eastAsia="宋体" w:hint="default"/>
          <w:sz w:val="28"/>
          <w:szCs w:val="28"/>
        </w:rPr>
      </w:pPr>
      <w:r>
        <w:rPr>
          <w:rFonts w:ascii="宋体" w:hAnsi="宋体" w:cs="宋体" w:eastAsia="宋体" w:hint="default"/>
          <w:b/>
          <w:bCs/>
          <w:spacing w:val="-4"/>
          <w:sz w:val="28"/>
          <w:szCs w:val="28"/>
        </w:rPr>
        <w:t>公司经本次董事会审议通过的利润分配预案为：以 </w:t>
      </w:r>
      <w:r>
        <w:rPr>
          <w:rFonts w:ascii="Times New Roman" w:hAnsi="Times New Roman" w:cs="Times New Roman" w:eastAsia="Times New Roman" w:hint="default"/>
          <w:b/>
          <w:bCs/>
          <w:spacing w:val="-4"/>
          <w:sz w:val="28"/>
          <w:szCs w:val="28"/>
        </w:rPr>
        <w:t>418,044,000.00 </w:t>
      </w:r>
      <w:r>
        <w:rPr>
          <w:rFonts w:ascii="Times New Roman" w:hAnsi="Times New Roman" w:cs="Times New Roman" w:eastAsia="Times New Roman" w:hint="default"/>
          <w:b/>
          <w:bCs/>
          <w:spacing w:val="36"/>
          <w:sz w:val="28"/>
          <w:szCs w:val="28"/>
        </w:rPr>
        <w:t> </w:t>
      </w:r>
      <w:r>
        <w:rPr>
          <w:rFonts w:ascii="宋体" w:hAnsi="宋体" w:cs="宋体" w:eastAsia="宋体" w:hint="default"/>
          <w:b/>
          <w:bCs/>
          <w:spacing w:val="-4"/>
          <w:sz w:val="28"/>
          <w:szCs w:val="28"/>
        </w:rPr>
        <w:t>为基数，</w:t>
      </w:r>
      <w:r>
        <w:rPr>
          <w:rFonts w:ascii="宋体" w:hAnsi="宋体" w:cs="宋体" w:eastAsia="宋体" w:hint="default"/>
          <w:spacing w:val="-4"/>
          <w:sz w:val="28"/>
          <w:szCs w:val="28"/>
        </w:rPr>
      </w:r>
    </w:p>
    <w:p>
      <w:pPr>
        <w:spacing w:before="243"/>
        <w:ind w:left="141" w:right="0" w:firstLine="0"/>
        <w:jc w:val="left"/>
        <w:rPr>
          <w:rFonts w:ascii="宋体" w:hAnsi="宋体" w:cs="宋体" w:eastAsia="宋体" w:hint="default"/>
          <w:sz w:val="28"/>
          <w:szCs w:val="28"/>
        </w:rPr>
      </w:pPr>
      <w:r>
        <w:rPr>
          <w:rFonts w:ascii="宋体" w:hAnsi="宋体" w:cs="宋体" w:eastAsia="宋体" w:hint="default"/>
          <w:b/>
          <w:bCs/>
          <w:w w:val="101"/>
          <w:sz w:val="28"/>
          <w:szCs w:val="28"/>
        </w:rPr>
        <w:t>向全体股</w:t>
      </w:r>
      <w:r>
        <w:rPr>
          <w:rFonts w:ascii="宋体" w:hAnsi="宋体" w:cs="宋体" w:eastAsia="宋体" w:hint="default"/>
          <w:b/>
          <w:bCs/>
          <w:spacing w:val="-16"/>
          <w:w w:val="101"/>
          <w:sz w:val="28"/>
          <w:szCs w:val="28"/>
        </w:rPr>
        <w:t>东</w:t>
      </w:r>
      <w:r>
        <w:rPr>
          <w:rFonts w:ascii="宋体" w:hAnsi="宋体" w:cs="宋体" w:eastAsia="宋体" w:hint="default"/>
          <w:b/>
          <w:bCs/>
          <w:w w:val="101"/>
          <w:sz w:val="28"/>
          <w:szCs w:val="28"/>
        </w:rPr>
        <w:t>每</w:t>
      </w:r>
      <w:r>
        <w:rPr>
          <w:rFonts w:ascii="宋体" w:hAnsi="宋体" w:cs="宋体" w:eastAsia="宋体" w:hint="default"/>
          <w:b/>
          <w:bCs/>
          <w:spacing w:val="-67"/>
          <w:sz w:val="28"/>
          <w:szCs w:val="28"/>
        </w:rPr>
        <w:t> </w:t>
      </w:r>
      <w:r>
        <w:rPr>
          <w:rFonts w:ascii="Times New Roman" w:hAnsi="Times New Roman" w:cs="Times New Roman" w:eastAsia="Times New Roman" w:hint="default"/>
          <w:b/>
          <w:bCs/>
          <w:spacing w:val="-8"/>
          <w:w w:val="101"/>
          <w:sz w:val="28"/>
          <w:szCs w:val="28"/>
        </w:rPr>
        <w:t>1</w:t>
      </w:r>
      <w:r>
        <w:rPr>
          <w:rFonts w:ascii="Times New Roman" w:hAnsi="Times New Roman" w:cs="Times New Roman" w:eastAsia="Times New Roman" w:hint="default"/>
          <w:b/>
          <w:bCs/>
          <w:w w:val="101"/>
          <w:sz w:val="28"/>
          <w:szCs w:val="28"/>
        </w:rPr>
        <w:t>0</w:t>
      </w:r>
      <w:r>
        <w:rPr>
          <w:rFonts w:ascii="Times New Roman" w:hAnsi="Times New Roman" w:cs="Times New Roman" w:eastAsia="Times New Roman" w:hint="default"/>
          <w:b/>
          <w:bCs/>
          <w:spacing w:val="-3"/>
          <w:sz w:val="28"/>
          <w:szCs w:val="28"/>
        </w:rPr>
        <w:t> </w:t>
      </w:r>
      <w:r>
        <w:rPr>
          <w:rFonts w:ascii="宋体" w:hAnsi="宋体" w:cs="宋体" w:eastAsia="宋体" w:hint="default"/>
          <w:b/>
          <w:bCs/>
          <w:w w:val="101"/>
          <w:sz w:val="28"/>
          <w:szCs w:val="28"/>
        </w:rPr>
        <w:t>股派发现</w:t>
      </w:r>
      <w:r>
        <w:rPr>
          <w:rFonts w:ascii="宋体" w:hAnsi="宋体" w:cs="宋体" w:eastAsia="宋体" w:hint="default"/>
          <w:b/>
          <w:bCs/>
          <w:spacing w:val="-16"/>
          <w:w w:val="101"/>
          <w:sz w:val="28"/>
          <w:szCs w:val="28"/>
        </w:rPr>
        <w:t>金</w:t>
      </w:r>
      <w:r>
        <w:rPr>
          <w:rFonts w:ascii="宋体" w:hAnsi="宋体" w:cs="宋体" w:eastAsia="宋体" w:hint="default"/>
          <w:b/>
          <w:bCs/>
          <w:w w:val="101"/>
          <w:sz w:val="28"/>
          <w:szCs w:val="28"/>
        </w:rPr>
        <w:t>红利</w:t>
      </w:r>
      <w:r>
        <w:rPr>
          <w:rFonts w:ascii="宋体" w:hAnsi="宋体" w:cs="宋体" w:eastAsia="宋体" w:hint="default"/>
          <w:b/>
          <w:bCs/>
          <w:spacing w:val="-67"/>
          <w:sz w:val="28"/>
          <w:szCs w:val="28"/>
        </w:rPr>
        <w:t> </w:t>
      </w:r>
      <w:r>
        <w:rPr>
          <w:rFonts w:ascii="Times New Roman" w:hAnsi="Times New Roman" w:cs="Times New Roman" w:eastAsia="Times New Roman" w:hint="default"/>
          <w:b/>
          <w:bCs/>
          <w:spacing w:val="-8"/>
          <w:w w:val="101"/>
          <w:sz w:val="28"/>
          <w:szCs w:val="28"/>
        </w:rPr>
        <w:t>0</w:t>
      </w:r>
      <w:r>
        <w:rPr>
          <w:rFonts w:ascii="Times New Roman" w:hAnsi="Times New Roman" w:cs="Times New Roman" w:eastAsia="Times New Roman" w:hint="default"/>
          <w:b/>
          <w:bCs/>
          <w:spacing w:val="-12"/>
          <w:w w:val="101"/>
          <w:sz w:val="28"/>
          <w:szCs w:val="28"/>
        </w:rPr>
        <w:t>.</w:t>
      </w:r>
      <w:r>
        <w:rPr>
          <w:rFonts w:ascii="Times New Roman" w:hAnsi="Times New Roman" w:cs="Times New Roman" w:eastAsia="Times New Roman" w:hint="default"/>
          <w:b/>
          <w:bCs/>
          <w:w w:val="101"/>
          <w:sz w:val="28"/>
          <w:szCs w:val="28"/>
        </w:rPr>
        <w:t>2</w:t>
      </w:r>
      <w:r>
        <w:rPr>
          <w:rFonts w:ascii="Times New Roman" w:hAnsi="Times New Roman" w:cs="Times New Roman" w:eastAsia="Times New Roman" w:hint="default"/>
          <w:b/>
          <w:bCs/>
          <w:spacing w:val="-3"/>
          <w:sz w:val="28"/>
          <w:szCs w:val="28"/>
        </w:rPr>
        <w:t> </w:t>
      </w:r>
      <w:r>
        <w:rPr>
          <w:rFonts w:ascii="宋体" w:hAnsi="宋体" w:cs="宋体" w:eastAsia="宋体" w:hint="default"/>
          <w:b/>
          <w:bCs/>
          <w:w w:val="101"/>
          <w:sz w:val="28"/>
          <w:szCs w:val="28"/>
        </w:rPr>
        <w:t>元（含</w:t>
      </w:r>
      <w:r>
        <w:rPr>
          <w:rFonts w:ascii="宋体" w:hAnsi="宋体" w:cs="宋体" w:eastAsia="宋体" w:hint="default"/>
          <w:b/>
          <w:bCs/>
          <w:spacing w:val="-16"/>
          <w:w w:val="101"/>
          <w:sz w:val="28"/>
          <w:szCs w:val="28"/>
        </w:rPr>
        <w:t>税</w:t>
      </w:r>
      <w:r>
        <w:rPr>
          <w:rFonts w:ascii="宋体" w:hAnsi="宋体" w:cs="宋体" w:eastAsia="宋体" w:hint="default"/>
          <w:b/>
          <w:bCs/>
          <w:spacing w:val="-136"/>
          <w:w w:val="101"/>
          <w:sz w:val="28"/>
          <w:szCs w:val="28"/>
        </w:rPr>
        <w:t>）</w:t>
      </w:r>
      <w:r>
        <w:rPr>
          <w:rFonts w:ascii="宋体" w:hAnsi="宋体" w:cs="宋体" w:eastAsia="宋体" w:hint="default"/>
          <w:b/>
          <w:bCs/>
          <w:w w:val="101"/>
          <w:sz w:val="28"/>
          <w:szCs w:val="28"/>
        </w:rPr>
        <w:t>，送</w:t>
      </w:r>
      <w:r>
        <w:rPr>
          <w:rFonts w:ascii="宋体" w:hAnsi="宋体" w:cs="宋体" w:eastAsia="宋体" w:hint="default"/>
          <w:b/>
          <w:bCs/>
          <w:spacing w:val="-16"/>
          <w:w w:val="101"/>
          <w:sz w:val="28"/>
          <w:szCs w:val="28"/>
        </w:rPr>
        <w:t>红</w:t>
      </w:r>
      <w:r>
        <w:rPr>
          <w:rFonts w:ascii="宋体" w:hAnsi="宋体" w:cs="宋体" w:eastAsia="宋体" w:hint="default"/>
          <w:b/>
          <w:bCs/>
          <w:w w:val="101"/>
          <w:sz w:val="28"/>
          <w:szCs w:val="28"/>
        </w:rPr>
        <w:t>股</w:t>
      </w:r>
      <w:r>
        <w:rPr>
          <w:rFonts w:ascii="宋体" w:hAnsi="宋体" w:cs="宋体" w:eastAsia="宋体" w:hint="default"/>
          <w:b/>
          <w:bCs/>
          <w:spacing w:val="-67"/>
          <w:sz w:val="28"/>
          <w:szCs w:val="28"/>
        </w:rPr>
        <w:t> </w:t>
      </w:r>
      <w:r>
        <w:rPr>
          <w:rFonts w:ascii="Times New Roman" w:hAnsi="Times New Roman" w:cs="Times New Roman" w:eastAsia="Times New Roman" w:hint="default"/>
          <w:b/>
          <w:bCs/>
          <w:w w:val="101"/>
          <w:sz w:val="28"/>
          <w:szCs w:val="28"/>
        </w:rPr>
        <w:t>0</w:t>
      </w:r>
      <w:r>
        <w:rPr>
          <w:rFonts w:ascii="Times New Roman" w:hAnsi="Times New Roman" w:cs="Times New Roman" w:eastAsia="Times New Roman" w:hint="default"/>
          <w:b/>
          <w:bCs/>
          <w:spacing w:val="-3"/>
          <w:sz w:val="28"/>
          <w:szCs w:val="28"/>
        </w:rPr>
        <w:t> </w:t>
      </w:r>
      <w:r>
        <w:rPr>
          <w:rFonts w:ascii="宋体" w:hAnsi="宋体" w:cs="宋体" w:eastAsia="宋体" w:hint="default"/>
          <w:b/>
          <w:bCs/>
          <w:w w:val="101"/>
          <w:sz w:val="28"/>
          <w:szCs w:val="28"/>
        </w:rPr>
        <w:t>股（</w:t>
      </w:r>
      <w:r>
        <w:rPr>
          <w:rFonts w:ascii="宋体" w:hAnsi="宋体" w:cs="宋体" w:eastAsia="宋体" w:hint="default"/>
          <w:b/>
          <w:bCs/>
          <w:spacing w:val="-16"/>
          <w:w w:val="101"/>
          <w:sz w:val="28"/>
          <w:szCs w:val="28"/>
        </w:rPr>
        <w:t>含</w:t>
      </w:r>
      <w:r>
        <w:rPr>
          <w:rFonts w:ascii="宋体" w:hAnsi="宋体" w:cs="宋体" w:eastAsia="宋体" w:hint="default"/>
          <w:b/>
          <w:bCs/>
          <w:w w:val="101"/>
          <w:sz w:val="28"/>
          <w:szCs w:val="28"/>
        </w:rPr>
        <w:t>税</w:t>
      </w:r>
      <w:r>
        <w:rPr>
          <w:rFonts w:ascii="宋体" w:hAnsi="宋体" w:cs="宋体" w:eastAsia="宋体" w:hint="default"/>
          <w:b/>
          <w:bCs/>
          <w:spacing w:val="-136"/>
          <w:w w:val="101"/>
          <w:sz w:val="28"/>
          <w:szCs w:val="28"/>
        </w:rPr>
        <w:t>）</w:t>
      </w:r>
      <w:r>
        <w:rPr>
          <w:rFonts w:ascii="宋体" w:hAnsi="宋体" w:cs="宋体" w:eastAsia="宋体" w:hint="default"/>
          <w:b/>
          <w:bCs/>
          <w:spacing w:val="-16"/>
          <w:w w:val="101"/>
          <w:sz w:val="28"/>
          <w:szCs w:val="28"/>
        </w:rPr>
        <w:t>，</w:t>
      </w:r>
      <w:r>
        <w:rPr>
          <w:rFonts w:ascii="宋体" w:hAnsi="宋体" w:cs="宋体" w:eastAsia="宋体" w:hint="default"/>
          <w:b/>
          <w:bCs/>
          <w:w w:val="101"/>
          <w:sz w:val="28"/>
          <w:szCs w:val="28"/>
        </w:rPr>
        <w:t>以资本</w:t>
      </w:r>
      <w:r>
        <w:rPr>
          <w:rFonts w:ascii="宋体" w:hAnsi="宋体" w:cs="宋体" w:eastAsia="宋体" w:hint="default"/>
          <w:sz w:val="28"/>
          <w:szCs w:val="28"/>
        </w:rPr>
      </w:r>
    </w:p>
    <w:p>
      <w:pPr>
        <w:spacing w:before="243"/>
        <w:ind w:left="141" w:right="1100" w:firstLine="0"/>
        <w:jc w:val="left"/>
        <w:rPr>
          <w:rFonts w:ascii="宋体" w:hAnsi="宋体" w:cs="宋体" w:eastAsia="宋体" w:hint="default"/>
          <w:sz w:val="28"/>
          <w:szCs w:val="28"/>
        </w:rPr>
      </w:pPr>
      <w:r>
        <w:rPr>
          <w:rFonts w:ascii="宋体" w:hAnsi="宋体" w:cs="宋体" w:eastAsia="宋体" w:hint="default"/>
          <w:b/>
          <w:bCs/>
          <w:spacing w:val="-4"/>
          <w:sz w:val="28"/>
          <w:szCs w:val="28"/>
        </w:rPr>
        <w:t>公积金向全体股东每</w:t>
      </w:r>
      <w:r>
        <w:rPr>
          <w:rFonts w:ascii="宋体" w:hAnsi="宋体" w:cs="宋体" w:eastAsia="宋体" w:hint="default"/>
          <w:b/>
          <w:bCs/>
          <w:spacing w:val="-48"/>
          <w:sz w:val="28"/>
          <w:szCs w:val="28"/>
        </w:rPr>
        <w:t> </w:t>
      </w:r>
      <w:r>
        <w:rPr>
          <w:rFonts w:ascii="Times New Roman" w:hAnsi="Times New Roman" w:cs="Times New Roman" w:eastAsia="Times New Roman" w:hint="default"/>
          <w:b/>
          <w:bCs/>
          <w:spacing w:val="-4"/>
          <w:sz w:val="28"/>
          <w:szCs w:val="28"/>
        </w:rPr>
        <w:t>10</w:t>
      </w:r>
      <w:r>
        <w:rPr>
          <w:rFonts w:ascii="Times New Roman" w:hAnsi="Times New Roman" w:cs="Times New Roman" w:eastAsia="Times New Roman" w:hint="default"/>
          <w:b/>
          <w:bCs/>
          <w:spacing w:val="15"/>
          <w:sz w:val="28"/>
          <w:szCs w:val="28"/>
        </w:rPr>
        <w:t> </w:t>
      </w:r>
      <w:r>
        <w:rPr>
          <w:rFonts w:ascii="宋体" w:hAnsi="宋体" w:cs="宋体" w:eastAsia="宋体" w:hint="default"/>
          <w:b/>
          <w:bCs/>
          <w:sz w:val="28"/>
          <w:szCs w:val="28"/>
        </w:rPr>
        <w:t>股转增</w:t>
      </w:r>
      <w:r>
        <w:rPr>
          <w:rFonts w:ascii="宋体" w:hAnsi="宋体" w:cs="宋体" w:eastAsia="宋体" w:hint="default"/>
          <w:b/>
          <w:bCs/>
          <w:spacing w:val="-46"/>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50"/>
          <w:pgMar w:header="731" w:footer="981" w:top="1040" w:bottom="1180" w:left="100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51"/>
        <w:ind w:left="2766" w:right="375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9"/>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第一节重要提示、目录和释义</w:t>
            </w:r>
            <w:r>
              <w:rPr>
                <w:rFonts w:ascii="Times New Roman" w:hAnsi="Times New Roman" w:cs="Times New Roman" w:eastAsia="Times New Roman" w:hint="default"/>
              </w:rPr>
              <w:tab/>
              <w:t>2</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1">
            <w:r>
              <w:rPr/>
              <w:t>第二节公司简介和主要财务指标</w:t>
            </w:r>
            <w:r>
              <w:rPr>
                <w:rFonts w:ascii="Times New Roman" w:hAnsi="Times New Roman" w:cs="Times New Roman" w:eastAsia="Times New Roman" w:hint="default"/>
              </w:rPr>
              <w:tab/>
              <w:t>7</w:t>
            </w:r>
          </w:hyperlink>
        </w:p>
        <w:p>
          <w:pPr>
            <w:pStyle w:val="TOC1"/>
            <w:tabs>
              <w:tab w:pos="9782" w:val="right" w:leader="dot"/>
            </w:tabs>
            <w:spacing w:line="240" w:lineRule="auto" w:before="111"/>
            <w:ind w:right="0"/>
            <w:jc w:val="left"/>
            <w:rPr>
              <w:rFonts w:ascii="Times New Roman" w:hAnsi="Times New Roman" w:cs="Times New Roman" w:eastAsia="Times New Roman" w:hint="default"/>
            </w:rPr>
          </w:pPr>
          <w:hyperlink w:history="true" w:anchor="_bookmark2">
            <w:r>
              <w:rPr/>
              <w:t>第三节公司业务概要</w:t>
            </w:r>
            <w:r>
              <w:rPr>
                <w:rFonts w:ascii="Times New Roman" w:hAnsi="Times New Roman" w:cs="Times New Roman" w:eastAsia="Times New Roman" w:hint="default"/>
              </w:rPr>
              <w:tab/>
              <w:t>11</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3">
            <w:r>
              <w:rPr/>
              <w:t>第四节经营情况讨论与分析</w:t>
            </w:r>
            <w:r>
              <w:rPr>
                <w:rFonts w:ascii="Times New Roman" w:hAnsi="Times New Roman" w:cs="Times New Roman" w:eastAsia="Times New Roman" w:hint="default"/>
              </w:rPr>
              <w:tab/>
              <w:t>19</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4">
            <w:r>
              <w:rPr/>
              <w:t>第五节重要事项</w:t>
            </w:r>
            <w:r>
              <w:rPr>
                <w:rFonts w:ascii="Times New Roman" w:hAnsi="Times New Roman" w:cs="Times New Roman" w:eastAsia="Times New Roman" w:hint="default"/>
              </w:rPr>
              <w:tab/>
              <w:t>37</w:t>
            </w:r>
          </w:hyperlink>
        </w:p>
        <w:p>
          <w:pPr>
            <w:pStyle w:val="TOC1"/>
            <w:tabs>
              <w:tab w:pos="9782" w:val="right" w:leader="dot"/>
            </w:tabs>
            <w:spacing w:line="240" w:lineRule="auto" w:before="111"/>
            <w:ind w:right="0"/>
            <w:jc w:val="left"/>
            <w:rPr>
              <w:rFonts w:ascii="Times New Roman" w:hAnsi="Times New Roman" w:cs="Times New Roman" w:eastAsia="Times New Roman" w:hint="default"/>
            </w:rPr>
          </w:pPr>
          <w:hyperlink w:history="true" w:anchor="_bookmark5">
            <w:r>
              <w:rPr/>
              <w:t>第六节股份变动及股东情况</w:t>
            </w:r>
            <w:r>
              <w:rPr>
                <w:rFonts w:ascii="Times New Roman" w:hAnsi="Times New Roman" w:cs="Times New Roman" w:eastAsia="Times New Roman" w:hint="default"/>
              </w:rPr>
              <w:tab/>
              <w:t>58</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6">
            <w:r>
              <w:rPr/>
              <w:t>第七节优先股相关情况</w:t>
            </w:r>
            <w:r>
              <w:rPr>
                <w:rFonts w:ascii="Times New Roman" w:hAnsi="Times New Roman" w:cs="Times New Roman" w:eastAsia="Times New Roman" w:hint="default"/>
              </w:rPr>
              <w:tab/>
              <w:t>64</w:t>
            </w:r>
          </w:hyperlink>
        </w:p>
        <w:p>
          <w:pPr>
            <w:pStyle w:val="TOC1"/>
            <w:tabs>
              <w:tab w:pos="9782" w:val="right" w:leader="dot"/>
            </w:tabs>
            <w:spacing w:line="240" w:lineRule="auto" w:before="111"/>
            <w:ind w:right="0"/>
            <w:jc w:val="left"/>
            <w:rPr>
              <w:rFonts w:ascii="Times New Roman" w:hAnsi="Times New Roman" w:cs="Times New Roman" w:eastAsia="Times New Roman" w:hint="default"/>
            </w:rPr>
          </w:pPr>
          <w:hyperlink w:history="true" w:anchor="_bookmark7">
            <w:r>
              <w:rPr/>
              <w:t>第八节可转换公司债券相关情况</w:t>
            </w:r>
            <w:r>
              <w:rPr>
                <w:rFonts w:ascii="Times New Roman" w:hAnsi="Times New Roman" w:cs="Times New Roman" w:eastAsia="Times New Roman" w:hint="default"/>
              </w:rPr>
              <w:tab/>
              <w:t>65</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8">
            <w:r>
              <w:rPr/>
              <w:t>第九节董事、监事、高级管理人员和员工情况</w:t>
            </w:r>
            <w:r>
              <w:rPr>
                <w:rFonts w:ascii="Times New Roman" w:hAnsi="Times New Roman" w:cs="Times New Roman" w:eastAsia="Times New Roman" w:hint="default"/>
              </w:rPr>
              <w:tab/>
              <w:t>66</w:t>
            </w:r>
          </w:hyperlink>
        </w:p>
        <w:p>
          <w:pPr>
            <w:pStyle w:val="TOC1"/>
            <w:tabs>
              <w:tab w:pos="9782" w:val="right" w:leader="dot"/>
            </w:tabs>
            <w:spacing w:line="240" w:lineRule="auto" w:before="111"/>
            <w:ind w:right="0"/>
            <w:jc w:val="left"/>
            <w:rPr>
              <w:rFonts w:ascii="Times New Roman" w:hAnsi="Times New Roman" w:cs="Times New Roman" w:eastAsia="Times New Roman" w:hint="default"/>
            </w:rPr>
          </w:pPr>
          <w:hyperlink w:history="true" w:anchor="_bookmark9">
            <w:r>
              <w:rPr/>
              <w:t>第十节公司治理</w:t>
            </w:r>
            <w:r>
              <w:rPr>
                <w:rFonts w:ascii="Times New Roman" w:hAnsi="Times New Roman" w:cs="Times New Roman" w:eastAsia="Times New Roman" w:hint="default"/>
              </w:rPr>
              <w:tab/>
              <w:t>72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0">
            <w:r>
              <w:rPr/>
              <w:t>第十一节公司债券相关情况</w:t>
            </w:r>
            <w:r>
              <w:rPr>
                <w:rFonts w:ascii="Times New Roman" w:hAnsi="Times New Roman" w:cs="Times New Roman" w:eastAsia="Times New Roman" w:hint="default"/>
              </w:rPr>
              <w:tab/>
              <w:t>76</w:t>
            </w:r>
          </w:hyperlink>
        </w:p>
        <w:p>
          <w:pPr>
            <w:pStyle w:val="TOC1"/>
            <w:tabs>
              <w:tab w:pos="9782" w:val="right" w:leader="dot"/>
            </w:tabs>
            <w:spacing w:line="240" w:lineRule="auto" w:before="111"/>
            <w:ind w:right="0"/>
            <w:jc w:val="left"/>
            <w:rPr>
              <w:rFonts w:ascii="Times New Roman" w:hAnsi="Times New Roman" w:cs="Times New Roman" w:eastAsia="Times New Roman" w:hint="default"/>
            </w:rPr>
          </w:pPr>
          <w:hyperlink w:history="true" w:anchor="_bookmark11">
            <w:r>
              <w:rPr/>
              <w:t>第十二节财务报告</w:t>
            </w:r>
            <w:r>
              <w:rPr>
                <w:rFonts w:ascii="Times New Roman" w:hAnsi="Times New Roman" w:cs="Times New Roman" w:eastAsia="Times New Roman" w:hint="default"/>
              </w:rPr>
              <w:tab/>
              <w:t>77</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2">
            <w:r>
              <w:rPr/>
              <w:t>第十三节备查文件目录</w:t>
            </w:r>
            <w:r>
              <w:rPr>
                <w:rFonts w:ascii="Times New Roman" w:hAnsi="Times New Roman" w:cs="Times New Roman" w:eastAsia="Times New Roman" w:hint="default"/>
              </w:rPr>
              <w:tab/>
              <w:t>179</w:t>
            </w:r>
          </w:hyperlink>
        </w:p>
        <w:p>
          <w:pPr/>
          <w:r>
            <w:fldChar w:fldCharType="end"/>
          </w:r>
        </w:p>
      </w:sdtContent>
    </w:sdt>
    <w:p>
      <w:pPr>
        <w:spacing w:after="0"/>
        <w:sectPr>
          <w:pgSz w:w="11910" w:h="16850"/>
          <w:pgMar w:header="731" w:footer="981" w:top="1040" w:bottom="1180" w:left="1000" w:right="0"/>
        </w:sectPr>
      </w:pPr>
    </w:p>
    <w:p>
      <w:pPr>
        <w:spacing w:before="953"/>
        <w:ind w:left="2782" w:right="3736" w:firstLine="0"/>
        <w:jc w:val="center"/>
        <w:rPr>
          <w:rFonts w:ascii="宋体" w:hAnsi="宋体" w:cs="宋体" w:eastAsia="宋体" w:hint="default"/>
          <w:sz w:val="31"/>
          <w:szCs w:val="31"/>
        </w:rPr>
      </w:pPr>
      <w:r>
        <w:rPr>
          <w:rFonts w:ascii="宋体" w:hAnsi="宋体" w:cs="宋体" w:eastAsia="宋体" w:hint="default"/>
          <w:b/>
          <w:bCs/>
          <w:spacing w:val="14"/>
          <w:sz w:val="31"/>
          <w:szCs w:val="31"/>
        </w:rPr>
        <w:t>释义</w:t>
      </w:r>
      <w:r>
        <w:rPr>
          <w:rFonts w:ascii="宋体" w:hAnsi="宋体" w:cs="宋体" w:eastAsia="宋体" w:hint="default"/>
          <w:sz w:val="31"/>
          <w:szCs w:val="3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3537"/>
        <w:gridCol w:w="601"/>
        <w:gridCol w:w="5444"/>
      </w:tblGrid>
      <w:tr>
        <w:trPr>
          <w:trHeight w:val="405" w:hRule="exact"/>
        </w:trPr>
        <w:tc>
          <w:tcPr>
            <w:tcW w:w="35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5"/>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5" w:hRule="exact"/>
        </w:trPr>
        <w:tc>
          <w:tcPr>
            <w:tcW w:w="35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本公司、公司、飞天诚信</w:t>
            </w:r>
          </w:p>
        </w:tc>
        <w:tc>
          <w:tcPr>
            <w:tcW w:w="6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飞天诚信科技股份有限公司</w:t>
            </w:r>
          </w:p>
        </w:tc>
      </w:tr>
      <w:tr>
        <w:trPr>
          <w:trHeight w:val="391" w:hRule="exact"/>
        </w:trPr>
        <w:tc>
          <w:tcPr>
            <w:tcW w:w="35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实际控制人、控股股东</w:t>
            </w:r>
          </w:p>
        </w:tc>
        <w:tc>
          <w:tcPr>
            <w:tcW w:w="6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黄煜</w:t>
            </w:r>
          </w:p>
        </w:tc>
      </w:tr>
      <w:tr>
        <w:trPr>
          <w:trHeight w:val="405" w:hRule="exact"/>
        </w:trPr>
        <w:tc>
          <w:tcPr>
            <w:tcW w:w="35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飞天万谷</w:t>
            </w:r>
          </w:p>
        </w:tc>
        <w:tc>
          <w:tcPr>
            <w:tcW w:w="6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飞天万谷智能科技有限公司</w:t>
            </w:r>
          </w:p>
        </w:tc>
      </w:tr>
      <w:tr>
        <w:trPr>
          <w:trHeight w:val="405" w:hRule="exact"/>
        </w:trPr>
        <w:tc>
          <w:tcPr>
            <w:tcW w:w="35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宏思电子、北京宏思</w:t>
            </w:r>
          </w:p>
        </w:tc>
        <w:tc>
          <w:tcPr>
            <w:tcW w:w="6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北京宏思电子技术有限责任公司</w:t>
            </w:r>
          </w:p>
        </w:tc>
      </w:tr>
      <w:tr>
        <w:trPr>
          <w:trHeight w:val="406" w:hRule="exact"/>
        </w:trPr>
        <w:tc>
          <w:tcPr>
            <w:tcW w:w="35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章程、公司章程</w:t>
            </w:r>
          </w:p>
        </w:tc>
        <w:tc>
          <w:tcPr>
            <w:tcW w:w="6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飞天诚信科技股份有限公司章程及章程历次修订</w:t>
            </w:r>
          </w:p>
        </w:tc>
      </w:tr>
      <w:tr>
        <w:trPr>
          <w:trHeight w:val="406" w:hRule="exact"/>
        </w:trPr>
        <w:tc>
          <w:tcPr>
            <w:tcW w:w="35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390" w:hRule="exact"/>
        </w:trPr>
        <w:tc>
          <w:tcPr>
            <w:tcW w:w="35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5" w:hRule="exact"/>
        </w:trPr>
        <w:tc>
          <w:tcPr>
            <w:tcW w:w="35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中国银监会</w:t>
            </w:r>
          </w:p>
        </w:tc>
        <w:tc>
          <w:tcPr>
            <w:tcW w:w="6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中国银行业监督管理委员会</w:t>
            </w:r>
          </w:p>
        </w:tc>
      </w:tr>
      <w:tr>
        <w:trPr>
          <w:trHeight w:val="406" w:hRule="exact"/>
        </w:trPr>
        <w:tc>
          <w:tcPr>
            <w:tcW w:w="35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中国银联</w:t>
            </w:r>
          </w:p>
        </w:tc>
        <w:tc>
          <w:tcPr>
            <w:tcW w:w="6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中国银联股份有限公司</w:t>
            </w:r>
          </w:p>
        </w:tc>
      </w:tr>
      <w:tr>
        <w:trPr>
          <w:trHeight w:val="405" w:hRule="exact"/>
        </w:trPr>
        <w:tc>
          <w:tcPr>
            <w:tcW w:w="35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5" w:hRule="exact"/>
        </w:trPr>
        <w:tc>
          <w:tcPr>
            <w:tcW w:w="35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390" w:hRule="exact"/>
        </w:trPr>
        <w:tc>
          <w:tcPr>
            <w:tcW w:w="35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788" w:hRule="exact"/>
        </w:trPr>
        <w:tc>
          <w:tcPr>
            <w:tcW w:w="353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15" w:right="0"/>
              <w:jc w:val="left"/>
              <w:rPr>
                <w:rFonts w:ascii="宋体" w:hAnsi="宋体" w:cs="宋体" w:eastAsia="宋体" w:hint="default"/>
                <w:sz w:val="18"/>
                <w:szCs w:val="18"/>
              </w:rPr>
            </w:pPr>
            <w:r>
              <w:rPr>
                <w:rFonts w:ascii="宋体" w:hAnsi="宋体" w:cs="宋体" w:eastAsia="宋体" w:hint="default"/>
                <w:sz w:val="18"/>
                <w:szCs w:val="18"/>
              </w:rPr>
              <w:t>身份认证</w:t>
            </w:r>
          </w:p>
        </w:tc>
        <w:tc>
          <w:tcPr>
            <w:tcW w:w="601" w:type="dxa"/>
            <w:tcBorders>
              <w:top w:val="single" w:sz="6" w:space="0" w:color="000000"/>
              <w:left w:val="single" w:sz="6" w:space="0" w:color="000000"/>
              <w:bottom w:val="nil" w:sz="6" w:space="0" w:color="auto"/>
              <w:right w:val="single" w:sz="6" w:space="0" w:color="000000"/>
            </w:tcBorders>
            <w:shd w:val="clear" w:color="auto" w:fill="D2D2D2"/>
          </w:tcPr>
          <w:p>
            <w:pPr/>
          </w:p>
        </w:tc>
        <w:tc>
          <w:tcPr>
            <w:tcW w:w="5444" w:type="dxa"/>
            <w:vMerge w:val="restart"/>
            <w:tcBorders>
              <w:top w:val="single" w:sz="6" w:space="0" w:color="000000"/>
              <w:left w:val="single" w:sz="12" w:space="0" w:color="D2D2D2"/>
              <w:right w:val="single" w:sz="6" w:space="0" w:color="000000"/>
            </w:tcBorders>
          </w:tcPr>
          <w:p>
            <w:pPr>
              <w:pStyle w:val="TableParagraph"/>
              <w:spacing w:line="321" w:lineRule="auto" w:before="44"/>
              <w:ind w:left="30" w:right="-9"/>
              <w:jc w:val="both"/>
              <w:rPr>
                <w:rFonts w:ascii="宋体" w:hAnsi="宋体" w:cs="宋体" w:eastAsia="宋体" w:hint="default"/>
                <w:sz w:val="18"/>
                <w:szCs w:val="18"/>
              </w:rPr>
            </w:pPr>
            <w:r>
              <w:rPr>
                <w:rFonts w:ascii="宋体" w:hAnsi="宋体" w:cs="宋体" w:eastAsia="宋体" w:hint="default"/>
                <w:sz w:val="18"/>
                <w:szCs w:val="18"/>
              </w:rPr>
              <w:t>计算机系统的用户在进入系统或访问不同保护级别的系统资源时，系 统确认该用户的身份是否真实、合法和唯一的过程。这样，就可以防 止非法人员进入系统，防止非法人员通过违法操作获取不正当利益、 访问受控信息、恶意破坏系统数据的完整性。它是应用系统安全的第 一道关口，是所有安全的基础。身份认证技术也包括很多形式：静态 密码、动态密码、证书、指纹识别、</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卡等。</w:t>
            </w:r>
          </w:p>
        </w:tc>
      </w:tr>
      <w:tr>
        <w:trPr>
          <w:trHeight w:val="390" w:hRule="exact"/>
        </w:trPr>
        <w:tc>
          <w:tcPr>
            <w:tcW w:w="3537" w:type="dxa"/>
            <w:vMerge/>
            <w:tcBorders>
              <w:left w:val="single" w:sz="6" w:space="0" w:color="000000"/>
              <w:right w:val="single" w:sz="6" w:space="0" w:color="000000"/>
            </w:tcBorders>
          </w:tcPr>
          <w:p>
            <w:pPr/>
          </w:p>
        </w:tc>
        <w:tc>
          <w:tcPr>
            <w:tcW w:w="60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vMerge/>
            <w:tcBorders>
              <w:left w:val="single" w:sz="12" w:space="0" w:color="D2D2D2"/>
              <w:right w:val="single" w:sz="6" w:space="0" w:color="000000"/>
            </w:tcBorders>
          </w:tcPr>
          <w:p>
            <w:pPr/>
          </w:p>
        </w:tc>
      </w:tr>
      <w:tr>
        <w:trPr>
          <w:trHeight w:val="788" w:hRule="exact"/>
        </w:trPr>
        <w:tc>
          <w:tcPr>
            <w:tcW w:w="3537" w:type="dxa"/>
            <w:vMerge/>
            <w:tcBorders>
              <w:left w:val="single" w:sz="6" w:space="0" w:color="000000"/>
              <w:bottom w:val="single" w:sz="6" w:space="0" w:color="000000"/>
              <w:right w:val="single" w:sz="6" w:space="0" w:color="000000"/>
            </w:tcBorders>
          </w:tcPr>
          <w:p>
            <w:pPr/>
          </w:p>
        </w:tc>
        <w:tc>
          <w:tcPr>
            <w:tcW w:w="601" w:type="dxa"/>
            <w:tcBorders>
              <w:top w:val="nil" w:sz="6" w:space="0" w:color="auto"/>
              <w:left w:val="single" w:sz="6" w:space="0" w:color="000000"/>
              <w:bottom w:val="single" w:sz="6" w:space="0" w:color="000000"/>
              <w:right w:val="single" w:sz="6" w:space="0" w:color="000000"/>
            </w:tcBorders>
            <w:shd w:val="clear" w:color="auto" w:fill="D2D2D2"/>
          </w:tcPr>
          <w:p>
            <w:pPr/>
          </w:p>
        </w:tc>
        <w:tc>
          <w:tcPr>
            <w:tcW w:w="5444" w:type="dxa"/>
            <w:vMerge/>
            <w:tcBorders>
              <w:left w:val="single" w:sz="12" w:space="0" w:color="D2D2D2"/>
              <w:bottom w:val="single" w:sz="6" w:space="0" w:color="000000"/>
              <w:right w:val="single" w:sz="6" w:space="0" w:color="000000"/>
            </w:tcBorders>
          </w:tcPr>
          <w:p>
            <w:pPr/>
          </w:p>
        </w:tc>
      </w:tr>
      <w:tr>
        <w:trPr>
          <w:trHeight w:val="473" w:hRule="exact"/>
        </w:trPr>
        <w:tc>
          <w:tcPr>
            <w:tcW w:w="353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二代</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USB</w:t>
            </w:r>
            <w:r>
              <w:rPr>
                <w:rFonts w:ascii="Times New Roman" w:hAnsi="Times New Roman" w:cs="Times New Roman" w:eastAsia="Times New Roman" w:hint="default"/>
                <w:sz w:val="18"/>
                <w:szCs w:val="18"/>
              </w:rPr>
              <w:t> Key</w:t>
            </w:r>
          </w:p>
        </w:tc>
        <w:tc>
          <w:tcPr>
            <w:tcW w:w="601" w:type="dxa"/>
            <w:tcBorders>
              <w:top w:val="single" w:sz="6" w:space="0" w:color="000000"/>
              <w:left w:val="single" w:sz="6" w:space="0" w:color="000000"/>
              <w:bottom w:val="nil" w:sz="6" w:space="0" w:color="auto"/>
              <w:right w:val="single" w:sz="6" w:space="0" w:color="000000"/>
            </w:tcBorders>
            <w:shd w:val="clear" w:color="auto" w:fill="D2D2D2"/>
          </w:tcPr>
          <w:p>
            <w:pPr/>
          </w:p>
        </w:tc>
        <w:tc>
          <w:tcPr>
            <w:tcW w:w="5444" w:type="dxa"/>
            <w:vMerge w:val="restart"/>
            <w:tcBorders>
              <w:top w:val="single" w:sz="6" w:space="0" w:color="000000"/>
              <w:left w:val="single" w:sz="12" w:space="0" w:color="D2D2D2"/>
              <w:right w:val="single" w:sz="6" w:space="0" w:color="000000"/>
            </w:tcBorders>
          </w:tcPr>
          <w:p>
            <w:pPr>
              <w:pStyle w:val="TableParagraph"/>
              <w:spacing w:line="273" w:lineRule="auto" w:before="60"/>
              <w:ind w:left="30" w:right="1"/>
              <w:jc w:val="left"/>
              <w:rPr>
                <w:rFonts w:ascii="宋体" w:hAnsi="宋体" w:cs="宋体" w:eastAsia="宋体" w:hint="default"/>
                <w:sz w:val="18"/>
                <w:szCs w:val="18"/>
              </w:rPr>
            </w:pPr>
            <w:r>
              <w:rPr>
                <w:rFonts w:ascii="宋体" w:hAnsi="宋体" w:cs="宋体" w:eastAsia="宋体" w:hint="default"/>
                <w:sz w:val="18"/>
                <w:szCs w:val="18"/>
              </w:rPr>
              <w:t>在</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USB</w:t>
            </w:r>
            <w:r>
              <w:rPr>
                <w:rFonts w:ascii="Times New Roman" w:hAnsi="Times New Roman" w:cs="Times New Roman" w:eastAsia="Times New Roman" w:hint="default"/>
                <w:sz w:val="18"/>
                <w:szCs w:val="18"/>
              </w:rPr>
              <w:t> Key</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的应用过程中引入交互环节的复核型产品，增加输入部 </w:t>
            </w:r>
            <w:r>
              <w:rPr>
                <w:rFonts w:ascii="宋体" w:hAnsi="宋体" w:cs="宋体" w:eastAsia="宋体" w:hint="default"/>
                <w:spacing w:val="-3"/>
                <w:sz w:val="18"/>
                <w:szCs w:val="18"/>
              </w:rPr>
              <w:t>件（例如按键）和输出部件（例如液晶屏幕），内置数据解析引擎；</w:t>
            </w:r>
          </w:p>
          <w:p>
            <w:pPr>
              <w:pStyle w:val="TableParagraph"/>
              <w:spacing w:line="240" w:lineRule="auto" w:before="70"/>
              <w:ind w:left="30" w:right="0"/>
              <w:jc w:val="left"/>
              <w:rPr>
                <w:rFonts w:ascii="宋体" w:hAnsi="宋体" w:cs="宋体" w:eastAsia="宋体" w:hint="default"/>
                <w:sz w:val="18"/>
                <w:szCs w:val="18"/>
              </w:rPr>
            </w:pPr>
            <w:r>
              <w:rPr>
                <w:rFonts w:ascii="宋体" w:hAnsi="宋体" w:cs="宋体" w:eastAsia="宋体" w:hint="default"/>
                <w:sz w:val="18"/>
                <w:szCs w:val="18"/>
              </w:rPr>
              <w:t>其提供了一代 </w:t>
            </w:r>
            <w:r>
              <w:rPr>
                <w:rFonts w:ascii="Times New Roman" w:hAnsi="Times New Roman" w:cs="Times New Roman" w:eastAsia="Times New Roman" w:hint="default"/>
                <w:spacing w:val="-3"/>
                <w:sz w:val="18"/>
                <w:szCs w:val="18"/>
              </w:rPr>
              <w:t>USB </w:t>
            </w:r>
            <w:r>
              <w:rPr>
                <w:rFonts w:ascii="Times New Roman" w:hAnsi="Times New Roman" w:cs="Times New Roman" w:eastAsia="Times New Roman" w:hint="default"/>
                <w:sz w:val="18"/>
                <w:szCs w:val="18"/>
              </w:rPr>
              <w:t>Key</w:t>
            </w:r>
            <w:r>
              <w:rPr>
                <w:rFonts w:ascii="Times New Roman" w:hAnsi="Times New Roman" w:cs="Times New Roman" w:eastAsia="Times New Roman" w:hint="default"/>
                <w:spacing w:val="-19"/>
                <w:sz w:val="18"/>
                <w:szCs w:val="18"/>
              </w:rPr>
              <w:t> </w:t>
            </w:r>
            <w:r>
              <w:rPr>
                <w:rFonts w:ascii="宋体" w:hAnsi="宋体" w:cs="宋体" w:eastAsia="宋体" w:hint="default"/>
                <w:spacing w:val="-3"/>
                <w:sz w:val="18"/>
                <w:szCs w:val="18"/>
              </w:rPr>
              <w:t>所不具备的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所见即所签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的安全特性，提高了</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USB </w:t>
            </w:r>
            <w:r>
              <w:rPr>
                <w:rFonts w:ascii="Times New Roman" w:hAnsi="Times New Roman" w:cs="Times New Roman" w:eastAsia="Times New Roman" w:hint="default"/>
                <w:sz w:val="18"/>
                <w:szCs w:val="18"/>
              </w:rPr>
              <w:t>Key</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产品应用的安全性。</w:t>
            </w:r>
          </w:p>
        </w:tc>
      </w:tr>
      <w:tr>
        <w:trPr>
          <w:trHeight w:val="390" w:hRule="exact"/>
        </w:trPr>
        <w:tc>
          <w:tcPr>
            <w:tcW w:w="3537" w:type="dxa"/>
            <w:vMerge/>
            <w:tcBorders>
              <w:left w:val="single" w:sz="6" w:space="0" w:color="000000"/>
              <w:right w:val="single" w:sz="6" w:space="0" w:color="000000"/>
            </w:tcBorders>
          </w:tcPr>
          <w:p>
            <w:pPr/>
          </w:p>
        </w:tc>
        <w:tc>
          <w:tcPr>
            <w:tcW w:w="60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vMerge/>
            <w:tcBorders>
              <w:left w:val="single" w:sz="12" w:space="0" w:color="D2D2D2"/>
              <w:right w:val="single" w:sz="6" w:space="0" w:color="000000"/>
            </w:tcBorders>
          </w:tcPr>
          <w:p>
            <w:pPr/>
          </w:p>
        </w:tc>
      </w:tr>
      <w:tr>
        <w:trPr>
          <w:trHeight w:val="473" w:hRule="exact"/>
        </w:trPr>
        <w:tc>
          <w:tcPr>
            <w:tcW w:w="3537" w:type="dxa"/>
            <w:vMerge/>
            <w:tcBorders>
              <w:left w:val="single" w:sz="6" w:space="0" w:color="000000"/>
              <w:bottom w:val="single" w:sz="6" w:space="0" w:color="000000"/>
              <w:right w:val="single" w:sz="6" w:space="0" w:color="000000"/>
            </w:tcBorders>
          </w:tcPr>
          <w:p>
            <w:pPr/>
          </w:p>
        </w:tc>
        <w:tc>
          <w:tcPr>
            <w:tcW w:w="601" w:type="dxa"/>
            <w:tcBorders>
              <w:top w:val="nil" w:sz="6" w:space="0" w:color="auto"/>
              <w:left w:val="single" w:sz="6" w:space="0" w:color="000000"/>
              <w:bottom w:val="single" w:sz="6" w:space="0" w:color="000000"/>
              <w:right w:val="single" w:sz="6" w:space="0" w:color="000000"/>
            </w:tcBorders>
            <w:shd w:val="clear" w:color="auto" w:fill="D2D2D2"/>
          </w:tcPr>
          <w:p>
            <w:pPr/>
          </w:p>
        </w:tc>
        <w:tc>
          <w:tcPr>
            <w:tcW w:w="5444" w:type="dxa"/>
            <w:vMerge/>
            <w:tcBorders>
              <w:left w:val="single" w:sz="12" w:space="0" w:color="D2D2D2"/>
              <w:bottom w:val="single" w:sz="6" w:space="0" w:color="000000"/>
              <w:right w:val="single" w:sz="6" w:space="0" w:color="000000"/>
            </w:tcBorders>
          </w:tcPr>
          <w:p>
            <w:pPr/>
          </w:p>
        </w:tc>
      </w:tr>
      <w:tr>
        <w:trPr>
          <w:trHeight w:val="405" w:hRule="exact"/>
        </w:trPr>
        <w:tc>
          <w:tcPr>
            <w:tcW w:w="35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IC</w:t>
            </w:r>
            <w:r>
              <w:rPr>
                <w:rFonts w:ascii="宋体" w:hAnsi="宋体" w:cs="宋体" w:eastAsia="宋体" w:hint="default"/>
                <w:sz w:val="18"/>
                <w:szCs w:val="18"/>
              </w:rPr>
              <w:t>、芯片</w:t>
            </w:r>
          </w:p>
        </w:tc>
        <w:tc>
          <w:tcPr>
            <w:tcW w:w="6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集成电路（</w:t>
            </w:r>
            <w:r>
              <w:rPr>
                <w:rFonts w:ascii="Times New Roman" w:hAnsi="Times New Roman" w:cs="Times New Roman" w:eastAsia="Times New Roman" w:hint="default"/>
                <w:sz w:val="18"/>
                <w:szCs w:val="18"/>
              </w:rPr>
              <w:t>Integrated</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Circuit</w:t>
            </w:r>
            <w:r>
              <w:rPr>
                <w:rFonts w:ascii="宋体" w:hAnsi="宋体" w:cs="宋体" w:eastAsia="宋体" w:hint="default"/>
                <w:sz w:val="18"/>
                <w:szCs w:val="18"/>
              </w:rPr>
              <w:t>）</w:t>
            </w:r>
          </w:p>
        </w:tc>
      </w:tr>
      <w:tr>
        <w:trPr>
          <w:trHeight w:val="158" w:hRule="exact"/>
        </w:trPr>
        <w:tc>
          <w:tcPr>
            <w:tcW w:w="3537"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磁条卡</w:t>
            </w:r>
          </w:p>
        </w:tc>
        <w:tc>
          <w:tcPr>
            <w:tcW w:w="601" w:type="dxa"/>
            <w:tcBorders>
              <w:top w:val="single" w:sz="6" w:space="0" w:color="000000"/>
              <w:left w:val="single" w:sz="6" w:space="0" w:color="000000"/>
              <w:bottom w:val="nil" w:sz="6" w:space="0" w:color="auto"/>
              <w:right w:val="single" w:sz="6" w:space="0" w:color="000000"/>
            </w:tcBorders>
            <w:shd w:val="clear" w:color="auto" w:fill="D2D2D2"/>
          </w:tcPr>
          <w:p>
            <w:pPr/>
          </w:p>
        </w:tc>
        <w:tc>
          <w:tcPr>
            <w:tcW w:w="5444" w:type="dxa"/>
            <w:vMerge w:val="restart"/>
            <w:tcBorders>
              <w:top w:val="single" w:sz="6" w:space="0" w:color="000000"/>
              <w:left w:val="single" w:sz="12" w:space="0" w:color="D2D2D2"/>
              <w:right w:val="single" w:sz="6" w:space="0" w:color="000000"/>
            </w:tcBorders>
          </w:tcPr>
          <w:p>
            <w:pPr>
              <w:pStyle w:val="TableParagraph"/>
              <w:spacing w:line="276" w:lineRule="auto" w:before="59"/>
              <w:ind w:left="30" w:right="93"/>
              <w:jc w:val="left"/>
              <w:rPr>
                <w:rFonts w:ascii="宋体" w:hAnsi="宋体" w:cs="宋体" w:eastAsia="宋体" w:hint="default"/>
                <w:sz w:val="18"/>
                <w:szCs w:val="18"/>
              </w:rPr>
            </w:pPr>
            <w:r>
              <w:rPr>
                <w:rFonts w:ascii="宋体" w:hAnsi="宋体" w:cs="宋体" w:eastAsia="宋体" w:hint="default"/>
                <w:sz w:val="18"/>
                <w:szCs w:val="18"/>
              </w:rPr>
              <w:t>在普通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PVC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卡上覆盖一层编码磁性材料带，数据和资讯以不同磁模 式存储于磁条内，目前主要用于银行卡领域。</w:t>
            </w:r>
          </w:p>
        </w:tc>
      </w:tr>
      <w:tr>
        <w:trPr>
          <w:trHeight w:val="390" w:hRule="exact"/>
        </w:trPr>
        <w:tc>
          <w:tcPr>
            <w:tcW w:w="3537" w:type="dxa"/>
            <w:vMerge/>
            <w:tcBorders>
              <w:left w:val="single" w:sz="6" w:space="0" w:color="000000"/>
              <w:right w:val="single" w:sz="6" w:space="0" w:color="000000"/>
            </w:tcBorders>
          </w:tcPr>
          <w:p>
            <w:pPr/>
          </w:p>
        </w:tc>
        <w:tc>
          <w:tcPr>
            <w:tcW w:w="60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vMerge/>
            <w:tcBorders>
              <w:left w:val="single" w:sz="12" w:space="0" w:color="D2D2D2"/>
              <w:right w:val="single" w:sz="6" w:space="0" w:color="000000"/>
            </w:tcBorders>
          </w:tcPr>
          <w:p>
            <w:pPr/>
          </w:p>
        </w:tc>
      </w:tr>
      <w:tr>
        <w:trPr>
          <w:trHeight w:val="173" w:hRule="exact"/>
        </w:trPr>
        <w:tc>
          <w:tcPr>
            <w:tcW w:w="3537" w:type="dxa"/>
            <w:vMerge/>
            <w:tcBorders>
              <w:left w:val="single" w:sz="6" w:space="0" w:color="000000"/>
              <w:bottom w:val="single" w:sz="6" w:space="0" w:color="000000"/>
              <w:right w:val="single" w:sz="6" w:space="0" w:color="000000"/>
            </w:tcBorders>
          </w:tcPr>
          <w:p>
            <w:pPr/>
          </w:p>
        </w:tc>
        <w:tc>
          <w:tcPr>
            <w:tcW w:w="601" w:type="dxa"/>
            <w:tcBorders>
              <w:top w:val="nil" w:sz="6" w:space="0" w:color="auto"/>
              <w:left w:val="single" w:sz="6" w:space="0" w:color="000000"/>
              <w:bottom w:val="single" w:sz="6" w:space="0" w:color="000000"/>
              <w:right w:val="single" w:sz="6" w:space="0" w:color="000000"/>
            </w:tcBorders>
            <w:shd w:val="clear" w:color="auto" w:fill="D2D2D2"/>
          </w:tcPr>
          <w:p>
            <w:pPr/>
          </w:p>
        </w:tc>
        <w:tc>
          <w:tcPr>
            <w:tcW w:w="5444" w:type="dxa"/>
            <w:vMerge/>
            <w:tcBorders>
              <w:left w:val="single" w:sz="12" w:space="0" w:color="D2D2D2"/>
              <w:bottom w:val="single" w:sz="6" w:space="0" w:color="000000"/>
              <w:right w:val="single" w:sz="6" w:space="0" w:color="000000"/>
            </w:tcBorders>
          </w:tcPr>
          <w:p>
            <w:pPr/>
          </w:p>
        </w:tc>
      </w:tr>
      <w:tr>
        <w:trPr>
          <w:trHeight w:val="157" w:hRule="exact"/>
        </w:trPr>
        <w:tc>
          <w:tcPr>
            <w:tcW w:w="3537" w:type="dxa"/>
            <w:vMerge w:val="restart"/>
            <w:tcBorders>
              <w:top w:val="single" w:sz="6" w:space="0" w:color="000000"/>
              <w:left w:val="single" w:sz="6" w:space="0" w:color="000000"/>
              <w:right w:val="single" w:sz="12"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IC </w:t>
            </w:r>
            <w:r>
              <w:rPr>
                <w:rFonts w:ascii="宋体" w:hAnsi="宋体" w:cs="宋体" w:eastAsia="宋体" w:hint="default"/>
                <w:sz w:val="18"/>
                <w:szCs w:val="18"/>
              </w:rPr>
              <w:t>卡、</w:t>
            </w:r>
            <w:r>
              <w:rPr>
                <w:rFonts w:ascii="Times New Roman" w:hAnsi="Times New Roman" w:cs="Times New Roman" w:eastAsia="Times New Roman" w:hint="default"/>
                <w:sz w:val="18"/>
                <w:szCs w:val="18"/>
              </w:rPr>
              <w:t>CPU</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卡</w:t>
            </w:r>
          </w:p>
        </w:tc>
        <w:tc>
          <w:tcPr>
            <w:tcW w:w="601" w:type="dxa"/>
            <w:tcBorders>
              <w:top w:val="single" w:sz="6" w:space="0" w:color="000000"/>
              <w:left w:val="single" w:sz="6" w:space="0" w:color="000000"/>
              <w:bottom w:val="nil" w:sz="6" w:space="0" w:color="auto"/>
              <w:right w:val="single" w:sz="6" w:space="0" w:color="000000"/>
            </w:tcBorders>
            <w:shd w:val="clear" w:color="auto" w:fill="D2D2D2"/>
          </w:tcPr>
          <w:p>
            <w:pPr/>
          </w:p>
        </w:tc>
        <w:tc>
          <w:tcPr>
            <w:tcW w:w="5444" w:type="dxa"/>
            <w:vMerge w:val="restart"/>
            <w:tcBorders>
              <w:top w:val="single" w:sz="6" w:space="0" w:color="000000"/>
              <w:left w:val="single" w:sz="12" w:space="0" w:color="D2D2D2"/>
              <w:right w:val="single" w:sz="6" w:space="0" w:color="000000"/>
            </w:tcBorders>
          </w:tcPr>
          <w:p>
            <w:pPr>
              <w:pStyle w:val="TableParagraph"/>
              <w:spacing w:line="290" w:lineRule="auto" w:before="44"/>
              <w:ind w:left="30" w:right="3"/>
              <w:jc w:val="left"/>
              <w:rPr>
                <w:rFonts w:ascii="宋体" w:hAnsi="宋体" w:cs="宋体" w:eastAsia="宋体" w:hint="default"/>
                <w:sz w:val="18"/>
                <w:szCs w:val="18"/>
              </w:rPr>
            </w:pPr>
            <w:r>
              <w:rPr>
                <w:rFonts w:ascii="宋体" w:hAnsi="宋体" w:cs="宋体" w:eastAsia="宋体" w:hint="default"/>
                <w:sz w:val="18"/>
                <w:szCs w:val="18"/>
              </w:rPr>
              <w:t>由集成电路（</w:t>
            </w:r>
            <w:r>
              <w:rPr>
                <w:rFonts w:ascii="Times New Roman" w:hAnsi="Times New Roman" w:cs="Times New Roman" w:eastAsia="Times New Roman" w:hint="default"/>
                <w:sz w:val="18"/>
                <w:szCs w:val="18"/>
              </w:rPr>
              <w:t>IC</w:t>
            </w:r>
            <w:r>
              <w:rPr>
                <w:rFonts w:ascii="宋体" w:hAnsi="宋体" w:cs="宋体" w:eastAsia="宋体" w:hint="default"/>
                <w:sz w:val="18"/>
                <w:szCs w:val="18"/>
              </w:rPr>
              <w:t>）芯片、卡载体（塑料片）以及卡内信息构成的具有 根据不同应用领域特征进行数据存储和数据处理的智能型卡片。</w:t>
            </w:r>
          </w:p>
        </w:tc>
      </w:tr>
      <w:tr>
        <w:trPr>
          <w:trHeight w:val="390" w:hRule="exact"/>
        </w:trPr>
        <w:tc>
          <w:tcPr>
            <w:tcW w:w="3537" w:type="dxa"/>
            <w:vMerge/>
            <w:tcBorders>
              <w:left w:val="single" w:sz="6" w:space="0" w:color="000000"/>
              <w:right w:val="single" w:sz="12" w:space="0" w:color="000000"/>
            </w:tcBorders>
          </w:tcPr>
          <w:p>
            <w:pPr/>
          </w:p>
        </w:tc>
        <w:tc>
          <w:tcPr>
            <w:tcW w:w="60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vMerge/>
            <w:tcBorders>
              <w:left w:val="single" w:sz="12" w:space="0" w:color="D2D2D2"/>
              <w:right w:val="single" w:sz="6" w:space="0" w:color="000000"/>
            </w:tcBorders>
          </w:tcPr>
          <w:p>
            <w:pPr/>
          </w:p>
        </w:tc>
      </w:tr>
      <w:tr>
        <w:trPr>
          <w:trHeight w:val="158" w:hRule="exact"/>
        </w:trPr>
        <w:tc>
          <w:tcPr>
            <w:tcW w:w="3537" w:type="dxa"/>
            <w:vMerge/>
            <w:tcBorders>
              <w:left w:val="single" w:sz="6" w:space="0" w:color="000000"/>
              <w:bottom w:val="single" w:sz="6" w:space="0" w:color="000000"/>
              <w:right w:val="single" w:sz="12" w:space="0" w:color="000000"/>
            </w:tcBorders>
          </w:tcPr>
          <w:p>
            <w:pPr/>
          </w:p>
        </w:tc>
        <w:tc>
          <w:tcPr>
            <w:tcW w:w="601" w:type="dxa"/>
            <w:tcBorders>
              <w:top w:val="nil" w:sz="6" w:space="0" w:color="auto"/>
              <w:left w:val="single" w:sz="6" w:space="0" w:color="000000"/>
              <w:bottom w:val="single" w:sz="6" w:space="0" w:color="000000"/>
              <w:right w:val="single" w:sz="6" w:space="0" w:color="000000"/>
            </w:tcBorders>
            <w:shd w:val="clear" w:color="auto" w:fill="D2D2D2"/>
          </w:tcPr>
          <w:p>
            <w:pPr/>
          </w:p>
        </w:tc>
        <w:tc>
          <w:tcPr>
            <w:tcW w:w="5444" w:type="dxa"/>
            <w:vMerge/>
            <w:tcBorders>
              <w:left w:val="single" w:sz="12" w:space="0" w:color="D2D2D2"/>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7"/>
          <w:szCs w:val="17"/>
        </w:rPr>
      </w:pPr>
    </w:p>
    <w:p>
      <w:pPr>
        <w:pStyle w:val="BodyText"/>
        <w:spacing w:line="240" w:lineRule="auto" w:before="44"/>
        <w:ind w:left="0" w:right="1142"/>
        <w:jc w:val="right"/>
      </w:pPr>
      <w:r>
        <w:rPr/>
        <w:pict>
          <v:shape style="position:absolute;margin-left:56.325001pt;margin-top:-280.038269pt;width:480.25pt;height:587.7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30"/>
                    <w:gridCol w:w="616"/>
                    <w:gridCol w:w="5437"/>
                  </w:tblGrid>
                  <w:tr>
                    <w:trPr>
                      <w:trHeight w:val="3212" w:hRule="exact"/>
                    </w:trPr>
                    <w:tc>
                      <w:tcPr>
                        <w:tcW w:w="3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COS</w:t>
                        </w:r>
                        <w:r>
                          <w:rPr>
                            <w:rFonts w:ascii="宋体" w:hAnsi="宋体" w:cs="宋体" w:eastAsia="宋体" w:hint="default"/>
                            <w:sz w:val="18"/>
                            <w:szCs w:val="18"/>
                          </w:rPr>
                          <w:t>、片内操作系统</w:t>
                        </w:r>
                      </w:p>
                    </w:tc>
                    <w:tc>
                      <w:tcPr>
                        <w:tcW w:w="6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30" w:right="-9"/>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Chip</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w w:val="99"/>
                            <w:sz w:val="18"/>
                            <w:szCs w:val="18"/>
                          </w:rPr>
                          <w:t>Operating</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3"/>
                            <w:w w:val="99"/>
                            <w:sz w:val="18"/>
                            <w:szCs w:val="18"/>
                          </w:rPr>
                          <w:t>System</w:t>
                        </w:r>
                        <w:r>
                          <w:rPr>
                            <w:rFonts w:ascii="宋体" w:hAnsi="宋体" w:cs="宋体" w:eastAsia="宋体" w:hint="default"/>
                            <w:spacing w:val="-3"/>
                            <w:w w:val="99"/>
                            <w:sz w:val="18"/>
                            <w:szCs w:val="18"/>
                          </w:rPr>
                          <w:t>（片内操作系统），是一种嵌入式软件，专为智</w:t>
                        </w:r>
                        <w:r>
                          <w:rPr>
                            <w:rFonts w:ascii="宋体" w:hAnsi="宋体" w:cs="宋体" w:eastAsia="宋体" w:hint="default"/>
                            <w:spacing w:val="-82"/>
                            <w:w w:val="99"/>
                            <w:sz w:val="18"/>
                            <w:szCs w:val="18"/>
                          </w:rPr>
                          <w:t> </w:t>
                        </w:r>
                        <w:r>
                          <w:rPr>
                            <w:rFonts w:ascii="宋体" w:hAnsi="宋体" w:cs="宋体" w:eastAsia="宋体" w:hint="default"/>
                            <w:spacing w:val="-82"/>
                            <w:w w:val="99"/>
                            <w:sz w:val="18"/>
                            <w:szCs w:val="18"/>
                          </w:rPr>
                        </w:r>
                        <w:r>
                          <w:rPr>
                            <w:rFonts w:ascii="宋体" w:hAnsi="宋体" w:cs="宋体" w:eastAsia="宋体" w:hint="default"/>
                            <w:sz w:val="18"/>
                            <w:szCs w:val="18"/>
                          </w:rPr>
                          <w:t>能卡设计的操作系统，其主要功能是控制智能卡和外界的信息交换， 管理智能卡内的存储器并在卡内部完成各种命令的处理，是智能卡的</w:t>
                        </w:r>
                      </w:p>
                      <w:p>
                        <w:pPr>
                          <w:pStyle w:val="TableParagraph"/>
                          <w:spacing w:line="304" w:lineRule="auto" w:before="51"/>
                          <w:ind w:left="30" w:right="15"/>
                          <w:jc w:val="both"/>
                          <w:rPr>
                            <w:rFonts w:ascii="宋体" w:hAnsi="宋体" w:cs="宋体" w:eastAsia="宋体" w:hint="default"/>
                            <w:sz w:val="18"/>
                            <w:szCs w:val="18"/>
                          </w:rPr>
                        </w:pPr>
                        <w:r>
                          <w:rPr>
                            <w:rFonts w:ascii="宋体" w:hAnsi="宋体" w:cs="宋体" w:eastAsia="宋体" w:hint="default"/>
                            <w:sz w:val="18"/>
                            <w:szCs w:val="18"/>
                          </w:rPr>
                          <w:t>核心和关键技术。</w:t>
                        </w:r>
                        <w:r>
                          <w:rPr>
                            <w:rFonts w:ascii="Times New Roman" w:hAnsi="Times New Roman" w:cs="Times New Roman" w:eastAsia="Times New Roman" w:hint="default"/>
                            <w:sz w:val="18"/>
                            <w:szCs w:val="18"/>
                          </w:rPr>
                          <w:t>COS</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在设计时一般都是紧密结合智能卡内存储器</w:t>
                        </w:r>
                        <w:r>
                          <w:rPr>
                            <w:rFonts w:ascii="宋体" w:hAnsi="宋体" w:cs="宋体" w:eastAsia="宋体" w:hint="default"/>
                            <w:spacing w:val="-88"/>
                            <w:sz w:val="18"/>
                            <w:szCs w:val="18"/>
                          </w:rPr>
                          <w:t> </w:t>
                        </w:r>
                        <w:r>
                          <w:rPr>
                            <w:rFonts w:ascii="宋体" w:hAnsi="宋体" w:cs="宋体" w:eastAsia="宋体" w:hint="default"/>
                            <w:sz w:val="18"/>
                            <w:szCs w:val="18"/>
                          </w:rPr>
                          <w:t>分区的情况，按照国际标准（</w:t>
                        </w:r>
                        <w:r>
                          <w:rPr>
                            <w:rFonts w:ascii="Times New Roman" w:hAnsi="Times New Roman" w:cs="Times New Roman" w:eastAsia="Times New Roman" w:hint="default"/>
                            <w:sz w:val="18"/>
                            <w:szCs w:val="18"/>
                          </w:rPr>
                          <w:t>ISO</w:t>
                        </w:r>
                        <w:r>
                          <w:rPr>
                            <w:rFonts w:ascii="宋体" w:hAnsi="宋体" w:cs="宋体" w:eastAsia="宋体" w:hint="default"/>
                            <w:sz w:val="18"/>
                            <w:szCs w:val="18"/>
                          </w:rPr>
                          <w:t>／</w:t>
                        </w:r>
                        <w:r>
                          <w:rPr>
                            <w:rFonts w:ascii="Times New Roman" w:hAnsi="Times New Roman" w:cs="Times New Roman" w:eastAsia="Times New Roman" w:hint="default"/>
                            <w:sz w:val="18"/>
                            <w:szCs w:val="18"/>
                          </w:rPr>
                          <w:t>IEC7816</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系列标准）中所规定的 </w:t>
                        </w:r>
                        <w:r>
                          <w:rPr>
                            <w:rFonts w:ascii="宋体" w:hAnsi="宋体" w:cs="宋体" w:eastAsia="宋体" w:hint="default"/>
                            <w:spacing w:val="-5"/>
                            <w:sz w:val="18"/>
                            <w:szCs w:val="18"/>
                          </w:rPr>
                          <w:t>功能进行设计、开发。</w:t>
                        </w:r>
                        <w:r>
                          <w:rPr>
                            <w:rFonts w:ascii="Times New Roman" w:hAnsi="Times New Roman" w:cs="Times New Roman" w:eastAsia="Times New Roman" w:hint="default"/>
                            <w:spacing w:val="-5"/>
                            <w:sz w:val="18"/>
                            <w:szCs w:val="18"/>
                          </w:rPr>
                          <w:t>COS </w:t>
                        </w:r>
                        <w:r>
                          <w:rPr>
                            <w:rFonts w:ascii="宋体" w:hAnsi="宋体" w:cs="宋体" w:eastAsia="宋体" w:hint="default"/>
                            <w:sz w:val="18"/>
                            <w:szCs w:val="18"/>
                          </w:rPr>
                          <w:t>系统的自主开发能力是衡量智能卡企业是</w:t>
                        </w:r>
                        <w:r>
                          <w:rPr>
                            <w:rFonts w:ascii="宋体" w:hAnsi="宋体" w:cs="宋体" w:eastAsia="宋体" w:hint="default"/>
                            <w:spacing w:val="-86"/>
                            <w:sz w:val="18"/>
                            <w:szCs w:val="18"/>
                          </w:rPr>
                          <w:t> </w:t>
                        </w:r>
                        <w:r>
                          <w:rPr>
                            <w:rFonts w:ascii="宋体" w:hAnsi="宋体" w:cs="宋体" w:eastAsia="宋体" w:hint="default"/>
                            <w:spacing w:val="-3"/>
                            <w:sz w:val="18"/>
                            <w:szCs w:val="18"/>
                          </w:rPr>
                          <w:t>否具有核心技术优势的重要因素之一。</w:t>
                        </w:r>
                        <w:r>
                          <w:rPr>
                            <w:rFonts w:ascii="Times New Roman" w:hAnsi="Times New Roman" w:cs="Times New Roman" w:eastAsia="Times New Roman" w:hint="default"/>
                            <w:spacing w:val="-3"/>
                            <w:sz w:val="18"/>
                            <w:szCs w:val="18"/>
                          </w:rPr>
                          <w:t>COS</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的出现不仅大大地改善了</w:t>
                        </w:r>
                        <w:r>
                          <w:rPr>
                            <w:rFonts w:ascii="宋体" w:hAnsi="宋体" w:cs="宋体" w:eastAsia="宋体" w:hint="default"/>
                            <w:spacing w:val="-88"/>
                            <w:sz w:val="18"/>
                            <w:szCs w:val="18"/>
                          </w:rPr>
                          <w:t> </w:t>
                        </w:r>
                        <w:r>
                          <w:rPr>
                            <w:rFonts w:ascii="宋体" w:hAnsi="宋体" w:cs="宋体" w:eastAsia="宋体" w:hint="default"/>
                            <w:spacing w:val="-2"/>
                            <w:sz w:val="18"/>
                            <w:szCs w:val="18"/>
                          </w:rPr>
                          <w:t>智能卡的交互界面，使智能卡的管理变得容易；而且，更为重要的是</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使智能卡本身向着个人计算机化的方向迈出了一大步，为智能卡的发</w:t>
                        </w:r>
                        <w:r>
                          <w:rPr>
                            <w:rFonts w:ascii="宋体" w:hAnsi="宋体" w:cs="宋体" w:eastAsia="宋体" w:hint="default"/>
                            <w:sz w:val="18"/>
                            <w:szCs w:val="18"/>
                          </w:rPr>
                          <w:t> 展开拓了极为广阔的前景。</w:t>
                        </w:r>
                      </w:p>
                    </w:tc>
                  </w:tr>
                  <w:tr>
                    <w:trPr>
                      <w:trHeight w:val="405" w:hRule="exact"/>
                    </w:trPr>
                    <w:tc>
                      <w:tcPr>
                        <w:tcW w:w="3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FT-COS</w:t>
                        </w:r>
                        <w:r>
                          <w:rPr>
                            <w:rFonts w:ascii="宋体" w:hAnsi="宋体" w:cs="宋体" w:eastAsia="宋体" w:hint="default"/>
                            <w:sz w:val="18"/>
                            <w:szCs w:val="18"/>
                          </w:rPr>
                          <w:t>、</w:t>
                        </w:r>
                        <w:r>
                          <w:rPr>
                            <w:rFonts w:ascii="Times New Roman" w:hAnsi="Times New Roman" w:cs="Times New Roman" w:eastAsia="Times New Roman" w:hint="default"/>
                            <w:sz w:val="18"/>
                            <w:szCs w:val="18"/>
                          </w:rPr>
                          <w:t>FTCOS</w:t>
                        </w:r>
                      </w:p>
                    </w:tc>
                    <w:tc>
                      <w:tcPr>
                        <w:tcW w:w="6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宋体" w:hAnsi="宋体" w:cs="宋体" w:eastAsia="宋体" w:hint="default"/>
                            <w:sz w:val="18"/>
                            <w:szCs w:val="18"/>
                          </w:rPr>
                          <w:t>飞天诚信自己开发的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COS</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片内操作系统。</w:t>
                        </w:r>
                      </w:p>
                    </w:tc>
                  </w:tr>
                  <w:tr>
                    <w:trPr>
                      <w:trHeight w:val="1967" w:hRule="exact"/>
                    </w:trPr>
                    <w:tc>
                      <w:tcPr>
                        <w:tcW w:w="3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5" w:right="0"/>
                          <w:jc w:val="left"/>
                          <w:rPr>
                            <w:rFonts w:ascii="Times New Roman" w:hAnsi="Times New Roman" w:cs="Times New Roman" w:eastAsia="Times New Roman" w:hint="default"/>
                            <w:sz w:val="18"/>
                            <w:szCs w:val="18"/>
                          </w:rPr>
                        </w:pPr>
                        <w:r>
                          <w:rPr>
                            <w:rFonts w:ascii="Times New Roman"/>
                            <w:spacing w:val="4"/>
                            <w:sz w:val="18"/>
                          </w:rPr>
                          <w:t>PKI</w:t>
                        </w:r>
                        <w:r>
                          <w:rPr>
                            <w:rFonts w:ascii="Times New Roman"/>
                            <w:sz w:val="18"/>
                          </w:rPr>
                        </w:r>
                      </w:p>
                    </w:tc>
                    <w:tc>
                      <w:tcPr>
                        <w:tcW w:w="6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44"/>
                          <w:ind w:left="30"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Public Key Infrastructure</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的缩写，是指用公钥概念和技术来实施和提 供安全服务的具有普适性的安全基础架构。</w:t>
                        </w:r>
                        <w:r>
                          <w:rPr>
                            <w:rFonts w:ascii="Times New Roman" w:hAnsi="Times New Roman" w:cs="Times New Roman" w:eastAsia="Times New Roman" w:hint="default"/>
                            <w:sz w:val="18"/>
                            <w:szCs w:val="18"/>
                          </w:rPr>
                          <w:t>PKI</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从理论上，提供了一</w:t>
                        </w:r>
                        <w:r>
                          <w:rPr>
                            <w:rFonts w:ascii="宋体" w:hAnsi="宋体" w:cs="宋体" w:eastAsia="宋体" w:hint="default"/>
                            <w:spacing w:val="-87"/>
                            <w:sz w:val="18"/>
                            <w:szCs w:val="18"/>
                          </w:rPr>
                          <w:t> </w:t>
                        </w:r>
                        <w:r>
                          <w:rPr>
                            <w:rFonts w:ascii="宋体" w:hAnsi="宋体" w:cs="宋体" w:eastAsia="宋体" w:hint="default"/>
                            <w:spacing w:val="-3"/>
                            <w:sz w:val="18"/>
                            <w:szCs w:val="18"/>
                          </w:rPr>
                          <w:t>个安全框架，其安全的核心是对私钥的保护；</w:t>
                        </w:r>
                        <w:r>
                          <w:rPr>
                            <w:rFonts w:ascii="Times New Roman" w:hAnsi="Times New Roman" w:cs="Times New Roman" w:eastAsia="Times New Roman" w:hint="default"/>
                            <w:spacing w:val="-3"/>
                            <w:sz w:val="18"/>
                            <w:szCs w:val="18"/>
                          </w:rPr>
                          <w:t>USB </w:t>
                        </w:r>
                        <w:r>
                          <w:rPr>
                            <w:rFonts w:ascii="Times New Roman" w:hAnsi="Times New Roman" w:cs="Times New Roman" w:eastAsia="Times New Roman" w:hint="default"/>
                            <w:sz w:val="18"/>
                            <w:szCs w:val="18"/>
                          </w:rPr>
                          <w:t>Key</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安全产品内置 </w:t>
                        </w:r>
                        <w:r>
                          <w:rPr>
                            <w:rFonts w:ascii="Times New Roman" w:hAnsi="Times New Roman" w:cs="Times New Roman" w:eastAsia="Times New Roman" w:hint="default"/>
                            <w:sz w:val="18"/>
                            <w:szCs w:val="18"/>
                          </w:rPr>
                          <w:t>CPU </w:t>
                        </w:r>
                        <w:r>
                          <w:rPr>
                            <w:rFonts w:ascii="宋体" w:hAnsi="宋体" w:cs="宋体" w:eastAsia="宋体" w:hint="default"/>
                            <w:sz w:val="18"/>
                            <w:szCs w:val="18"/>
                          </w:rPr>
                          <w:t>和安全存储单元，涉及私钥的安全运算在 </w:t>
                        </w:r>
                        <w:r>
                          <w:rPr>
                            <w:rFonts w:ascii="Times New Roman" w:hAnsi="Times New Roman" w:cs="Times New Roman" w:eastAsia="Times New Roman" w:hint="default"/>
                            <w:spacing w:val="-3"/>
                            <w:sz w:val="18"/>
                            <w:szCs w:val="18"/>
                          </w:rPr>
                          <w:t>USB </w:t>
                        </w:r>
                        <w:r>
                          <w:rPr>
                            <w:rFonts w:ascii="Times New Roman" w:hAnsi="Times New Roman" w:cs="Times New Roman" w:eastAsia="Times New Roman" w:hint="default"/>
                            <w:sz w:val="18"/>
                            <w:szCs w:val="18"/>
                          </w:rPr>
                          <w:t>Key</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内完成，可 </w:t>
                        </w:r>
                        <w:r>
                          <w:rPr>
                            <w:rFonts w:ascii="宋体" w:hAnsi="宋体" w:cs="宋体" w:eastAsia="宋体" w:hint="default"/>
                            <w:spacing w:val="-1"/>
                            <w:sz w:val="18"/>
                            <w:szCs w:val="18"/>
                          </w:rPr>
                          <w:t>以保证私钥永远不被导出，保证了私钥的绝对安全，从而保证了身份</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认证的准确和安全。</w:t>
                        </w:r>
                      </w:p>
                    </w:tc>
                  </w:tr>
                  <w:tr>
                    <w:trPr>
                      <w:trHeight w:val="391" w:hRule="exact"/>
                    </w:trPr>
                    <w:tc>
                      <w:tcPr>
                        <w:tcW w:w="3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Java</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卡</w:t>
                        </w:r>
                      </w:p>
                    </w:tc>
                    <w:tc>
                      <w:tcPr>
                        <w:tcW w:w="6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采用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Java</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技术的智能卡，</w:t>
                        </w:r>
                        <w:r>
                          <w:rPr>
                            <w:rFonts w:ascii="Times New Roman" w:hAnsi="Times New Roman" w:cs="Times New Roman" w:eastAsia="Times New Roman" w:hint="default"/>
                            <w:sz w:val="18"/>
                            <w:szCs w:val="18"/>
                          </w:rPr>
                          <w:t>Java</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卡是</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Sun</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公司提出的一种智能卡标准</w:t>
                        </w:r>
                      </w:p>
                    </w:tc>
                  </w:tr>
                  <w:tr>
                    <w:trPr>
                      <w:trHeight w:val="1036" w:hRule="exact"/>
                    </w:trPr>
                    <w:tc>
                      <w:tcPr>
                        <w:tcW w:w="3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pacing w:val="-3"/>
                            <w:sz w:val="18"/>
                          </w:rPr>
                          <w:t>USB</w:t>
                        </w:r>
                        <w:r>
                          <w:rPr>
                            <w:rFonts w:ascii="Times New Roman"/>
                            <w:sz w:val="18"/>
                          </w:rPr>
                          <w:t> Key</w:t>
                        </w:r>
                      </w:p>
                    </w:tc>
                    <w:tc>
                      <w:tcPr>
                        <w:tcW w:w="6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0"/>
                          <w:ind w:left="30" w:right="19"/>
                          <w:jc w:val="both"/>
                          <w:rPr>
                            <w:rFonts w:ascii="宋体" w:hAnsi="宋体" w:cs="宋体" w:eastAsia="宋体" w:hint="default"/>
                            <w:sz w:val="18"/>
                            <w:szCs w:val="18"/>
                          </w:rPr>
                        </w:pPr>
                        <w:r>
                          <w:rPr>
                            <w:rFonts w:ascii="宋体" w:hAnsi="宋体" w:cs="宋体" w:eastAsia="宋体" w:hint="default"/>
                            <w:sz w:val="18"/>
                            <w:szCs w:val="18"/>
                          </w:rPr>
                          <w:t>一种 </w:t>
                        </w:r>
                        <w:r>
                          <w:rPr>
                            <w:rFonts w:ascii="Times New Roman" w:hAnsi="Times New Roman" w:cs="Times New Roman" w:eastAsia="Times New Roman" w:hint="default"/>
                            <w:spacing w:val="-3"/>
                            <w:sz w:val="18"/>
                            <w:szCs w:val="18"/>
                          </w:rPr>
                          <w:t>USB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接口的硬件设备，内置安全芯片，可安全存储用户密钥或 </w:t>
                        </w:r>
                        <w:r>
                          <w:rPr>
                            <w:rFonts w:ascii="宋体" w:hAnsi="宋体" w:cs="宋体" w:eastAsia="宋体" w:hint="default"/>
                            <w:spacing w:val="-1"/>
                            <w:sz w:val="18"/>
                            <w:szCs w:val="18"/>
                          </w:rPr>
                          <w:t>数字证书，利用内置的密码算法实现对用户身份的认证，并实现数据</w:t>
                        </w:r>
                        <w:r>
                          <w:rPr>
                            <w:rFonts w:ascii="宋体" w:hAnsi="宋体" w:cs="宋体" w:eastAsia="宋体" w:hint="default"/>
                            <w:sz w:val="18"/>
                            <w:szCs w:val="18"/>
                          </w:rPr>
                          <w:t> 加解密等功能。</w:t>
                        </w:r>
                      </w:p>
                    </w:tc>
                  </w:tr>
                  <w:tr>
                    <w:trPr>
                      <w:trHeight w:val="406" w:hRule="exact"/>
                    </w:trPr>
                    <w:tc>
                      <w:tcPr>
                        <w:tcW w:w="3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OTP</w:t>
                        </w:r>
                        <w:r>
                          <w:rPr>
                            <w:rFonts w:ascii="宋体" w:hAnsi="宋体" w:cs="宋体" w:eastAsia="宋体" w:hint="default"/>
                            <w:sz w:val="18"/>
                            <w:szCs w:val="18"/>
                          </w:rPr>
                          <w:t>、</w:t>
                        </w:r>
                        <w:r>
                          <w:rPr>
                            <w:rFonts w:ascii="Times New Roman" w:hAnsi="Times New Roman" w:cs="Times New Roman" w:eastAsia="Times New Roman" w:hint="default"/>
                            <w:sz w:val="18"/>
                            <w:szCs w:val="18"/>
                          </w:rPr>
                          <w:t>OTP</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动态令牌</w:t>
                        </w:r>
                      </w:p>
                    </w:tc>
                    <w:tc>
                      <w:tcPr>
                        <w:tcW w:w="6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Times New Roman" w:hAnsi="Times New Roman" w:cs="Times New Roman" w:eastAsia="Times New Roman" w:hint="default"/>
                            <w:spacing w:val="4"/>
                            <w:w w:val="99"/>
                            <w:sz w:val="18"/>
                            <w:szCs w:val="18"/>
                          </w:rPr>
                          <w:t>O</w:t>
                        </w:r>
                        <w:r>
                          <w:rPr>
                            <w:rFonts w:ascii="Times New Roman" w:hAnsi="Times New Roman" w:cs="Times New Roman" w:eastAsia="Times New Roman" w:hint="default"/>
                            <w:sz w:val="18"/>
                            <w:szCs w:val="18"/>
                          </w:rPr>
                          <w:t>n</w:t>
                        </w:r>
                        <w:r>
                          <w:rPr>
                            <w:rFonts w:ascii="Times New Roman" w:hAnsi="Times New Roman" w:cs="Times New Roman" w:eastAsia="Times New Roman" w:hint="default"/>
                            <w:spacing w:val="-5"/>
                            <w:sz w:val="18"/>
                            <w:szCs w:val="18"/>
                          </w:rPr>
                          <w:t>e</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9"/>
                            <w:sz w:val="18"/>
                            <w:szCs w:val="18"/>
                          </w:rPr>
                          <w:t>T</w:t>
                        </w:r>
                        <w:r>
                          <w:rPr>
                            <w:rFonts w:ascii="Times New Roman" w:hAnsi="Times New Roman" w:cs="Times New Roman" w:eastAsia="Times New Roman" w:hint="default"/>
                            <w:spacing w:val="-5"/>
                            <w:sz w:val="18"/>
                            <w:szCs w:val="18"/>
                          </w:rPr>
                          <w:t>im</w:t>
                        </w: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pacing w:val="4"/>
                            <w:w w:val="99"/>
                            <w:sz w:val="18"/>
                            <w:szCs w:val="18"/>
                          </w:rPr>
                          <w:t>P</w:t>
                        </w:r>
                        <w:r>
                          <w:rPr>
                            <w:rFonts w:ascii="Times New Roman" w:hAnsi="Times New Roman" w:cs="Times New Roman" w:eastAsia="Times New Roman" w:hint="default"/>
                            <w:spacing w:val="-5"/>
                            <w:sz w:val="18"/>
                            <w:szCs w:val="18"/>
                          </w:rPr>
                          <w:t>a</w:t>
                        </w:r>
                        <w:r>
                          <w:rPr>
                            <w:rFonts w:ascii="Times New Roman" w:hAnsi="Times New Roman" w:cs="Times New Roman" w:eastAsia="Times New Roman" w:hint="default"/>
                            <w:spacing w:val="4"/>
                            <w:w w:val="99"/>
                            <w:sz w:val="18"/>
                            <w:szCs w:val="18"/>
                          </w:rPr>
                          <w:t>ss</w:t>
                        </w:r>
                        <w:r>
                          <w:rPr>
                            <w:rFonts w:ascii="Times New Roman" w:hAnsi="Times New Roman" w:cs="Times New Roman" w:eastAsia="Times New Roman" w:hint="default"/>
                            <w:spacing w:val="4"/>
                            <w:w w:val="99"/>
                            <w:sz w:val="18"/>
                            <w:szCs w:val="18"/>
                          </w:rPr>
                          <w:t>w</w:t>
                        </w:r>
                        <w:r>
                          <w:rPr>
                            <w:rFonts w:ascii="Times New Roman" w:hAnsi="Times New Roman" w:cs="Times New Roman" w:eastAsia="Times New Roman" w:hint="default"/>
                            <w:w w:val="99"/>
                            <w:sz w:val="18"/>
                            <w:szCs w:val="18"/>
                          </w:rPr>
                          <w:t>or</w:t>
                        </w:r>
                        <w:r>
                          <w:rPr>
                            <w:rFonts w:ascii="Times New Roman" w:hAnsi="Times New Roman" w:cs="Times New Roman" w:eastAsia="Times New Roman" w:hint="default"/>
                            <w:spacing w:val="2"/>
                            <w:w w:val="99"/>
                            <w:sz w:val="18"/>
                            <w:szCs w:val="18"/>
                          </w:rPr>
                          <w:t>d</w:t>
                        </w:r>
                        <w:r>
                          <w:rPr>
                            <w:rFonts w:ascii="宋体" w:hAnsi="宋体" w:cs="宋体" w:eastAsia="宋体" w:hint="default"/>
                            <w:spacing w:val="-90"/>
                            <w:w w:val="99"/>
                            <w:sz w:val="18"/>
                            <w:szCs w:val="18"/>
                          </w:rPr>
                          <w:t>，</w:t>
                        </w:r>
                        <w:r>
                          <w:rPr>
                            <w:rFonts w:ascii="宋体" w:hAnsi="宋体" w:cs="宋体" w:eastAsia="宋体" w:hint="default"/>
                            <w:w w:val="99"/>
                            <w:sz w:val="18"/>
                            <w:szCs w:val="18"/>
                          </w:rPr>
                          <w:t>简称</w:t>
                        </w:r>
                        <w:r>
                          <w:rPr>
                            <w:rFonts w:ascii="宋体" w:hAnsi="宋体" w:cs="宋体" w:eastAsia="宋体" w:hint="default"/>
                            <w:spacing w:val="-45"/>
                            <w:w w:val="99"/>
                            <w:sz w:val="18"/>
                            <w:szCs w:val="18"/>
                          </w:rPr>
                          <w:t> </w:t>
                        </w:r>
                        <w:r>
                          <w:rPr>
                            <w:rFonts w:ascii="Times New Roman" w:hAnsi="Times New Roman" w:cs="Times New Roman" w:eastAsia="Times New Roman" w:hint="default"/>
                            <w:spacing w:val="-10"/>
                            <w:w w:val="99"/>
                            <w:sz w:val="18"/>
                            <w:szCs w:val="18"/>
                          </w:rPr>
                          <w:t>O</w:t>
                        </w:r>
                        <w:r>
                          <w:rPr>
                            <w:rFonts w:ascii="Times New Roman" w:hAnsi="Times New Roman" w:cs="Times New Roman" w:eastAsia="Times New Roman" w:hint="default"/>
                            <w:spacing w:val="9"/>
                            <w:sz w:val="18"/>
                            <w:szCs w:val="18"/>
                          </w:rPr>
                          <w:t>T</w:t>
                        </w:r>
                        <w:r>
                          <w:rPr>
                            <w:rFonts w:ascii="Times New Roman" w:hAnsi="Times New Roman" w:cs="Times New Roman" w:eastAsia="Times New Roman" w:hint="default"/>
                            <w:spacing w:val="5"/>
                            <w:w w:val="99"/>
                            <w:sz w:val="18"/>
                            <w:szCs w:val="18"/>
                          </w:rPr>
                          <w:t>P</w:t>
                        </w:r>
                        <w:r>
                          <w:rPr>
                            <w:rFonts w:ascii="宋体" w:hAnsi="宋体" w:cs="宋体" w:eastAsia="宋体" w:hint="default"/>
                            <w:spacing w:val="-90"/>
                            <w:sz w:val="18"/>
                            <w:szCs w:val="18"/>
                          </w:rPr>
                          <w:t>，</w:t>
                        </w:r>
                        <w:r>
                          <w:rPr>
                            <w:rFonts w:ascii="宋体" w:hAnsi="宋体" w:cs="宋体" w:eastAsia="宋体" w:hint="default"/>
                            <w:sz w:val="18"/>
                            <w:szCs w:val="18"/>
                          </w:rPr>
                          <w:t>是客户手持用来生成动态密码的终端</w:t>
                        </w:r>
                      </w:p>
                    </w:tc>
                  </w:tr>
                  <w:tr>
                    <w:trPr>
                      <w:trHeight w:val="1021" w:hRule="exact"/>
                    </w:trPr>
                    <w:tc>
                      <w:tcPr>
                        <w:tcW w:w="3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移动支付</w:t>
                        </w:r>
                      </w:p>
                    </w:tc>
                    <w:tc>
                      <w:tcPr>
                        <w:tcW w:w="6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9"/>
                          <w:ind w:left="30" w:right="19"/>
                          <w:jc w:val="both"/>
                          <w:rPr>
                            <w:rFonts w:ascii="宋体" w:hAnsi="宋体" w:cs="宋体" w:eastAsia="宋体" w:hint="default"/>
                            <w:sz w:val="18"/>
                            <w:szCs w:val="18"/>
                          </w:rPr>
                        </w:pPr>
                        <w:r>
                          <w:rPr>
                            <w:rFonts w:ascii="宋体" w:hAnsi="宋体" w:cs="宋体" w:eastAsia="宋体" w:hint="default"/>
                            <w:spacing w:val="-2"/>
                            <w:sz w:val="18"/>
                            <w:szCs w:val="18"/>
                          </w:rPr>
                          <w:t>一种利用手机等移动终端实现移动电子商务的技术，通过改造移动终</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端或其内部 </w:t>
                        </w:r>
                        <w:r>
                          <w:rPr>
                            <w:rFonts w:ascii="Times New Roman" w:hAnsi="Times New Roman" w:cs="Times New Roman" w:eastAsia="Times New Roman" w:hint="default"/>
                            <w:spacing w:val="-4"/>
                            <w:sz w:val="18"/>
                            <w:szCs w:val="18"/>
                          </w:rPr>
                          <w:t>SIM</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卡等用户识别模块，与读写器装置进行近距离通信 实现离线支付，或利用手机网络实现在线交易以及动态业务下载。</w:t>
                        </w:r>
                      </w:p>
                    </w:tc>
                  </w:tr>
                  <w:tr>
                    <w:trPr>
                      <w:trHeight w:val="1967" w:hRule="exact"/>
                    </w:trPr>
                    <w:tc>
                      <w:tcPr>
                        <w:tcW w:w="3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FIDO </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联盟</w:t>
                        </w:r>
                      </w:p>
                    </w:tc>
                    <w:tc>
                      <w:tcPr>
                        <w:tcW w:w="6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single" w:sz="6" w:space="0" w:color="000000"/>
                          <w:left w:val="single" w:sz="6" w:space="0" w:color="000000"/>
                          <w:bottom w:val="single" w:sz="6" w:space="0" w:color="000000"/>
                          <w:right w:val="single" w:sz="6" w:space="0" w:color="000000"/>
                        </w:tcBorders>
                      </w:tcPr>
                      <w:p>
                        <w:pPr>
                          <w:pStyle w:val="TableParagraph"/>
                          <w:spacing w:line="292" w:lineRule="auto" w:before="60"/>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FIDO </w:t>
                        </w:r>
                        <w:r>
                          <w:rPr>
                            <w:rFonts w:ascii="Times New Roman" w:hAnsi="Times New Roman" w:cs="Times New Roman" w:eastAsia="Times New Roman" w:hint="default"/>
                            <w:spacing w:val="-3"/>
                            <w:sz w:val="18"/>
                            <w:szCs w:val="18"/>
                          </w:rPr>
                          <w:t>(Fast Identity </w:t>
                        </w:r>
                        <w:r>
                          <w:rPr>
                            <w:rFonts w:ascii="Times New Roman" w:hAnsi="Times New Roman" w:cs="Times New Roman" w:eastAsia="Times New Roman" w:hint="default"/>
                            <w:sz w:val="18"/>
                            <w:szCs w:val="18"/>
                          </w:rPr>
                          <w:t>Online)</w:t>
                        </w:r>
                        <w:r>
                          <w:rPr>
                            <w:rFonts w:ascii="宋体" w:hAnsi="宋体" w:cs="宋体" w:eastAsia="宋体" w:hint="default"/>
                            <w:sz w:val="18"/>
                            <w:szCs w:val="18"/>
                          </w:rPr>
                          <w:t>联盟，即线上快速身份验证联盟。</w:t>
                        </w:r>
                        <w:r>
                          <w:rPr>
                            <w:rFonts w:ascii="Times New Roman" w:hAnsi="Times New Roman" w:cs="Times New Roman" w:eastAsia="Times New Roman" w:hint="default"/>
                            <w:sz w:val="18"/>
                            <w:szCs w:val="18"/>
                          </w:rPr>
                          <w:t>FIDO</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联 盟为于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月成立的行业协会，其宗旨为满足市场需求和应付 网上验证要求。</w:t>
                        </w:r>
                        <w:r>
                          <w:rPr>
                            <w:rFonts w:ascii="Times New Roman" w:hAnsi="Times New Roman" w:cs="Times New Roman" w:eastAsia="Times New Roman" w:hint="default"/>
                            <w:sz w:val="18"/>
                            <w:szCs w:val="18"/>
                          </w:rPr>
                          <w:t>FIDO </w:t>
                        </w:r>
                        <w:r>
                          <w:rPr>
                            <w:rFonts w:ascii="宋体" w:hAnsi="宋体" w:cs="宋体" w:eastAsia="宋体" w:hint="default"/>
                            <w:sz w:val="18"/>
                            <w:szCs w:val="18"/>
                          </w:rPr>
                          <w:t>联盟的成员将协助界定市场需求，并为</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FIDO</w:t>
                        </w:r>
                        <w:r>
                          <w:rPr>
                            <w:rFonts w:ascii="Times New Roman" w:hAnsi="Times New Roman" w:cs="Times New Roman" w:eastAsia="Times New Roman" w:hint="default"/>
                            <w:w w:val="99"/>
                            <w:sz w:val="18"/>
                            <w:szCs w:val="18"/>
                          </w:rPr>
                          <w:t> </w:t>
                        </w:r>
                        <w:r>
                          <w:rPr>
                            <w:rFonts w:ascii="宋体" w:hAnsi="宋体" w:cs="宋体" w:eastAsia="宋体" w:hint="default"/>
                            <w:spacing w:val="-2"/>
                            <w:sz w:val="18"/>
                            <w:szCs w:val="18"/>
                          </w:rPr>
                          <w:t>开放协议作出贡献。该协议为在线与数码验证方面的首个开放行业标</w:t>
                        </w:r>
                      </w:p>
                      <w:p>
                        <w:pPr>
                          <w:pStyle w:val="TableParagraph"/>
                          <w:spacing w:line="290" w:lineRule="auto" w:before="55"/>
                          <w:ind w:left="30" w:right="73"/>
                          <w:jc w:val="left"/>
                          <w:rPr>
                            <w:rFonts w:ascii="宋体" w:hAnsi="宋体" w:cs="宋体" w:eastAsia="宋体" w:hint="default"/>
                            <w:sz w:val="18"/>
                            <w:szCs w:val="18"/>
                          </w:rPr>
                        </w:pPr>
                        <w:r>
                          <w:rPr>
                            <w:rFonts w:ascii="宋体" w:hAnsi="宋体" w:cs="宋体" w:eastAsia="宋体" w:hint="default"/>
                            <w:sz w:val="18"/>
                            <w:szCs w:val="18"/>
                          </w:rPr>
                          <w:t>准，可提高安全性、保护私隐及简化用户体验。公司于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年成为 国内继联想、阿里巴巴之后的第三个</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FIDO</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联盟董事会成员。</w:t>
                        </w:r>
                      </w:p>
                    </w:tc>
                  </w:tr>
                  <w:tr>
                    <w:trPr>
                      <w:trHeight w:val="1336" w:hRule="exact"/>
                    </w:trPr>
                    <w:tc>
                      <w:tcPr>
                        <w:tcW w:w="3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CMMI</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级认证</w:t>
                        </w:r>
                      </w:p>
                    </w:tc>
                    <w:tc>
                      <w:tcPr>
                        <w:tcW w:w="6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44"/>
                          <w:ind w:left="30" w:right="13"/>
                          <w:jc w:val="left"/>
                          <w:rPr>
                            <w:rFonts w:ascii="宋体" w:hAnsi="宋体" w:cs="宋体" w:eastAsia="宋体" w:hint="default"/>
                            <w:sz w:val="18"/>
                            <w:szCs w:val="18"/>
                          </w:rPr>
                        </w:pPr>
                        <w:r>
                          <w:rPr>
                            <w:rFonts w:ascii="Times New Roman" w:hAnsi="Times New Roman" w:cs="Times New Roman" w:eastAsia="Times New Roman" w:hint="default"/>
                            <w:sz w:val="18"/>
                            <w:szCs w:val="18"/>
                          </w:rPr>
                          <w:t>CMMI</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全称是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Capability Maturity </w:t>
                        </w:r>
                        <w:r>
                          <w:rPr>
                            <w:rFonts w:ascii="Times New Roman" w:hAnsi="Times New Roman" w:cs="Times New Roman" w:eastAsia="Times New Roman" w:hint="default"/>
                            <w:spacing w:val="2"/>
                            <w:sz w:val="18"/>
                            <w:szCs w:val="18"/>
                          </w:rPr>
                          <w:t>Model</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Integration</w:t>
                        </w:r>
                        <w:r>
                          <w:rPr>
                            <w:rFonts w:ascii="宋体" w:hAnsi="宋体" w:cs="宋体" w:eastAsia="宋体" w:hint="default"/>
                            <w:sz w:val="18"/>
                            <w:szCs w:val="18"/>
                          </w:rPr>
                          <w:t>，</w:t>
                        </w:r>
                        <w:r>
                          <w:rPr>
                            <w:rFonts w:ascii="Times New Roman" w:hAnsi="Times New Roman" w:cs="Times New Roman" w:eastAsia="Times New Roman" w:hint="default"/>
                            <w:sz w:val="18"/>
                            <w:szCs w:val="18"/>
                          </w:rPr>
                          <w:t>CMMI</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即软件能 力成熟度模型集成（</w:t>
                        </w:r>
                        <w:r>
                          <w:rPr>
                            <w:rFonts w:ascii="Times New Roman" w:hAnsi="Times New Roman" w:cs="Times New Roman" w:eastAsia="Times New Roman" w:hint="default"/>
                            <w:sz w:val="18"/>
                            <w:szCs w:val="18"/>
                          </w:rPr>
                          <w:t>Capability Maturity </w:t>
                        </w:r>
                        <w:r>
                          <w:rPr>
                            <w:rFonts w:ascii="Times New Roman" w:hAnsi="Times New Roman" w:cs="Times New Roman" w:eastAsia="Times New Roman" w:hint="default"/>
                            <w:spacing w:val="2"/>
                            <w:sz w:val="18"/>
                            <w:szCs w:val="18"/>
                          </w:rPr>
                          <w:t>Model</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Integration</w:t>
                        </w:r>
                        <w:r>
                          <w:rPr>
                            <w:rFonts w:ascii="宋体" w:hAnsi="宋体" w:cs="宋体" w:eastAsia="宋体" w:hint="default"/>
                            <w:sz w:val="18"/>
                            <w:szCs w:val="18"/>
                          </w:rPr>
                          <w:t>）由美国国 防部与卡内基</w:t>
                        </w:r>
                        <w:r>
                          <w:rPr>
                            <w:rFonts w:ascii="Times New Roman" w:hAnsi="Times New Roman" w:cs="Times New Roman" w:eastAsia="Times New Roman" w:hint="default"/>
                            <w:sz w:val="18"/>
                            <w:szCs w:val="18"/>
                          </w:rPr>
                          <w:t>-</w:t>
                        </w:r>
                        <w:r>
                          <w:rPr>
                            <w:rFonts w:ascii="宋体" w:hAnsi="宋体" w:cs="宋体" w:eastAsia="宋体" w:hint="default"/>
                            <w:sz w:val="18"/>
                            <w:szCs w:val="18"/>
                          </w:rPr>
                          <w:t>梅隆大学和美国国防工业协会共同开发和研制，是国 际上用于评价软件企业能力成熟度和工程开发能力的重要标准。</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BodyText"/>
        <w:spacing w:line="240" w:lineRule="auto" w:before="59"/>
        <w:ind w:left="0" w:right="1113"/>
        <w:jc w:val="right"/>
      </w:pPr>
      <w:r>
        <w:rPr/>
        <w:t>。</w:t>
      </w:r>
    </w:p>
    <w:p>
      <w:pPr>
        <w:spacing w:after="0" w:line="240" w:lineRule="auto"/>
        <w:jc w:val="righ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2709" w:right="1100"/>
        <w:jc w:val="left"/>
        <w:rPr>
          <w:b w:val="0"/>
          <w:bCs w:val="0"/>
        </w:rPr>
      </w:pPr>
      <w:bookmarkStart w:name="第二节公司简介和主要财务指标" w:id="3"/>
      <w:bookmarkEnd w:id="3"/>
      <w:r>
        <w:rPr>
          <w:b w:val="0"/>
          <w:bCs w:val="0"/>
        </w:rPr>
      </w:r>
      <w:bookmarkStart w:name="_bookmark1" w:id="4"/>
      <w:bookmarkEnd w:id="4"/>
      <w:r>
        <w:rPr>
          <w:b w:val="0"/>
          <w:bCs w:val="0"/>
        </w:rPr>
      </w:r>
      <w:r>
        <w:rPr>
          <w:spacing w:val="5"/>
        </w:rPr>
        <w:t>第二节公司简介和主要财务指标</w:t>
      </w:r>
      <w:r>
        <w:rPr>
          <w:b w:val="0"/>
          <w:bCs w:val="0"/>
          <w:spacing w:val="5"/>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1100"/>
        <w:jc w:val="left"/>
        <w:rPr>
          <w:b w:val="0"/>
          <w:bCs w:val="0"/>
        </w:rPr>
      </w:pPr>
      <w:r>
        <w:rPr/>
        <w:pict>
          <v:group style="position:absolute;margin-left:171.229996pt;margin-top:115.170631pt;width:363.45pt;height:19.55pt;mso-position-horizontal-relative:page;mso-position-vertical-relative:paragraph;z-index:-1120864" coordorigin="3425,2303" coordsize="7269,391">
            <v:group style="position:absolute;left:3425;top:2303;width:30;height:391" coordorigin="3425,2303" coordsize="30,391">
              <v:shape style="position:absolute;left:3425;top:2303;width:30;height:391" coordorigin="3425,2303" coordsize="30,391" path="m3425,2694l3455,2694,3455,2303,3425,2303,3425,2694xe" filled="true" fillcolor="#ffffff" stroked="false">
                <v:path arrowok="t"/>
                <v:fill type="solid"/>
              </v:shape>
            </v:group>
            <v:group style="position:absolute;left:3455;top:2303;width:7239;height:391" coordorigin="3455,2303" coordsize="7239,391">
              <v:shape style="position:absolute;left:3455;top:2303;width:7239;height:391" coordorigin="3455,2303" coordsize="7239,391" path="m3455,2694l10694,2694,10694,2303,3455,2303,3455,2694xe" filled="true" fillcolor="#ffffff" stroked="false">
                <v:path arrowok="t"/>
                <v:fill type="solid"/>
              </v:shape>
            </v:group>
            <w10:wrap type="none"/>
          </v:group>
        </w:pict>
      </w:r>
      <w:bookmarkStart w:name="一、公司信息" w:id="5"/>
      <w:bookmarkEnd w:id="5"/>
      <w:r>
        <w:rPr>
          <w:b w:val="0"/>
          <w:bCs w:val="0"/>
        </w:rPr>
      </w:r>
      <w:r>
        <w:rPr/>
        <w:t>一、公司信息</w:t>
      </w:r>
      <w:r>
        <w:rPr>
          <w:b w:val="0"/>
          <w:bCs w:val="0"/>
        </w:rPr>
      </w:r>
    </w:p>
    <w:p>
      <w:pPr>
        <w:spacing w:line="240" w:lineRule="auto" w:before="2"/>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2275"/>
        <w:gridCol w:w="2966"/>
        <w:gridCol w:w="2162"/>
        <w:gridCol w:w="2178"/>
      </w:tblGrid>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飞天诚信</w:t>
            </w:r>
          </w:p>
        </w:tc>
        <w:tc>
          <w:tcPr>
            <w:tcW w:w="21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300386</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飞天诚信科技股份有限公司</w:t>
            </w:r>
          </w:p>
        </w:tc>
      </w:tr>
      <w:tr>
        <w:trPr>
          <w:trHeight w:val="390"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飞天诚信</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Feitian </w:t>
            </w:r>
            <w:r>
              <w:rPr>
                <w:rFonts w:ascii="Times New Roman"/>
                <w:spacing w:val="-3"/>
                <w:sz w:val="18"/>
              </w:rPr>
              <w:t>Technologies</w:t>
            </w:r>
            <w:r>
              <w:rPr>
                <w:rFonts w:ascii="Times New Roman"/>
                <w:spacing w:val="5"/>
                <w:sz w:val="18"/>
              </w:rPr>
              <w:t> </w:t>
            </w:r>
            <w:r>
              <w:rPr>
                <w:rFonts w:ascii="Times New Roman"/>
                <w:sz w:val="18"/>
              </w:rPr>
              <w:t>Co.,Ltd.</w:t>
            </w:r>
          </w:p>
        </w:tc>
      </w:tr>
      <w:tr>
        <w:trPr>
          <w:trHeight w:val="406"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49"/>
              <w:ind w:left="-96" w:right="0"/>
              <w:jc w:val="left"/>
              <w:rPr>
                <w:rFonts w:ascii="Times New Roman" w:hAnsi="Times New Roman" w:cs="Times New Roman" w:eastAsia="Times New Roman" w:hint="default"/>
                <w:sz w:val="18"/>
                <w:szCs w:val="18"/>
              </w:rPr>
            </w:pPr>
            <w:r>
              <w:rPr>
                <w:rFonts w:ascii="宋体" w:hAnsi="宋体" w:cs="宋体" w:eastAsia="宋体" w:hint="default"/>
                <w:spacing w:val="-8"/>
                <w:position w:val="1"/>
                <w:sz w:val="18"/>
                <w:szCs w:val="18"/>
              </w:rPr>
              <w:t>）</w:t>
            </w:r>
            <w:r>
              <w:rPr>
                <w:rFonts w:ascii="Times New Roman" w:hAnsi="Times New Roman" w:cs="Times New Roman" w:eastAsia="Times New Roman" w:hint="default"/>
                <w:spacing w:val="-8"/>
                <w:sz w:val="18"/>
                <w:szCs w:val="18"/>
              </w:rPr>
              <w:t>Feitian</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黄煜</w:t>
            </w:r>
          </w:p>
        </w:tc>
      </w:tr>
      <w:tr>
        <w:trPr>
          <w:trHeight w:val="406"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北京市海淀区学清路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号汇智大厦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层</w:t>
            </w:r>
          </w:p>
        </w:tc>
      </w:tr>
      <w:tr>
        <w:trPr>
          <w:trHeight w:val="390"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100085</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北京市海淀区学清路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号汇智大厦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层</w:t>
            </w:r>
          </w:p>
        </w:tc>
      </w:tr>
      <w:tr>
        <w:trPr>
          <w:trHeight w:val="406"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100085</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hyperlink r:id="rId9">
              <w:r>
                <w:rPr>
                  <w:rFonts w:ascii="Times New Roman"/>
                  <w:sz w:val="18"/>
                </w:rPr>
                <w:t>http://www.ftsafe.com.cn</w:t>
              </w:r>
            </w:hyperlink>
          </w:p>
        </w:tc>
      </w:tr>
      <w:tr>
        <w:trPr>
          <w:trHeight w:val="390"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hyperlink r:id="rId10">
              <w:r>
                <w:rPr>
                  <w:rFonts w:ascii="Times New Roman"/>
                  <w:sz w:val="18"/>
                </w:rPr>
                <w:t>wubi@ftsafe.com</w:t>
              </w:r>
            </w:hyperlink>
          </w:p>
        </w:tc>
      </w:tr>
    </w:tbl>
    <w:p>
      <w:pPr>
        <w:spacing w:line="240" w:lineRule="auto" w:before="12"/>
        <w:rPr>
          <w:rFonts w:ascii="宋体" w:hAnsi="宋体" w:cs="宋体" w:eastAsia="宋体" w:hint="default"/>
          <w:b/>
          <w:bCs/>
          <w:sz w:val="17"/>
          <w:szCs w:val="17"/>
        </w:rPr>
      </w:pPr>
    </w:p>
    <w:p>
      <w:pPr>
        <w:pStyle w:val="Heading2"/>
        <w:spacing w:line="240" w:lineRule="auto" w:before="26"/>
        <w:ind w:right="110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1"/>
        <w:rPr>
          <w:rFonts w:ascii="宋体" w:hAnsi="宋体" w:cs="宋体" w:eastAsia="宋体" w:hint="default"/>
          <w:b/>
          <w:bCs/>
          <w:sz w:val="26"/>
          <w:szCs w:val="26"/>
        </w:rPr>
      </w:pPr>
    </w:p>
    <w:tbl>
      <w:tblPr>
        <w:tblW w:w="0" w:type="auto"/>
        <w:jc w:val="left"/>
        <w:tblInd w:w="133" w:type="dxa"/>
        <w:tblLayout w:type="fixed"/>
        <w:tblCellMar>
          <w:top w:w="0" w:type="dxa"/>
          <w:left w:w="0" w:type="dxa"/>
          <w:bottom w:w="0" w:type="dxa"/>
          <w:right w:w="0" w:type="dxa"/>
        </w:tblCellMar>
        <w:tblLook w:val="01E0"/>
      </w:tblPr>
      <w:tblGrid>
        <w:gridCol w:w="3192"/>
        <w:gridCol w:w="3184"/>
        <w:gridCol w:w="3199"/>
      </w:tblGrid>
      <w:tr>
        <w:trPr>
          <w:trHeight w:val="406"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5"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left="-1" w:right="0"/>
              <w:jc w:val="left"/>
              <w:rPr>
                <w:rFonts w:ascii="宋体" w:hAnsi="宋体" w:cs="宋体" w:eastAsia="宋体" w:hint="default"/>
                <w:sz w:val="18"/>
                <w:szCs w:val="18"/>
              </w:rPr>
            </w:pPr>
            <w:r>
              <w:rPr>
                <w:rFonts w:ascii="宋体" w:hAnsi="宋体" w:cs="宋体" w:eastAsia="宋体" w:hint="default"/>
                <w:sz w:val="18"/>
                <w:szCs w:val="18"/>
              </w:rPr>
              <w:t>吴彼</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李居彩</w:t>
            </w:r>
          </w:p>
        </w:tc>
      </w:tr>
      <w:tr>
        <w:trPr>
          <w:trHeight w:val="158" w:hRule="exact"/>
        </w:trPr>
        <w:tc>
          <w:tcPr>
            <w:tcW w:w="3192" w:type="dxa"/>
            <w:tcBorders>
              <w:top w:val="single" w:sz="6" w:space="0" w:color="000000"/>
              <w:left w:val="single" w:sz="6" w:space="0" w:color="000000"/>
              <w:bottom w:val="nil" w:sz="6" w:space="0" w:color="auto"/>
              <w:right w:val="single" w:sz="6" w:space="0" w:color="000000"/>
            </w:tcBorders>
            <w:shd w:val="clear" w:color="auto" w:fill="D2D2D2"/>
          </w:tcPr>
          <w:p>
            <w:pPr/>
          </w:p>
        </w:tc>
        <w:tc>
          <w:tcPr>
            <w:tcW w:w="3184" w:type="dxa"/>
            <w:vMerge w:val="restart"/>
            <w:tcBorders>
              <w:top w:val="single" w:sz="6" w:space="0" w:color="000000"/>
              <w:left w:val="single" w:sz="18" w:space="0" w:color="D2D2D2"/>
              <w:right w:val="single" w:sz="6" w:space="0" w:color="000000"/>
            </w:tcBorders>
          </w:tcPr>
          <w:p>
            <w:pPr>
              <w:pStyle w:val="TableParagraph"/>
              <w:spacing w:line="240" w:lineRule="auto" w:before="44"/>
              <w:ind w:left="-1" w:right="0"/>
              <w:jc w:val="left"/>
              <w:rPr>
                <w:rFonts w:ascii="宋体" w:hAnsi="宋体" w:cs="宋体" w:eastAsia="宋体" w:hint="default"/>
                <w:sz w:val="18"/>
                <w:szCs w:val="18"/>
              </w:rPr>
            </w:pPr>
            <w:r>
              <w:rPr>
                <w:rFonts w:ascii="宋体" w:hAnsi="宋体" w:cs="宋体" w:eastAsia="宋体" w:hint="default"/>
                <w:sz w:val="18"/>
                <w:szCs w:val="18"/>
              </w:rPr>
              <w:t>北京市海淀区学清路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号汇智大厦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p>
            <w:pPr>
              <w:pStyle w:val="TableParagraph"/>
              <w:spacing w:line="240" w:lineRule="auto" w:before="66"/>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层</w:t>
            </w:r>
          </w:p>
        </w:tc>
        <w:tc>
          <w:tcPr>
            <w:tcW w:w="3199" w:type="dxa"/>
            <w:vMerge w:val="restart"/>
            <w:tcBorders>
              <w:top w:val="single" w:sz="6" w:space="0" w:color="000000"/>
              <w:left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北京市海淀区学清路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号汇智大厦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层</w:t>
            </w:r>
          </w:p>
        </w:tc>
      </w:tr>
      <w:tr>
        <w:trPr>
          <w:trHeight w:val="391" w:hRule="exact"/>
        </w:trPr>
        <w:tc>
          <w:tcPr>
            <w:tcW w:w="319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84" w:type="dxa"/>
            <w:vMerge/>
            <w:tcBorders>
              <w:left w:val="single" w:sz="18" w:space="0" w:color="D2D2D2"/>
              <w:right w:val="single" w:sz="6" w:space="0" w:color="000000"/>
            </w:tcBorders>
          </w:tcPr>
          <w:p>
            <w:pPr/>
          </w:p>
        </w:tc>
        <w:tc>
          <w:tcPr>
            <w:tcW w:w="3199" w:type="dxa"/>
            <w:vMerge/>
            <w:tcBorders>
              <w:left w:val="single" w:sz="6" w:space="0" w:color="000000"/>
              <w:right w:val="single" w:sz="6" w:space="0" w:color="000000"/>
            </w:tcBorders>
          </w:tcPr>
          <w:p>
            <w:pPr/>
          </w:p>
        </w:tc>
      </w:tr>
      <w:tr>
        <w:trPr>
          <w:trHeight w:val="158" w:hRule="exact"/>
        </w:trPr>
        <w:tc>
          <w:tcPr>
            <w:tcW w:w="3192" w:type="dxa"/>
            <w:tcBorders>
              <w:top w:val="nil" w:sz="6" w:space="0" w:color="auto"/>
              <w:left w:val="single" w:sz="6" w:space="0" w:color="000000"/>
              <w:bottom w:val="single" w:sz="6" w:space="0" w:color="000000"/>
              <w:right w:val="single" w:sz="6" w:space="0" w:color="000000"/>
            </w:tcBorders>
            <w:shd w:val="clear" w:color="auto" w:fill="D2D2D2"/>
          </w:tcPr>
          <w:p>
            <w:pPr/>
          </w:p>
        </w:tc>
        <w:tc>
          <w:tcPr>
            <w:tcW w:w="3184" w:type="dxa"/>
            <w:vMerge/>
            <w:tcBorders>
              <w:left w:val="single" w:sz="18" w:space="0" w:color="D2D2D2"/>
              <w:bottom w:val="single" w:sz="6" w:space="0" w:color="000000"/>
              <w:right w:val="single" w:sz="6" w:space="0" w:color="000000"/>
            </w:tcBorders>
          </w:tcPr>
          <w:p>
            <w:pPr/>
          </w:p>
        </w:tc>
        <w:tc>
          <w:tcPr>
            <w:tcW w:w="3199" w:type="dxa"/>
            <w:vMerge/>
            <w:tcBorders>
              <w:left w:val="single" w:sz="6" w:space="0" w:color="000000"/>
              <w:bottom w:val="single" w:sz="6" w:space="0" w:color="000000"/>
              <w:right w:val="single" w:sz="6" w:space="0" w:color="000000"/>
            </w:tcBorders>
          </w:tcPr>
          <w:p>
            <w:pPr/>
          </w:p>
        </w:tc>
      </w:tr>
      <w:tr>
        <w:trPr>
          <w:trHeight w:val="405"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1"/>
              <w:ind w:left="-1" w:right="0"/>
              <w:jc w:val="left"/>
              <w:rPr>
                <w:rFonts w:ascii="Times New Roman" w:hAnsi="Times New Roman" w:cs="Times New Roman" w:eastAsia="Times New Roman" w:hint="default"/>
                <w:sz w:val="18"/>
                <w:szCs w:val="18"/>
              </w:rPr>
            </w:pPr>
            <w:r>
              <w:rPr>
                <w:rFonts w:ascii="Times New Roman"/>
                <w:sz w:val="18"/>
              </w:rPr>
              <w:t>010-62304466-1709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0" w:right="0"/>
              <w:jc w:val="left"/>
              <w:rPr>
                <w:rFonts w:ascii="Times New Roman" w:hAnsi="Times New Roman" w:cs="Times New Roman" w:eastAsia="Times New Roman" w:hint="default"/>
                <w:sz w:val="18"/>
                <w:szCs w:val="18"/>
              </w:rPr>
            </w:pPr>
            <w:r>
              <w:rPr>
                <w:rFonts w:ascii="Times New Roman"/>
                <w:sz w:val="18"/>
              </w:rPr>
              <w:t>010-62304466-1709</w:t>
            </w:r>
          </w:p>
        </w:tc>
      </w:tr>
      <w:tr>
        <w:trPr>
          <w:trHeight w:val="405"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left="-1" w:right="0"/>
              <w:jc w:val="left"/>
              <w:rPr>
                <w:rFonts w:ascii="Times New Roman" w:hAnsi="Times New Roman" w:cs="Times New Roman" w:eastAsia="Times New Roman" w:hint="default"/>
                <w:sz w:val="18"/>
                <w:szCs w:val="18"/>
              </w:rPr>
            </w:pPr>
            <w:r>
              <w:rPr>
                <w:rFonts w:ascii="Times New Roman"/>
                <w:sz w:val="18"/>
              </w:rPr>
              <w:t>010-62304477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010-62304477</w:t>
            </w:r>
          </w:p>
        </w:tc>
      </w:tr>
      <w:tr>
        <w:trPr>
          <w:trHeight w:val="391"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left="-1" w:right="0"/>
              <w:jc w:val="left"/>
              <w:rPr>
                <w:rFonts w:ascii="Times New Roman" w:hAnsi="Times New Roman" w:cs="Times New Roman" w:eastAsia="Times New Roman" w:hint="default"/>
                <w:sz w:val="18"/>
                <w:szCs w:val="18"/>
              </w:rPr>
            </w:pPr>
            <w:hyperlink r:id="rId10">
              <w:r>
                <w:rPr>
                  <w:rFonts w:ascii="Times New Roman"/>
                  <w:sz w:val="18"/>
                </w:rPr>
                <w:t>wubi@ftsafe.com</w:t>
              </w:r>
            </w:hyperlink>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hyperlink r:id="rId10">
              <w:r>
                <w:rPr>
                  <w:rFonts w:ascii="Times New Roman"/>
                  <w:sz w:val="18"/>
                </w:rPr>
                <w:t>wubi@ftsafe.com</w:t>
              </w:r>
            </w:hyperlink>
          </w:p>
        </w:tc>
      </w:tr>
    </w:tbl>
    <w:p>
      <w:pPr>
        <w:spacing w:line="240" w:lineRule="auto" w:before="12"/>
        <w:rPr>
          <w:rFonts w:ascii="宋体" w:hAnsi="宋体" w:cs="宋体" w:eastAsia="宋体" w:hint="default"/>
          <w:b/>
          <w:bCs/>
          <w:sz w:val="17"/>
          <w:szCs w:val="17"/>
        </w:rPr>
      </w:pPr>
    </w:p>
    <w:p>
      <w:pPr>
        <w:pStyle w:val="Heading2"/>
        <w:spacing w:line="240" w:lineRule="auto" w:before="26"/>
        <w:ind w:right="110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2"/>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3988"/>
        <w:gridCol w:w="5594"/>
      </w:tblGrid>
      <w:tr>
        <w:trPr>
          <w:trHeight w:val="405" w:hRule="exact"/>
        </w:trPr>
        <w:tc>
          <w:tcPr>
            <w:tcW w:w="39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7"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5" w:hRule="exact"/>
        </w:trPr>
        <w:tc>
          <w:tcPr>
            <w:tcW w:w="39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24"/>
                <w:sz w:val="18"/>
                <w:szCs w:val="18"/>
              </w:rPr>
              <w:t> </w:t>
            </w:r>
            <w:hyperlink r:id="rId11">
              <w:r>
                <w:rPr>
                  <w:rFonts w:ascii="Times New Roman" w:hAnsi="Times New Roman" w:cs="Times New Roman" w:eastAsia="Times New Roman" w:hint="default"/>
                  <w:sz w:val="18"/>
                  <w:szCs w:val="18"/>
                </w:rPr>
                <w:t>http://www.cninfo.com.cn/</w:t>
              </w:r>
            </w:hyperlink>
          </w:p>
        </w:tc>
      </w:tr>
      <w:tr>
        <w:trPr>
          <w:trHeight w:val="390" w:hRule="exact"/>
        </w:trPr>
        <w:tc>
          <w:tcPr>
            <w:tcW w:w="39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7" w:right="0"/>
              <w:jc w:val="left"/>
              <w:rPr>
                <w:rFonts w:ascii="宋体" w:hAnsi="宋体" w:cs="宋体" w:eastAsia="宋体" w:hint="default"/>
                <w:sz w:val="18"/>
                <w:szCs w:val="18"/>
              </w:rPr>
            </w:pPr>
            <w:r>
              <w:rPr>
                <w:rFonts w:ascii="宋体" w:hAnsi="宋体" w:cs="宋体" w:eastAsia="宋体" w:hint="default"/>
                <w:sz w:val="18"/>
                <w:szCs w:val="18"/>
              </w:rPr>
              <w:t>北京市海淀区学清路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号汇智大厦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层董事会办公室</w:t>
            </w:r>
          </w:p>
        </w:tc>
      </w:tr>
    </w:tbl>
    <w:p>
      <w:pPr>
        <w:spacing w:line="240" w:lineRule="auto" w:before="12"/>
        <w:rPr>
          <w:rFonts w:ascii="宋体" w:hAnsi="宋体" w:cs="宋体" w:eastAsia="宋体" w:hint="default"/>
          <w:b/>
          <w:bCs/>
          <w:sz w:val="17"/>
          <w:szCs w:val="17"/>
        </w:rPr>
      </w:pPr>
    </w:p>
    <w:p>
      <w:pPr>
        <w:pStyle w:val="Heading2"/>
        <w:spacing w:line="240" w:lineRule="auto" w:before="26"/>
        <w:ind w:right="1100"/>
        <w:jc w:val="left"/>
        <w:rPr>
          <w:b w:val="0"/>
          <w:bCs w:val="0"/>
        </w:rPr>
      </w:pPr>
      <w:bookmarkStart w:name="四、其他有关资料" w:id="8"/>
      <w:bookmarkEnd w:id="8"/>
      <w:r>
        <w:rPr>
          <w:b w:val="0"/>
          <w:bCs w:val="0"/>
        </w:rPr>
      </w:r>
      <w:r>
        <w:rPr/>
        <w:t>四、其他有关资料</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00"/>
        <w:jc w:val="left"/>
      </w:pPr>
      <w:r>
        <w:rPr/>
        <w:t>公司聘请的会计师事务所</w:t>
      </w:r>
    </w:p>
    <w:p>
      <w:pPr>
        <w:spacing w:after="0" w:line="240" w:lineRule="auto"/>
        <w:jc w:val="lef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651"/>
        <w:gridCol w:w="6931"/>
      </w:tblGrid>
      <w:tr>
        <w:trPr>
          <w:trHeight w:val="405"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5"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北京海淀区车公庄西路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号外文文化创意园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p>
        </w:tc>
      </w:tr>
      <w:tr>
        <w:trPr>
          <w:trHeight w:val="390"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王清峰、苏菊荣</w:t>
            </w:r>
          </w:p>
        </w:tc>
      </w:tr>
    </w:tbl>
    <w:p>
      <w:pPr>
        <w:pStyle w:val="BodyText"/>
        <w:spacing w:line="240" w:lineRule="auto" w:before="44"/>
        <w:ind w:right="1100"/>
        <w:jc w:val="left"/>
      </w:pPr>
      <w:r>
        <w:rPr/>
        <w:t>公司聘请的报告期内履行持续督导职责的保荐机构</w:t>
      </w:r>
    </w:p>
    <w:p>
      <w:pPr>
        <w:pStyle w:val="BodyText"/>
        <w:spacing w:line="331" w:lineRule="auto" w:before="125"/>
        <w:ind w:right="67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公司聘请的报告期内履行持续督导职责的财务顾问</w:t>
      </w:r>
    </w:p>
    <w:p>
      <w:pPr>
        <w:pStyle w:val="BodyText"/>
        <w:spacing w:line="240" w:lineRule="auto" w:before="56"/>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110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1100"/>
        <w:jc w:val="left"/>
      </w:pPr>
      <w:r>
        <w:rPr/>
        <w:t>公司是否需追溯调整或重述以前年度会计数据</w:t>
      </w:r>
    </w:p>
    <w:p>
      <w:pPr>
        <w:pStyle w:val="BodyText"/>
        <w:spacing w:line="240" w:lineRule="auto" w:before="125"/>
        <w:ind w:right="110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4"/>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2613"/>
        <w:gridCol w:w="1757"/>
        <w:gridCol w:w="1727"/>
        <w:gridCol w:w="1742"/>
        <w:gridCol w:w="1742"/>
      </w:tblGrid>
      <w:tr>
        <w:trPr>
          <w:trHeight w:val="406"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7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17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40"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tc>
      </w:tr>
      <w:tr>
        <w:trPr>
          <w:trHeight w:val="390"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939,620,454.48</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1,071,782,404.96</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-12.33%</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1,103,048,519.32</w:t>
            </w:r>
          </w:p>
        </w:tc>
      </w:tr>
      <w:tr>
        <w:trPr>
          <w:trHeight w:val="721"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90,234,261.13</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133,273,482.46</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-32.29%</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125,174,450.29</w:t>
            </w:r>
          </w:p>
        </w:tc>
      </w:tr>
      <w:tr>
        <w:trPr>
          <w:trHeight w:val="720"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6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47,280,754.19</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94,662,557.38</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-50.05%</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116,880,816.64</w:t>
            </w:r>
          </w:p>
        </w:tc>
      </w:tr>
      <w:tr>
        <w:trPr>
          <w:trHeight w:val="705"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119,156,859.73</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8,154,433.36</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1,361.25%</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102,936,860.74</w:t>
            </w:r>
          </w:p>
        </w:tc>
      </w:tr>
      <w:tr>
        <w:trPr>
          <w:trHeight w:val="406"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0.22</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0.32</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-31.25%</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0.30</w:t>
            </w:r>
          </w:p>
        </w:tc>
      </w:tr>
      <w:tr>
        <w:trPr>
          <w:trHeight w:val="406"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0.22</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0.32</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-31.25%</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0.30</w:t>
            </w:r>
          </w:p>
        </w:tc>
      </w:tr>
      <w:tr>
        <w:trPr>
          <w:trHeight w:val="405"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w w:val="95"/>
                <w:sz w:val="18"/>
              </w:rPr>
              <w:t>5.01%</w:t>
            </w:r>
            <w:r>
              <w:rPr>
                <w:rFonts w:ascii="Times New Roman"/>
                <w:sz w:val="18"/>
              </w:rPr>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w w:val="95"/>
                <w:sz w:val="18"/>
              </w:rPr>
              <w:t>7.79%</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sz w:val="18"/>
              </w:rPr>
              <w:t>-2.78%</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w w:val="95"/>
                <w:sz w:val="18"/>
              </w:rPr>
              <w:t>7.78%</w:t>
            </w:r>
            <w:r>
              <w:rPr>
                <w:rFonts w:ascii="Times New Roman"/>
                <w:sz w:val="18"/>
              </w:rPr>
            </w:r>
          </w:p>
        </w:tc>
      </w:tr>
      <w:tr>
        <w:trPr>
          <w:trHeight w:val="390"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7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年末</w:t>
            </w:r>
          </w:p>
        </w:tc>
        <w:tc>
          <w:tcPr>
            <w:tcW w:w="17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年末</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46"/>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年末</w:t>
            </w:r>
          </w:p>
        </w:tc>
      </w:tr>
      <w:tr>
        <w:trPr>
          <w:trHeight w:val="406"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2,004,795,085.72</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2,012,625,462.11</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-0.39%</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1,969,544,745.54</w:t>
            </w:r>
          </w:p>
        </w:tc>
      </w:tr>
      <w:tr>
        <w:trPr>
          <w:trHeight w:val="705"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1,834,141,989.69</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1,751,262,705.75</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4.73%</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1,653,927,028.98</w:t>
            </w:r>
          </w:p>
        </w:tc>
      </w:tr>
    </w:tbl>
    <w:p>
      <w:pPr>
        <w:spacing w:line="240" w:lineRule="auto" w:before="12"/>
        <w:rPr>
          <w:rFonts w:ascii="宋体" w:hAnsi="宋体" w:cs="宋体" w:eastAsia="宋体" w:hint="default"/>
          <w:sz w:val="17"/>
          <w:szCs w:val="17"/>
        </w:rPr>
      </w:pPr>
    </w:p>
    <w:p>
      <w:pPr>
        <w:pStyle w:val="Heading2"/>
        <w:spacing w:line="240" w:lineRule="auto" w:before="26"/>
        <w:ind w:right="110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9"/>
        <w:rPr>
          <w:rFonts w:ascii="宋体" w:hAnsi="宋体" w:cs="宋体" w:eastAsia="宋体" w:hint="default"/>
          <w:b/>
          <w:bCs/>
          <w:sz w:val="22"/>
          <w:szCs w:val="22"/>
        </w:rPr>
      </w:pPr>
    </w:p>
    <w:p>
      <w:pPr>
        <w:pStyle w:val="BodyText"/>
        <w:spacing w:line="240" w:lineRule="auto" w:before="44"/>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613"/>
        <w:gridCol w:w="1757"/>
        <w:gridCol w:w="1742"/>
        <w:gridCol w:w="1742"/>
        <w:gridCol w:w="1727"/>
      </w:tblGrid>
      <w:tr>
        <w:trPr>
          <w:trHeight w:val="406"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7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10"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9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9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96"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390"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190,161,641.52</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196,673,562.83</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208,460,318.01</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344,324,932.12</w:t>
            </w:r>
          </w:p>
        </w:tc>
      </w:tr>
      <w:tr>
        <w:trPr>
          <w:trHeight w:val="405"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2,137,730.41</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9,137,095.49</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18,218,393.54</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60,741,041.69</w:t>
            </w:r>
          </w:p>
        </w:tc>
      </w:tr>
      <w:tr>
        <w:trPr>
          <w:trHeight w:val="721"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6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-5,911,853.89</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w w:val="95"/>
                <w:sz w:val="18"/>
              </w:rPr>
              <w:t>-1,342,119.36</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9,266,872.91</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45,267,854.53</w:t>
            </w:r>
          </w:p>
        </w:tc>
      </w:tr>
      <w:tr>
        <w:trPr>
          <w:trHeight w:val="390"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-104,878,965.05</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10,334,932.71</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14,933,305.62</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198,767,586.45</w:t>
            </w:r>
          </w:p>
        </w:tc>
      </w:tr>
    </w:tbl>
    <w:p>
      <w:pPr>
        <w:pStyle w:val="BodyText"/>
        <w:spacing w:line="240" w:lineRule="auto" w:before="45"/>
        <w:ind w:right="1100"/>
        <w:jc w:val="left"/>
      </w:pPr>
      <w:r>
        <w:rPr/>
        <w:t>上述财务指标或其加总数是否与公司已披露季度报告、半年度报告相关财务指标存在重大差异</w:t>
      </w:r>
    </w:p>
    <w:p>
      <w:pPr>
        <w:spacing w:after="0" w:line="240"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240" w:lineRule="auto" w:before="44"/>
        <w:ind w:right="110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10"/>
        <w:rPr>
          <w:rFonts w:ascii="宋体" w:hAnsi="宋体" w:cs="宋体" w:eastAsia="宋体" w:hint="default"/>
          <w:sz w:val="23"/>
          <w:szCs w:val="23"/>
        </w:rPr>
      </w:pPr>
    </w:p>
    <w:p>
      <w:pPr>
        <w:pStyle w:val="Heading2"/>
        <w:spacing w:line="240" w:lineRule="auto"/>
        <w:ind w:right="110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5"/>
          <w:szCs w:val="25"/>
        </w:rPr>
      </w:pPr>
    </w:p>
    <w:p>
      <w:pPr>
        <w:pStyle w:val="Heading4"/>
        <w:spacing w:line="240" w:lineRule="auto"/>
        <w:ind w:right="110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pStyle w:val="BodyText"/>
        <w:spacing w:line="319" w:lineRule="auto"/>
        <w:ind w:right="13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5"/>
          <w:szCs w:val="25"/>
        </w:rPr>
      </w:pPr>
    </w:p>
    <w:p>
      <w:pPr>
        <w:pStyle w:val="Heading4"/>
        <w:spacing w:line="240" w:lineRule="auto"/>
        <w:ind w:right="110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3"/>
        <w:rPr>
          <w:rFonts w:ascii="宋体" w:hAnsi="宋体" w:cs="宋体" w:eastAsia="宋体" w:hint="default"/>
          <w:b/>
          <w:bCs/>
          <w:sz w:val="25"/>
          <w:szCs w:val="25"/>
        </w:rPr>
      </w:pPr>
    </w:p>
    <w:p>
      <w:pPr>
        <w:pStyle w:val="BodyText"/>
        <w:spacing w:line="319" w:lineRule="auto"/>
        <w:ind w:right="26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公司报告期不存在按照境外会计准则与按照中国会计准则披露的财务报告中净利润和净资产差异情况。</w:t>
      </w:r>
    </w:p>
    <w:p>
      <w:pPr>
        <w:spacing w:line="240" w:lineRule="auto" w:before="8"/>
        <w:rPr>
          <w:rFonts w:ascii="宋体" w:hAnsi="宋体" w:cs="宋体" w:eastAsia="宋体" w:hint="default"/>
          <w:sz w:val="22"/>
          <w:szCs w:val="22"/>
        </w:rPr>
      </w:pPr>
    </w:p>
    <w:p>
      <w:pPr>
        <w:pStyle w:val="Heading2"/>
        <w:spacing w:line="240" w:lineRule="auto"/>
        <w:ind w:right="110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9"/>
        <w:rPr>
          <w:rFonts w:ascii="宋体" w:hAnsi="宋体" w:cs="宋体" w:eastAsia="宋体" w:hint="default"/>
          <w:b/>
          <w:bCs/>
          <w:sz w:val="22"/>
          <w:szCs w:val="22"/>
        </w:rPr>
      </w:pPr>
    </w:p>
    <w:p>
      <w:pPr>
        <w:pStyle w:val="BodyText"/>
        <w:spacing w:line="240" w:lineRule="auto" w:before="44"/>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81"/>
        <w:ind w:left="0" w:right="1110"/>
        <w:jc w:val="right"/>
      </w:pPr>
      <w:r>
        <w:rPr/>
        <w:t>单位：元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289"/>
        <w:gridCol w:w="1532"/>
        <w:gridCol w:w="1517"/>
        <w:gridCol w:w="1532"/>
        <w:gridCol w:w="1712"/>
      </w:tblGrid>
      <w:tr>
        <w:trPr>
          <w:trHeight w:val="405"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年金额</w:t>
            </w:r>
          </w:p>
        </w:tc>
        <w:tc>
          <w:tcPr>
            <w:tcW w:w="15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年金额</w:t>
            </w:r>
          </w:p>
        </w:tc>
        <w:tc>
          <w:tcPr>
            <w:tcW w:w="15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年金额</w:t>
            </w:r>
          </w:p>
        </w:tc>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06"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17"/>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8,689,481.61</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5"/>
                <w:sz w:val="18"/>
              </w:rPr>
              <w:t>-43,693.49</w:t>
            </w:r>
            <w:r>
              <w:rPr>
                <w:rFonts w:ascii="Times New Roman"/>
                <w:sz w:val="18"/>
              </w:rPr>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-12,732.58</w:t>
            </w:r>
            <w:r>
              <w:rPr>
                <w:rFonts w:ascii="Times New Roman"/>
                <w:sz w:val="18"/>
              </w:rPr>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15" w:right="17"/>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12,235,873.75</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8,533,806.08</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9,984,444.81</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17"/>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32" w:type="dxa"/>
            <w:tcBorders>
              <w:top w:val="single" w:sz="6" w:space="0" w:color="000000"/>
              <w:left w:val="single" w:sz="18" w:space="0" w:color="D2D2D2"/>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9,883,339.14</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23,097,963.51</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25,516,953.09</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24,752,996.53</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2267"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29"/>
              <w:ind w:left="15" w:right="17"/>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3,272,637.59</w:t>
            </w:r>
          </w:p>
        </w:tc>
        <w:tc>
          <w:tcPr>
            <w:tcW w:w="1517"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2,219,342.47</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3,559,460.59</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-136,918.12</w:t>
            </w:r>
            <w:r>
              <w:rPr>
                <w:rFonts w:ascii="Times New Roman"/>
                <w:sz w:val="18"/>
              </w:rPr>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-1,392.31</w:t>
            </w:r>
            <w:r>
              <w:rPr>
                <w:rFonts w:ascii="Times New Roman"/>
                <w:sz w:val="18"/>
              </w:rPr>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6" w:space="0" w:color="000000"/>
              <w:left w:val="single" w:sz="18" w:space="0" w:color="D2D2D2"/>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497,596.71</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7"/>
              <w:jc w:val="left"/>
              <w:rPr>
                <w:rFonts w:ascii="宋体" w:hAnsi="宋体" w:cs="宋体" w:eastAsia="宋体" w:hint="default"/>
                <w:sz w:val="18"/>
                <w:szCs w:val="18"/>
              </w:rPr>
            </w:pPr>
            <w:r>
              <w:rPr>
                <w:rFonts w:ascii="宋体" w:hAnsi="宋体" w:cs="宋体" w:eastAsia="宋体" w:hint="default"/>
                <w:sz w:val="18"/>
                <w:szCs w:val="18"/>
              </w:rPr>
              <w:t>银联标识产品企业资质不再续期对应的无 形资产余额一次性摊销完毕</w:t>
            </w:r>
          </w:p>
        </w:tc>
        <w:tc>
          <w:tcPr>
            <w:tcW w:w="1532"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-46,179,271.09</w:t>
            </w:r>
            <w:r>
              <w:rPr>
                <w:rFonts w:ascii="Times New Roman"/>
                <w:sz w:val="18"/>
              </w:rPr>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7,091,636.68</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5,007,309.76</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w w:val="95"/>
                <w:sz w:val="18"/>
              </w:rPr>
              <w:t>-1,487,166.74</w:t>
            </w:r>
            <w:r>
              <w:rPr>
                <w:rFonts w:ascii="Times New Roman"/>
                <w:sz w:val="18"/>
              </w:rPr>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810,273.43</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135,251.86</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w w:val="95"/>
                <w:sz w:val="18"/>
              </w:rPr>
              <w:t>-15,545,482.37</w:t>
            </w:r>
            <w:r>
              <w:rPr>
                <w:rFonts w:ascii="Times New Roman"/>
                <w:sz w:val="18"/>
              </w:rPr>
            </w:r>
          </w:p>
        </w:tc>
        <w:tc>
          <w:tcPr>
            <w:tcW w:w="171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2" w:type="dxa"/>
        <w:tblLayout w:type="fixed"/>
        <w:tblCellMar>
          <w:top w:w="0" w:type="dxa"/>
          <w:left w:w="0" w:type="dxa"/>
          <w:bottom w:w="0" w:type="dxa"/>
          <w:right w:w="0" w:type="dxa"/>
        </w:tblCellMar>
        <w:tblLook w:val="01E0"/>
      </w:tblPr>
      <w:tblGrid>
        <w:gridCol w:w="3293"/>
        <w:gridCol w:w="1532"/>
        <w:gridCol w:w="1517"/>
        <w:gridCol w:w="1532"/>
        <w:gridCol w:w="1712"/>
      </w:tblGrid>
      <w:tr>
        <w:trPr>
          <w:trHeight w:val="390" w:hRule="exact"/>
        </w:trPr>
        <w:tc>
          <w:tcPr>
            <w:tcW w:w="32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left="450" w:right="0"/>
              <w:jc w:val="left"/>
              <w:rPr>
                <w:rFonts w:ascii="Times New Roman" w:hAnsi="Times New Roman" w:cs="Times New Roman" w:eastAsia="Times New Roman" w:hint="default"/>
                <w:sz w:val="18"/>
                <w:szCs w:val="18"/>
              </w:rPr>
            </w:pPr>
            <w:r>
              <w:rPr>
                <w:rFonts w:ascii="Times New Roman"/>
                <w:sz w:val="18"/>
              </w:rPr>
              <w:t>42,953,506.94</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65" w:right="0"/>
              <w:jc w:val="left"/>
              <w:rPr>
                <w:rFonts w:ascii="Times New Roman" w:hAnsi="Times New Roman" w:cs="Times New Roman" w:eastAsia="Times New Roman" w:hint="default"/>
                <w:sz w:val="18"/>
                <w:szCs w:val="18"/>
              </w:rPr>
            </w:pPr>
            <w:r>
              <w:rPr>
                <w:rFonts w:ascii="Times New Roman"/>
                <w:sz w:val="18"/>
              </w:rPr>
              <w:t>38,610,925.08</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55" w:right="0"/>
              <w:jc w:val="left"/>
              <w:rPr>
                <w:rFonts w:ascii="Times New Roman" w:hAnsi="Times New Roman" w:cs="Times New Roman" w:eastAsia="Times New Roman" w:hint="default"/>
                <w:sz w:val="18"/>
                <w:szCs w:val="18"/>
              </w:rPr>
            </w:pPr>
            <w:r>
              <w:rPr>
                <w:rFonts w:ascii="Times New Roman"/>
                <w:sz w:val="18"/>
              </w:rPr>
              <w:t>8,293,633.65</w:t>
            </w:r>
          </w:p>
        </w:tc>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60"/>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290" w:lineRule="auto" w:before="66"/>
        <w:ind w:right="1118"/>
        <w:jc w:val="left"/>
      </w:pPr>
      <w:r>
        <w:rPr/>
        <w:t>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86"/>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pStyle w:val="BodyText"/>
        <w:spacing w:line="276" w:lineRule="auto" w:before="111"/>
        <w:ind w:right="1115"/>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276"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right="3750"/>
        <w:jc w:val="center"/>
        <w:rPr>
          <w:b w:val="0"/>
          <w:bCs w:val="0"/>
        </w:rPr>
      </w:pPr>
      <w:bookmarkStart w:name="第三节公司业务概要" w:id="15"/>
      <w:bookmarkEnd w:id="15"/>
      <w:r>
        <w:rPr>
          <w:b w:val="0"/>
          <w:bCs w:val="0"/>
        </w:rPr>
      </w:r>
      <w:bookmarkStart w:name="_bookmark2" w:id="16"/>
      <w:bookmarkEnd w:id="16"/>
      <w:r>
        <w:rPr>
          <w:b w:val="0"/>
          <w:bCs w:val="0"/>
        </w:rPr>
      </w:r>
      <w:r>
        <w:rPr>
          <w:spacing w:val="5"/>
        </w:rPr>
        <w:t>第三节公司业务概要</w:t>
      </w:r>
      <w:r>
        <w:rPr>
          <w:b w:val="0"/>
          <w:bCs w:val="0"/>
          <w:spacing w:val="5"/>
        </w:rPr>
      </w:r>
    </w:p>
    <w:p>
      <w:pPr>
        <w:spacing w:line="240" w:lineRule="auto" w:before="4"/>
        <w:rPr>
          <w:rFonts w:ascii="宋体" w:hAnsi="宋体" w:cs="宋体" w:eastAsia="宋体" w:hint="default"/>
          <w:b/>
          <w:bCs/>
          <w:sz w:val="38"/>
          <w:szCs w:val="38"/>
        </w:rPr>
      </w:pPr>
    </w:p>
    <w:p>
      <w:pPr>
        <w:pStyle w:val="Heading2"/>
        <w:spacing w:line="240" w:lineRule="auto"/>
        <w:ind w:right="110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3"/>
        <w:rPr>
          <w:rFonts w:ascii="宋体" w:hAnsi="宋体" w:cs="宋体" w:eastAsia="宋体" w:hint="default"/>
          <w:b/>
          <w:bCs/>
          <w:sz w:val="27"/>
          <w:szCs w:val="27"/>
        </w:rPr>
      </w:pPr>
    </w:p>
    <w:p>
      <w:pPr>
        <w:pStyle w:val="BodyText"/>
        <w:spacing w:line="297" w:lineRule="auto"/>
        <w:ind w:left="501" w:right="1029" w:hanging="361"/>
        <w:jc w:val="left"/>
      </w:pPr>
      <w:r>
        <w:rPr/>
        <w:t>公司需遵守《深圳证券交易所行业信息披露指引第</w:t>
      </w:r>
      <w:r>
        <w:rPr>
          <w:spacing w:val="-43"/>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w:t>
      </w:r>
      <w:r>
        <w:rPr>
          <w:rFonts w:ascii="宋体" w:hAnsi="宋体" w:cs="宋体" w:eastAsia="宋体" w:hint="default"/>
          <w:b/>
          <w:bCs/>
          <w:sz w:val="21"/>
          <w:szCs w:val="21"/>
        </w:rPr>
        <w:t>一、公司业务概要</w:t>
      </w:r>
      <w:r>
        <w:rPr>
          <w:rFonts w:ascii="宋体" w:hAnsi="宋体" w:cs="宋体" w:eastAsia="宋体" w:hint="default"/>
          <w:b/>
          <w:bCs/>
          <w:w w:val="99"/>
          <w:sz w:val="21"/>
          <w:szCs w:val="21"/>
        </w:rPr>
        <w:t> </w:t>
      </w:r>
      <w:r>
        <w:rPr/>
        <w:t>公司成立于</w:t>
      </w:r>
      <w:r>
        <w:rPr>
          <w:rFonts w:ascii="Times New Roman" w:hAnsi="Times New Roman" w:cs="Times New Roman" w:eastAsia="Times New Roman" w:hint="default"/>
        </w:rPr>
        <w:t>1998</w:t>
      </w:r>
      <w:r>
        <w:rPr/>
        <w:t>年，总部设在北京，是国内领先的信息安全设备提供商和系统整体解决方案服务商。 公司自成立以来，始终专注于信息安全设备的研发和生产，坚持自主创新和收购融合两步走的战略，经过多年的发展，</w:t>
      </w:r>
    </w:p>
    <w:p>
      <w:pPr>
        <w:pStyle w:val="BodyText"/>
        <w:spacing w:line="319" w:lineRule="auto" w:before="36"/>
        <w:ind w:right="0"/>
        <w:jc w:val="left"/>
      </w:pPr>
      <w:r>
        <w:rPr>
          <w:spacing w:val="-2"/>
        </w:rPr>
        <w:t>公司已初步掌握了从密码芯片设计、密码算法实现到密码产品研发、制造、销售、服务的完整产业链要素。公司在信息安全</w:t>
      </w:r>
      <w:r>
        <w:rPr>
          <w:spacing w:val="-57"/>
        </w:rPr>
        <w:t> </w:t>
      </w:r>
      <w:r>
        <w:rPr>
          <w:spacing w:val="-57"/>
        </w:rPr>
      </w:r>
      <w:r>
        <w:rPr>
          <w:spacing w:val="-2"/>
        </w:rPr>
        <w:t>领域提供身份识别、交易安全、智能支付、云安全、金融行业创新营销、版权保护等多种产品和完整的解决方案。公司以北</w:t>
      </w:r>
      <w:r>
        <w:rPr>
          <w:spacing w:val="-72"/>
        </w:rPr>
        <w:t> </w:t>
      </w:r>
      <w:r>
        <w:rPr>
          <w:spacing w:val="-72"/>
        </w:rPr>
      </w:r>
      <w:r>
        <w:rPr>
          <w:spacing w:val="-2"/>
        </w:rPr>
        <w:t>京总部为中心，在广州、上海等地成立了营销中心，在深圳、杭州和昆明等多个地区建立了办事处，在全球范围内建立起市</w:t>
      </w:r>
      <w:r>
        <w:rPr>
          <w:spacing w:val="-57"/>
        </w:rPr>
        <w:t> </w:t>
      </w:r>
      <w:r>
        <w:rPr>
          <w:spacing w:val="-57"/>
        </w:rPr>
      </w:r>
      <w:r>
        <w:rPr>
          <w:spacing w:val="-4"/>
        </w:rPr>
        <w:t>场推广和营销服务体系，并配有专业的系统解决方案和服务团队，公司产品销售至全球多个国家和地区，积累了金融、政府、</w:t>
      </w:r>
      <w:r>
        <w:rPr>
          <w:spacing w:val="-41"/>
        </w:rPr>
        <w:t> </w:t>
      </w:r>
      <w:r>
        <w:rPr>
          <w:spacing w:val="-41"/>
        </w:rPr>
      </w:r>
      <w:r>
        <w:rPr>
          <w:spacing w:val="-2"/>
        </w:rPr>
        <w:t>邮政、电信、交通、互联网等领域多家客户。其中，银行客户覆盖较为广泛，为包括工行、建行、农行、中行、交通银行等</w:t>
      </w:r>
      <w:r>
        <w:rPr>
          <w:spacing w:val="-77"/>
        </w:rPr>
        <w:t> </w:t>
      </w:r>
      <w:r>
        <w:rPr>
          <w:spacing w:val="-77"/>
        </w:rPr>
      </w:r>
      <w:r>
        <w:rPr>
          <w:spacing w:val="-2"/>
        </w:rPr>
        <w:t>在内的多家银行的网上银行系统安全提供完善的解决方案和专业的技术服务，是国内银行客户数较多的智能网络身份认证产</w:t>
      </w:r>
      <w:r>
        <w:rPr>
          <w:spacing w:val="-58"/>
        </w:rPr>
        <w:t> </w:t>
      </w:r>
      <w:r>
        <w:rPr>
          <w:spacing w:val="-58"/>
        </w:rPr>
      </w:r>
      <w:r>
        <w:rPr/>
        <w:t>品提供商。报告期内公司的主营业务未发生重大变化。公司主要产品如下：</w:t>
      </w:r>
    </w:p>
    <w:p>
      <w:pPr>
        <w:pStyle w:val="BodyText"/>
        <w:spacing w:line="240" w:lineRule="auto" w:before="20"/>
        <w:ind w:left="501" w:right="1100"/>
        <w:jc w:val="left"/>
      </w:pPr>
      <w:r>
        <w:rPr>
          <w:rFonts w:ascii="Times New Roman" w:hAnsi="Times New Roman" w:cs="Times New Roman" w:eastAsia="Times New Roman" w:hint="default"/>
        </w:rPr>
        <w:t>1.USB</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3"/>
        </w:rPr>
        <w:t>Key</w:t>
      </w:r>
      <w:r>
        <w:rPr>
          <w:spacing w:val="3"/>
        </w:rPr>
        <w:t>产品</w:t>
      </w:r>
    </w:p>
    <w:p>
      <w:pPr>
        <w:pStyle w:val="BodyText"/>
        <w:spacing w:line="304" w:lineRule="auto" w:before="66"/>
        <w:ind w:right="1095" w:firstLine="360"/>
        <w:jc w:val="both"/>
      </w:pPr>
      <w:r>
        <w:rPr/>
        <w:t>飞天</w:t>
      </w:r>
      <w:r>
        <w:rPr>
          <w:rFonts w:ascii="Times New Roman" w:hAnsi="Times New Roman" w:cs="Times New Roman" w:eastAsia="Times New Roman" w:hint="default"/>
        </w:rPr>
        <w:t>ePass</w:t>
      </w:r>
      <w:r>
        <w:rPr/>
        <w:t>系列</w:t>
      </w:r>
      <w:r>
        <w:rPr>
          <w:rFonts w:ascii="Times New Roman" w:hAnsi="Times New Roman" w:cs="Times New Roman" w:eastAsia="Times New Roman" w:hint="default"/>
        </w:rPr>
        <w:t>USB</w:t>
      </w:r>
      <w:r>
        <w:rPr>
          <w:rFonts w:ascii="Times New Roman" w:hAnsi="Times New Roman" w:cs="Times New Roman" w:eastAsia="Times New Roman" w:hint="default"/>
          <w:spacing w:val="-32"/>
        </w:rPr>
        <w:t> </w:t>
      </w:r>
      <w:r>
        <w:rPr>
          <w:rFonts w:ascii="Times New Roman" w:hAnsi="Times New Roman" w:cs="Times New Roman" w:eastAsia="Times New Roman" w:hint="default"/>
        </w:rPr>
        <w:t>Key</w:t>
      </w:r>
      <w:r>
        <w:rPr/>
        <w:t>涵盖高、中、低端产品，能满足不同层次的用户需求，是身份安全的解决之道。目前，</w:t>
      </w:r>
      <w:r>
        <w:rPr>
          <w:rFonts w:ascii="Times New Roman" w:hAnsi="Times New Roman" w:cs="Times New Roman" w:eastAsia="Times New Roman" w:hint="default"/>
        </w:rPr>
        <w:t>USB</w:t>
      </w:r>
      <w:r>
        <w:rPr>
          <w:rFonts w:ascii="Times New Roman" w:hAnsi="Times New Roman" w:cs="Times New Roman" w:eastAsia="Times New Roman" w:hint="default"/>
          <w:spacing w:val="-26"/>
        </w:rPr>
        <w:t> </w:t>
      </w:r>
      <w:r>
        <w:rPr>
          <w:rFonts w:ascii="Times New Roman" w:hAnsi="Times New Roman" w:cs="Times New Roman" w:eastAsia="Times New Roman" w:hint="default"/>
        </w:rPr>
        <w:t>Key</w:t>
      </w:r>
      <w:r>
        <w:rPr>
          <w:rFonts w:ascii="Times New Roman" w:hAnsi="Times New Roman" w:cs="Times New Roman" w:eastAsia="Times New Roman" w:hint="default"/>
        </w:rPr>
        <w:t> </w:t>
      </w:r>
      <w:r>
        <w:rPr/>
        <w:t>产品市场主要集中在对信息安全领域要求较高的领域，银行是</w:t>
      </w:r>
      <w:r>
        <w:rPr>
          <w:rFonts w:ascii="Times New Roman" w:hAnsi="Times New Roman" w:cs="Times New Roman" w:eastAsia="Times New Roman" w:hint="default"/>
        </w:rPr>
        <w:t>USB</w:t>
      </w:r>
      <w:r>
        <w:rPr>
          <w:rFonts w:ascii="Times New Roman" w:hAnsi="Times New Roman" w:cs="Times New Roman" w:eastAsia="Times New Roman" w:hint="default"/>
          <w:spacing w:val="-6"/>
        </w:rPr>
        <w:t> </w:t>
      </w:r>
      <w:r>
        <w:rPr>
          <w:rFonts w:ascii="Times New Roman" w:hAnsi="Times New Roman" w:cs="Times New Roman" w:eastAsia="Times New Roman" w:hint="default"/>
        </w:rPr>
        <w:t>Key</w:t>
      </w:r>
      <w:r>
        <w:rPr/>
        <w:t>产品主要的需求方。报告期内，</w:t>
      </w:r>
      <w:r>
        <w:rPr>
          <w:rFonts w:ascii="Times New Roman" w:hAnsi="Times New Roman" w:cs="Times New Roman" w:eastAsia="Times New Roman" w:hint="default"/>
        </w:rPr>
        <w:t>USB</w:t>
      </w:r>
      <w:r>
        <w:rPr>
          <w:rFonts w:ascii="Times New Roman" w:hAnsi="Times New Roman" w:cs="Times New Roman" w:eastAsia="Times New Roman" w:hint="default"/>
          <w:spacing w:val="-6"/>
        </w:rPr>
        <w:t> </w:t>
      </w:r>
      <w:r>
        <w:rPr>
          <w:rFonts w:ascii="Times New Roman" w:hAnsi="Times New Roman" w:cs="Times New Roman" w:eastAsia="Times New Roman" w:hint="default"/>
        </w:rPr>
        <w:t>Key</w:t>
      </w:r>
      <w:r>
        <w:rPr/>
        <w:t>产品创造的</w:t>
      </w:r>
      <w:r>
        <w:rPr>
          <w:spacing w:val="-86"/>
        </w:rPr>
        <w:t> </w:t>
      </w:r>
      <w:r>
        <w:rPr/>
        <w:t>营业收入</w:t>
      </w:r>
      <w:r>
        <w:rPr>
          <w:rFonts w:ascii="Times New Roman" w:hAnsi="Times New Roman" w:cs="Times New Roman" w:eastAsia="Times New Roman" w:hint="default"/>
        </w:rPr>
        <w:t>46,110.29</w:t>
      </w:r>
      <w:r>
        <w:rPr>
          <w:rFonts w:ascii="Times New Roman" w:hAnsi="Times New Roman" w:cs="Times New Roman" w:eastAsia="Times New Roman" w:hint="default"/>
          <w:spacing w:val="36"/>
        </w:rPr>
        <w:t> </w:t>
      </w:r>
      <w:r>
        <w:rPr/>
        <w:t>万元，占公司营业收入总额的</w:t>
      </w:r>
      <w:r>
        <w:rPr>
          <w:rFonts w:ascii="Times New Roman" w:hAnsi="Times New Roman" w:cs="Times New Roman" w:eastAsia="Times New Roman" w:hint="default"/>
        </w:rPr>
        <w:t>49.07%%</w:t>
      </w:r>
      <w:r>
        <w:rPr/>
        <w:t>，同比减少</w:t>
      </w:r>
      <w:r>
        <w:rPr>
          <w:rFonts w:ascii="Times New Roman" w:hAnsi="Times New Roman" w:cs="Times New Roman" w:eastAsia="Times New Roman" w:hint="default"/>
        </w:rPr>
        <w:t>19.54%</w:t>
      </w:r>
      <w:r>
        <w:rPr/>
        <w:t>。</w:t>
      </w:r>
    </w:p>
    <w:p>
      <w:pPr>
        <w:pStyle w:val="BodyText"/>
        <w:spacing w:line="288" w:lineRule="auto" w:before="12"/>
        <w:ind w:left="501" w:right="1100"/>
        <w:jc w:val="left"/>
      </w:pPr>
      <w:r>
        <w:rPr>
          <w:rFonts w:ascii="Times New Roman" w:hAnsi="Times New Roman" w:cs="Times New Roman" w:eastAsia="Times New Roman" w:hint="default"/>
        </w:rPr>
        <w:t>2.OTP</w:t>
      </w:r>
      <w:r>
        <w:rPr/>
        <w:t>动态令牌产品</w:t>
      </w:r>
      <w:r>
        <w:rPr>
          <w:spacing w:val="-73"/>
        </w:rPr>
        <w:t> </w:t>
      </w:r>
      <w:r>
        <w:rPr/>
        <w:t>飞天</w:t>
      </w:r>
      <w:r>
        <w:rPr>
          <w:rFonts w:ascii="Times New Roman" w:hAnsi="Times New Roman" w:cs="Times New Roman" w:eastAsia="Times New Roman" w:hint="default"/>
        </w:rPr>
        <w:t>OTP</w:t>
      </w:r>
      <w:r>
        <w:rPr/>
        <w:t>动态令牌系列产品具有一次一密的特性，最大特点是简单、易用，适用于多种网络环境和终端。报告期内，</w:t>
      </w:r>
    </w:p>
    <w:p>
      <w:pPr>
        <w:pStyle w:val="BodyText"/>
        <w:spacing w:line="302" w:lineRule="auto" w:before="26"/>
        <w:ind w:left="501" w:right="3521" w:hanging="361"/>
        <w:jc w:val="left"/>
      </w:pPr>
      <w:r>
        <w:rPr>
          <w:rFonts w:ascii="Times New Roman" w:hAnsi="Times New Roman" w:cs="Times New Roman" w:eastAsia="Times New Roman" w:hint="default"/>
        </w:rPr>
        <w:t>OTP</w:t>
      </w:r>
      <w:r>
        <w:rPr/>
        <w:t>产品创造的营业收入</w:t>
      </w:r>
      <w:r>
        <w:rPr>
          <w:rFonts w:ascii="Times New Roman" w:hAnsi="Times New Roman" w:cs="Times New Roman" w:eastAsia="Times New Roman" w:hint="default"/>
        </w:rPr>
        <w:t>19,265.62</w:t>
      </w:r>
      <w:r>
        <w:rPr/>
        <w:t>万元，占公司营业收入总额的</w:t>
      </w:r>
      <w:r>
        <w:rPr>
          <w:rFonts w:ascii="Times New Roman" w:hAnsi="Times New Roman" w:cs="Times New Roman" w:eastAsia="Times New Roman" w:hint="default"/>
        </w:rPr>
        <w:t>20.50%</w:t>
      </w:r>
      <w:r>
        <w:rPr/>
        <w:t>，同比减少</w:t>
      </w:r>
      <w:r>
        <w:rPr>
          <w:rFonts w:ascii="Times New Roman" w:hAnsi="Times New Roman" w:cs="Times New Roman" w:eastAsia="Times New Roman" w:hint="default"/>
        </w:rPr>
        <w:t>34.01%</w:t>
      </w:r>
      <w:r>
        <w:rPr/>
        <w:t>。</w:t>
      </w:r>
      <w:r>
        <w:rPr>
          <w:spacing w:val="-67"/>
        </w:rPr>
        <w:t> </w:t>
      </w: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芯片产品</w:t>
      </w:r>
    </w:p>
    <w:p>
      <w:pPr>
        <w:pStyle w:val="BodyText"/>
        <w:spacing w:line="321" w:lineRule="auto"/>
        <w:ind w:right="1106" w:firstLine="360"/>
        <w:jc w:val="both"/>
      </w:pPr>
      <w:r>
        <w:rPr>
          <w:spacing w:val="-2"/>
        </w:rPr>
        <w:t>公司之子公司北京宏思，是国内较早专业从事国产信息安全应用芯片研制的集成电路设计企业，产品应用于金融、移动</w:t>
      </w:r>
      <w:r>
        <w:rPr/>
        <w:t> </w:t>
      </w:r>
      <w:r>
        <w:rPr>
          <w:spacing w:val="-2"/>
        </w:rPr>
        <w:t>支付、税务公安、交通、电力、电子政务、物联网、智能家电、公共安全、版权保护、工业控制等领域。报告期内，北京宏</w:t>
      </w:r>
      <w:r>
        <w:rPr>
          <w:spacing w:val="-42"/>
        </w:rPr>
        <w:t> </w:t>
      </w:r>
      <w:r>
        <w:rPr>
          <w:spacing w:val="-42"/>
        </w:rPr>
      </w:r>
      <w:r>
        <w:rPr/>
        <w:t>思芯片产品的营业收入</w:t>
      </w:r>
      <w:r>
        <w:rPr>
          <w:rFonts w:ascii="Times New Roman" w:hAnsi="Times New Roman" w:cs="Times New Roman" w:eastAsia="Times New Roman" w:hint="default"/>
        </w:rPr>
        <w:t>9,657.22</w:t>
      </w:r>
      <w:r>
        <w:rPr/>
        <w:t>万元，占公司营业收入总额的</w:t>
      </w:r>
      <w:r>
        <w:rPr>
          <w:rFonts w:ascii="Times New Roman" w:hAnsi="Times New Roman" w:cs="Times New Roman" w:eastAsia="Times New Roman" w:hint="default"/>
        </w:rPr>
        <w:t>10.28%</w:t>
      </w:r>
      <w:r>
        <w:rPr/>
        <w:t>，比上年同期增长</w:t>
      </w:r>
      <w:r>
        <w:rPr>
          <w:rFonts w:ascii="Times New Roman" w:hAnsi="Times New Roman" w:cs="Times New Roman" w:eastAsia="Times New Roman" w:hint="default"/>
        </w:rPr>
        <w:t>36.30%</w:t>
      </w:r>
      <w:r>
        <w:rPr/>
        <w:t>。</w:t>
      </w:r>
    </w:p>
    <w:p>
      <w:pPr>
        <w:pStyle w:val="BodyText"/>
        <w:spacing w:line="302" w:lineRule="auto"/>
        <w:ind w:left="501" w:right="110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0"/>
        </w:rPr>
        <w:t> </w:t>
      </w:r>
      <w:r>
        <w:rPr/>
        <w:t>智能终端系统 </w:t>
      </w:r>
      <w:r>
        <w:rPr>
          <w:spacing w:val="-2"/>
        </w:rPr>
        <w:t>公司在</w:t>
      </w:r>
      <w:r>
        <w:rPr>
          <w:rFonts w:ascii="Times New Roman" w:hAnsi="Times New Roman" w:cs="Times New Roman" w:eastAsia="Times New Roman" w:hint="default"/>
          <w:spacing w:val="-2"/>
        </w:rPr>
        <w:t>2019</w:t>
      </w:r>
      <w:r>
        <w:rPr>
          <w:spacing w:val="-2"/>
        </w:rPr>
        <w:t>年新推出了云音箱、扫码盒子等一系列智能终端产品，助力金融服务融入民生应用场景。报告期内，智能终</w:t>
      </w:r>
    </w:p>
    <w:p>
      <w:pPr>
        <w:pStyle w:val="BodyText"/>
        <w:spacing w:line="240" w:lineRule="auto" w:before="14"/>
        <w:ind w:right="1100"/>
        <w:jc w:val="left"/>
      </w:pPr>
      <w:r>
        <w:rPr/>
        <w:t>端系统的营业收入</w:t>
      </w:r>
      <w:r>
        <w:rPr>
          <w:rFonts w:ascii="Times New Roman" w:hAnsi="Times New Roman" w:cs="Times New Roman" w:eastAsia="Times New Roman" w:hint="default"/>
        </w:rPr>
        <w:t>5,372.13</w:t>
      </w:r>
      <w:r>
        <w:rPr/>
        <w:t>万元，占公司营业收入总额的</w:t>
      </w:r>
      <w:r>
        <w:rPr>
          <w:rFonts w:ascii="Times New Roman" w:hAnsi="Times New Roman" w:cs="Times New Roman" w:eastAsia="Times New Roman" w:hint="default"/>
        </w:rPr>
        <w:t>5.72%</w:t>
      </w:r>
      <w:r>
        <w:rPr/>
        <w:t>。</w:t>
      </w:r>
    </w:p>
    <w:p>
      <w:pPr>
        <w:pStyle w:val="BodyText"/>
        <w:spacing w:line="290" w:lineRule="auto" w:before="66"/>
        <w:ind w:left="501" w:right="1100"/>
        <w:jc w:val="left"/>
      </w:pPr>
      <w:r>
        <w:rPr>
          <w:rFonts w:ascii="Times New Roman" w:hAnsi="Times New Roman" w:cs="Times New Roman" w:eastAsia="Times New Roman" w:hint="default"/>
        </w:rPr>
        <w:t>5.</w:t>
      </w:r>
      <w:r>
        <w:rPr/>
        <w:t>加密锁产品 </w:t>
      </w:r>
      <w:r>
        <w:rPr>
          <w:spacing w:val="-2"/>
        </w:rPr>
        <w:t>加密锁（</w:t>
      </w:r>
      <w:r>
        <w:rPr>
          <w:rFonts w:ascii="Times New Roman" w:hAnsi="Times New Roman" w:cs="Times New Roman" w:eastAsia="Times New Roman" w:hint="default"/>
          <w:spacing w:val="-2"/>
        </w:rPr>
        <w:t>Dongle</w:t>
      </w:r>
      <w:r>
        <w:rPr>
          <w:spacing w:val="-2"/>
        </w:rPr>
        <w:t>）基于硬件保护技术，其目的是通过对软件与数据的保护防止知识产权被非法使用，是另一类软件和数</w:t>
      </w:r>
    </w:p>
    <w:p>
      <w:pPr>
        <w:pStyle w:val="BodyText"/>
        <w:spacing w:line="304" w:lineRule="auto" w:before="24"/>
        <w:ind w:right="1126"/>
        <w:jc w:val="both"/>
      </w:pPr>
      <w:r>
        <w:rPr/>
        <w:t>据的身份认证产品。加密锁市场技术已经趋于成熟，客户主要为软件公司。飞天</w:t>
      </w:r>
      <w:r>
        <w:rPr>
          <w:rFonts w:ascii="Times New Roman" w:hAnsi="Times New Roman" w:cs="Times New Roman" w:eastAsia="Times New Roman" w:hint="default"/>
        </w:rPr>
        <w:t>ROCKEY</w:t>
      </w:r>
      <w:r>
        <w:rPr/>
        <w:t>系列加密锁产品覆盖面广，满足</w:t>
      </w:r>
      <w:r>
        <w:rPr>
          <w:spacing w:val="-19"/>
        </w:rPr>
        <w:t> </w:t>
      </w:r>
      <w:r>
        <w:rPr>
          <w:spacing w:val="-19"/>
        </w:rPr>
      </w:r>
      <w:r>
        <w:rPr/>
        <w:t>了不同层次的软件开发商需求，也最大程度降低了开发商对锁的维护力度。报告期内，加密锁产品的营业收入为</w:t>
      </w:r>
      <w:r>
        <w:rPr>
          <w:rFonts w:ascii="Times New Roman" w:hAnsi="Times New Roman" w:cs="Times New Roman" w:eastAsia="Times New Roman" w:hint="default"/>
        </w:rPr>
        <w:t>3,460.07</w:t>
      </w:r>
      <w:r>
        <w:rPr/>
        <w:t>万</w:t>
      </w:r>
      <w:r>
        <w:rPr>
          <w:spacing w:val="-79"/>
        </w:rPr>
        <w:t> </w:t>
      </w:r>
      <w:r>
        <w:rPr/>
        <w:t>元，占公司营业收入总额的</w:t>
      </w:r>
      <w:r>
        <w:rPr>
          <w:rFonts w:ascii="Times New Roman" w:hAnsi="Times New Roman" w:cs="Times New Roman" w:eastAsia="Times New Roman" w:hint="default"/>
        </w:rPr>
        <w:t>3.68%</w:t>
      </w:r>
      <w:r>
        <w:rPr/>
        <w:t>，同比减少</w:t>
      </w:r>
      <w:r>
        <w:rPr>
          <w:rFonts w:ascii="Times New Roman" w:hAnsi="Times New Roman" w:cs="Times New Roman" w:eastAsia="Times New Roman" w:hint="default"/>
        </w:rPr>
        <w:t>19.40%</w:t>
      </w:r>
      <w:r>
        <w:rPr/>
        <w:t>。</w:t>
      </w:r>
    </w:p>
    <w:p>
      <w:pPr>
        <w:pStyle w:val="BodyText"/>
        <w:spacing w:line="290" w:lineRule="auto" w:before="12"/>
        <w:ind w:left="501" w:right="1100"/>
        <w:jc w:val="left"/>
      </w:pPr>
      <w:r>
        <w:rPr>
          <w:rFonts w:ascii="Times New Roman" w:hAnsi="Times New Roman" w:cs="Times New Roman" w:eastAsia="Times New Roman" w:hint="default"/>
        </w:rPr>
        <w:t>6.</w:t>
      </w:r>
      <w:r>
        <w:rPr/>
        <w:t>卡类产品 </w:t>
      </w:r>
      <w:r>
        <w:rPr>
          <w:rFonts w:ascii="Times New Roman" w:hAnsi="Times New Roman" w:cs="Times New Roman" w:eastAsia="Times New Roman" w:hint="default"/>
          <w:spacing w:val="4"/>
        </w:rPr>
        <w:t>IC</w:t>
      </w:r>
      <w:r>
        <w:rPr>
          <w:spacing w:val="4"/>
        </w:rPr>
        <w:t>卡作为信息存储的载体，也是信息安全业的重点关注领域及其产品应用市场。报告期内，卡类产品的营业收入为</w:t>
      </w:r>
    </w:p>
    <w:p>
      <w:pPr>
        <w:pStyle w:val="BodyText"/>
        <w:spacing w:line="240" w:lineRule="auto" w:before="24"/>
        <w:ind w:right="1100"/>
        <w:jc w:val="left"/>
      </w:pPr>
      <w:r>
        <w:rPr>
          <w:rFonts w:ascii="Times New Roman" w:hAnsi="Times New Roman" w:cs="Times New Roman" w:eastAsia="Times New Roman" w:hint="default"/>
        </w:rPr>
        <w:t>3,025.07</w:t>
      </w:r>
      <w:r>
        <w:rPr/>
        <w:t>万元，占公司营业收入总额的</w:t>
      </w:r>
      <w:r>
        <w:rPr>
          <w:rFonts w:ascii="Times New Roman" w:hAnsi="Times New Roman" w:cs="Times New Roman" w:eastAsia="Times New Roman" w:hint="default"/>
        </w:rPr>
        <w:t>3.22%</w:t>
      </w:r>
      <w:r>
        <w:rPr/>
        <w:t>，同比增加</w:t>
      </w:r>
      <w:r>
        <w:rPr>
          <w:rFonts w:ascii="Times New Roman" w:hAnsi="Times New Roman" w:cs="Times New Roman" w:eastAsia="Times New Roman" w:hint="default"/>
        </w:rPr>
        <w:t>7.23%</w:t>
      </w:r>
      <w:r>
        <w:rPr/>
        <w:t>。</w:t>
      </w:r>
    </w:p>
    <w:p>
      <w:pPr>
        <w:pStyle w:val="Heading4"/>
        <w:spacing w:line="276" w:lineRule="auto" w:before="31"/>
        <w:ind w:right="1104" w:firstLine="420"/>
        <w:jc w:val="both"/>
        <w:rPr>
          <w:b w:val="0"/>
          <w:bCs w:val="0"/>
        </w:rPr>
      </w:pPr>
      <w:r>
        <w:rPr>
          <w:spacing w:val="-1"/>
        </w:rPr>
        <w:t>二、客户所处行业相关的宏观经济形势、行业政策环境和信息化投资需求等外部因素的变化情况对公</w:t>
      </w:r>
      <w:r>
        <w:rPr>
          <w:w w:val="99"/>
        </w:rPr>
        <w:t> </w:t>
      </w:r>
      <w:r>
        <w:rPr/>
        <w:t>司当期及未来发展的影响。</w:t>
      </w:r>
      <w:r>
        <w:rPr>
          <w:b w:val="0"/>
          <w:bCs w:val="0"/>
        </w:rPr>
      </w:r>
    </w:p>
    <w:p>
      <w:pPr>
        <w:pStyle w:val="BodyText"/>
        <w:spacing w:line="273" w:lineRule="auto" w:before="44"/>
        <w:ind w:right="1127" w:firstLine="42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日，国家市场监督管理总局、国家标准化管理委员会召开新闻发布会，等保</w:t>
      </w:r>
      <w:r>
        <w:rPr>
          <w:rFonts w:ascii="Times New Roman" w:hAnsi="Times New Roman" w:cs="Times New Roman" w:eastAsia="Times New Roman" w:hint="default"/>
        </w:rPr>
        <w:t>2.0</w:t>
      </w:r>
      <w:r>
        <w:rPr/>
        <w:t>相关的《信息安全技术网 </w:t>
      </w:r>
      <w:r>
        <w:rPr>
          <w:spacing w:val="-2"/>
        </w:rPr>
        <w:t>络安全等级保护基本要求》、《信息安全技术网络安全等级保护测评要求》、《信息安全技术网络安全等级保护安全设计技</w:t>
      </w:r>
    </w:p>
    <w:p>
      <w:pPr>
        <w:pStyle w:val="BodyText"/>
        <w:spacing w:line="240" w:lineRule="auto" w:before="69"/>
        <w:ind w:right="0"/>
        <w:jc w:val="left"/>
      </w:pPr>
      <w:r>
        <w:rPr/>
        <w:t>术要求》等国家标准正式发布，已于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日开始实施。等保</w:t>
      </w:r>
      <w:r>
        <w:rPr>
          <w:rFonts w:ascii="Times New Roman" w:hAnsi="Times New Roman" w:cs="Times New Roman" w:eastAsia="Times New Roman" w:hint="default"/>
        </w:rPr>
        <w:t>2.0</w:t>
      </w:r>
      <w:r>
        <w:rPr/>
        <w:t>从立法层面提升了信息安全的合规要求，随着未来信</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right="1100"/>
        <w:jc w:val="left"/>
      </w:pPr>
      <w:r>
        <w:rPr/>
        <w:t>息和重要数据保护重要性的提升，有可能驱动我国金融、电信、互联网等领域信息安全防护的发展。</w:t>
      </w:r>
    </w:p>
    <w:p>
      <w:pPr>
        <w:pStyle w:val="BodyText"/>
        <w:spacing w:line="290" w:lineRule="auto" w:before="94"/>
        <w:ind w:right="1106" w:firstLine="42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30</w:t>
      </w:r>
      <w:r>
        <w:rPr>
          <w:spacing w:val="-2"/>
        </w:rPr>
        <w:t>日，在中国软件产业发展情况新闻发布会上，《国家网络安全产业发展规划》正式发布，工业和信息化部</w:t>
      </w:r>
      <w:r>
        <w:rPr/>
        <w:t> 与北京市人民政府决定建设国家网络安全产业园区。此次规划是继等保</w:t>
      </w:r>
      <w:r>
        <w:rPr>
          <w:rFonts w:ascii="Times New Roman" w:hAnsi="Times New Roman" w:cs="Times New Roman" w:eastAsia="Times New Roman" w:hint="default"/>
        </w:rPr>
        <w:t>2.0</w:t>
      </w:r>
      <w:r>
        <w:rPr/>
        <w:t>之后又一网络安全领域国家顶层规划政策，信息</w:t>
      </w:r>
      <w:r>
        <w:rPr>
          <w:spacing w:val="-42"/>
        </w:rPr>
        <w:t> </w:t>
      </w:r>
      <w:r>
        <w:rPr>
          <w:spacing w:val="-42"/>
        </w:rPr>
      </w:r>
      <w:r>
        <w:rPr>
          <w:spacing w:val="-2"/>
        </w:rPr>
        <w:t>安全的国家战略地位进一步得到肯定。信息安全下游客户以政府、金融和电信等行业为主，整体发展受政策影响较大，预计</w:t>
      </w:r>
    </w:p>
    <w:p>
      <w:pPr>
        <w:pStyle w:val="BodyText"/>
        <w:spacing w:line="240" w:lineRule="auto" w:before="41"/>
        <w:ind w:right="1100"/>
        <w:jc w:val="left"/>
      </w:pPr>
      <w:r>
        <w:rPr/>
        <w:t>该规划对未来信息安全产业的发展有较大的指引意义。</w:t>
      </w:r>
    </w:p>
    <w:p>
      <w:pPr>
        <w:pStyle w:val="BodyText"/>
        <w:spacing w:line="304" w:lineRule="auto" w:before="95"/>
        <w:ind w:right="1014" w:firstLine="42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日，全国人大常委会通过了《密码法》，于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日起施行，《密码法》对密码分类、商用密码制 </w:t>
      </w:r>
      <w:r>
        <w:rPr>
          <w:spacing w:val="-3"/>
        </w:rPr>
        <w:t>度、密码发展促进和保障措施、相应的法律责任等方面作出规定，旨在通过立法提升密码管理科学化、规范化、法治化水平，</w:t>
      </w:r>
      <w:r>
        <w:rPr>
          <w:spacing w:val="-80"/>
        </w:rPr>
        <w:t> </w:t>
      </w:r>
      <w:r>
        <w:rPr>
          <w:spacing w:val="-80"/>
        </w:rPr>
      </w:r>
      <w:r>
        <w:rPr/>
        <w:t>促进我国密码事业稳步健康发展。</w:t>
      </w:r>
    </w:p>
    <w:p>
      <w:pPr>
        <w:pStyle w:val="BodyText"/>
        <w:spacing w:line="321" w:lineRule="auto" w:before="16"/>
        <w:ind w:right="1136" w:firstLine="420"/>
        <w:jc w:val="both"/>
      </w:pPr>
      <w:r>
        <w:rPr/>
        <w:t>密码技术是飞天诚信核心竞争力的重要组成部分，飞天诚信已初步掌握了从密码芯片设计、密码算法实现到密码产品 </w:t>
      </w:r>
      <w:r>
        <w:rPr>
          <w:spacing w:val="-2"/>
        </w:rPr>
        <w:t>研发、制造、销售、服务的完整产业链要素。《密码法》的发布实施，将有力促进飞天诚信自主知识产权商用密码产品的普</w:t>
      </w:r>
      <w:r>
        <w:rPr>
          <w:spacing w:val="-74"/>
        </w:rPr>
        <w:t> </w:t>
      </w:r>
      <w:r>
        <w:rPr>
          <w:spacing w:val="-74"/>
        </w:rPr>
      </w:r>
      <w:r>
        <w:rPr/>
        <w:t>及推广。</w:t>
      </w:r>
    </w:p>
    <w:p>
      <w:pPr>
        <w:pStyle w:val="BodyText"/>
        <w:spacing w:line="297" w:lineRule="auto" w:before="33"/>
        <w:ind w:right="1106" w:firstLine="42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日发布的中国人民银行《金融科技（</w:t>
      </w:r>
      <w:r>
        <w:rPr>
          <w:rFonts w:ascii="Times New Roman" w:hAnsi="Times New Roman" w:cs="Times New Roman" w:eastAsia="Times New Roman" w:hint="default"/>
        </w:rPr>
        <w:t>FinTech</w:t>
      </w:r>
      <w:r>
        <w:rPr/>
        <w:t>）发展规划（</w:t>
      </w:r>
      <w:r>
        <w:rPr>
          <w:rFonts w:ascii="Times New Roman" w:hAnsi="Times New Roman" w:cs="Times New Roman" w:eastAsia="Times New Roman" w:hint="default"/>
        </w:rPr>
        <w:t>2019-2021</w:t>
      </w:r>
      <w:r>
        <w:rPr/>
        <w:t>）》中提出，</w:t>
      </w:r>
      <w:r>
        <w:rPr>
          <w:rFonts w:ascii="Times New Roman" w:hAnsi="Times New Roman" w:cs="Times New Roman" w:eastAsia="Times New Roman" w:hint="default"/>
        </w:rPr>
        <w:t>“</w:t>
      </w:r>
      <w:r>
        <w:rPr/>
        <w:t>构建适应互联网时代 </w:t>
      </w:r>
      <w:r>
        <w:rPr>
          <w:spacing w:val="-2"/>
        </w:rPr>
        <w:t>的移动终端可信环境，充分利用可信计算、安全多方计算、密码算法、生物识别等信息技术，建立健全兼顾安全与便捷的多</w:t>
      </w:r>
      <w:r>
        <w:rPr>
          <w:spacing w:val="-57"/>
        </w:rPr>
        <w:t> </w:t>
      </w:r>
      <w:r>
        <w:rPr>
          <w:spacing w:val="-57"/>
        </w:rPr>
      </w:r>
      <w:r>
        <w:rPr>
          <w:spacing w:val="-2"/>
        </w:rPr>
        <w:t>元化身份认证体系，不断丰富金融交易验证手段，保障移动互联环境下金融交易安全，提升金融服务的可得性、满意度与安</w:t>
      </w:r>
    </w:p>
    <w:p>
      <w:pPr>
        <w:pStyle w:val="BodyText"/>
        <w:spacing w:line="288" w:lineRule="auto" w:before="52"/>
        <w:ind w:right="1110"/>
        <w:jc w:val="left"/>
      </w:pPr>
      <w:r>
        <w:rPr/>
        <w:t>全水平。综合运用数字签名技术、共识机制等手段，提升金融交易信息的真实性、机密性和完整性</w:t>
      </w:r>
      <w:r>
        <w:rPr>
          <w:spacing w:val="-71"/>
        </w:rPr>
        <w:t> </w:t>
      </w:r>
      <w:r>
        <w:rPr>
          <w:rFonts w:ascii="Times New Roman" w:hAnsi="Times New Roman" w:cs="Times New Roman" w:eastAsia="Times New Roman" w:hint="default"/>
        </w:rPr>
        <w:t>”</w:t>
      </w:r>
      <w:r>
        <w:rPr/>
        <w:t>。公司将紧密结合《规 划》指引的方向，研发适合金融科技发展方向、适用于电子银行的新型身份认证和数字签名产品。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48"/>
        <w:ind w:right="110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0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3"/>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3049"/>
        <w:gridCol w:w="6533"/>
      </w:tblGrid>
      <w:tr>
        <w:trPr>
          <w:trHeight w:val="188" w:hRule="exact"/>
        </w:trPr>
        <w:tc>
          <w:tcPr>
            <w:tcW w:w="3049" w:type="dxa"/>
            <w:tcBorders>
              <w:top w:val="single" w:sz="6" w:space="0" w:color="000000"/>
              <w:left w:val="single" w:sz="6" w:space="0" w:color="000000"/>
              <w:bottom w:val="nil" w:sz="6" w:space="0" w:color="auto"/>
              <w:right w:val="single" w:sz="6" w:space="0" w:color="000000"/>
            </w:tcBorders>
            <w:shd w:val="clear" w:color="auto" w:fill="D2D2D2"/>
          </w:tcPr>
          <w:p>
            <w:pPr/>
          </w:p>
        </w:tc>
        <w:tc>
          <w:tcPr>
            <w:tcW w:w="6533"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1" w:hRule="exact"/>
        </w:trPr>
        <w:tc>
          <w:tcPr>
            <w:tcW w:w="3049"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3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8" w:hRule="exact"/>
        </w:trPr>
        <w:tc>
          <w:tcPr>
            <w:tcW w:w="3049" w:type="dxa"/>
            <w:tcBorders>
              <w:top w:val="nil" w:sz="6" w:space="0" w:color="auto"/>
              <w:left w:val="single" w:sz="6" w:space="0" w:color="000000"/>
              <w:bottom w:val="single" w:sz="6" w:space="0" w:color="000000"/>
              <w:right w:val="single" w:sz="6" w:space="0" w:color="000000"/>
            </w:tcBorders>
            <w:shd w:val="clear" w:color="auto" w:fill="D2D2D2"/>
          </w:tcPr>
          <w:p>
            <w:pPr/>
          </w:p>
        </w:tc>
        <w:tc>
          <w:tcPr>
            <w:tcW w:w="6533"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158" w:hRule="exact"/>
        </w:trPr>
        <w:tc>
          <w:tcPr>
            <w:tcW w:w="3049" w:type="dxa"/>
            <w:tcBorders>
              <w:top w:val="single" w:sz="6" w:space="0" w:color="000000"/>
              <w:left w:val="single" w:sz="6" w:space="0" w:color="000000"/>
              <w:bottom w:val="nil" w:sz="6" w:space="0" w:color="auto"/>
              <w:right w:val="single" w:sz="6" w:space="0" w:color="000000"/>
            </w:tcBorders>
            <w:shd w:val="clear" w:color="auto" w:fill="D2D2D2"/>
          </w:tcPr>
          <w:p>
            <w:pPr/>
          </w:p>
        </w:tc>
        <w:tc>
          <w:tcPr>
            <w:tcW w:w="6533" w:type="dxa"/>
            <w:vMerge w:val="restart"/>
            <w:tcBorders>
              <w:top w:val="single" w:sz="6" w:space="0" w:color="000000"/>
              <w:left w:val="single" w:sz="12" w:space="0" w:color="D2D2D2"/>
              <w:right w:val="single" w:sz="6"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较上年末增加</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27.19%</w:t>
            </w:r>
            <w:r>
              <w:rPr>
                <w:rFonts w:ascii="宋体" w:hAnsi="宋体" w:cs="宋体" w:eastAsia="宋体" w:hint="default"/>
                <w:sz w:val="18"/>
                <w:szCs w:val="18"/>
              </w:rPr>
              <w:t>，主要系本期购买马来西亚</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SECUREMETRICBERHAD</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公司</w:t>
            </w:r>
          </w:p>
          <w:p>
            <w:pPr>
              <w:pStyle w:val="TableParagraph"/>
              <w:spacing w:line="240" w:lineRule="auto" w:before="36"/>
              <w:ind w:left="22" w:right="0"/>
              <w:jc w:val="left"/>
              <w:rPr>
                <w:rFonts w:ascii="宋体" w:hAnsi="宋体" w:cs="宋体" w:eastAsia="宋体" w:hint="default"/>
                <w:sz w:val="18"/>
                <w:szCs w:val="18"/>
              </w:rPr>
            </w:pPr>
            <w:r>
              <w:rPr>
                <w:rFonts w:ascii="宋体" w:hAnsi="宋体" w:cs="宋体" w:eastAsia="宋体" w:hint="default"/>
                <w:sz w:val="18"/>
                <w:szCs w:val="18"/>
              </w:rPr>
              <w:t>（实科科技有限公司）股份所致。</w:t>
            </w:r>
          </w:p>
        </w:tc>
      </w:tr>
      <w:tr>
        <w:trPr>
          <w:trHeight w:val="406" w:hRule="exact"/>
        </w:trPr>
        <w:tc>
          <w:tcPr>
            <w:tcW w:w="3049"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33" w:type="dxa"/>
            <w:vMerge/>
            <w:tcBorders>
              <w:left w:val="single" w:sz="12" w:space="0" w:color="D2D2D2"/>
              <w:right w:val="single" w:sz="6" w:space="0" w:color="000000"/>
            </w:tcBorders>
          </w:tcPr>
          <w:p>
            <w:pPr/>
          </w:p>
        </w:tc>
      </w:tr>
      <w:tr>
        <w:trPr>
          <w:trHeight w:val="158" w:hRule="exact"/>
        </w:trPr>
        <w:tc>
          <w:tcPr>
            <w:tcW w:w="3049" w:type="dxa"/>
            <w:tcBorders>
              <w:top w:val="nil" w:sz="6" w:space="0" w:color="auto"/>
              <w:left w:val="single" w:sz="6" w:space="0" w:color="000000"/>
              <w:bottom w:val="single" w:sz="6" w:space="0" w:color="000000"/>
              <w:right w:val="single" w:sz="6" w:space="0" w:color="000000"/>
            </w:tcBorders>
            <w:shd w:val="clear" w:color="auto" w:fill="D2D2D2"/>
          </w:tcPr>
          <w:p>
            <w:pPr/>
          </w:p>
        </w:tc>
        <w:tc>
          <w:tcPr>
            <w:tcW w:w="6533" w:type="dxa"/>
            <w:vMerge/>
            <w:tcBorders>
              <w:left w:val="single" w:sz="12" w:space="0" w:color="D2D2D2"/>
              <w:bottom w:val="single" w:sz="6" w:space="0" w:color="000000"/>
              <w:right w:val="single" w:sz="6" w:space="0" w:color="000000"/>
            </w:tcBorders>
          </w:tcPr>
          <w:p>
            <w:pPr/>
          </w:p>
        </w:tc>
      </w:tr>
      <w:tr>
        <w:trPr>
          <w:trHeight w:val="405" w:hRule="exact"/>
        </w:trPr>
        <w:tc>
          <w:tcPr>
            <w:tcW w:w="30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3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较上年末减少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34.63%</w:t>
            </w:r>
            <w:r>
              <w:rPr>
                <w:rFonts w:ascii="宋体" w:hAnsi="宋体" w:cs="宋体" w:eastAsia="宋体" w:hint="default"/>
                <w:sz w:val="18"/>
                <w:szCs w:val="18"/>
              </w:rPr>
              <w:t>，主要系本期北京宏思处置房产所致。</w:t>
            </w:r>
          </w:p>
        </w:tc>
      </w:tr>
      <w:tr>
        <w:trPr>
          <w:trHeight w:val="406" w:hRule="exact"/>
        </w:trPr>
        <w:tc>
          <w:tcPr>
            <w:tcW w:w="30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3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390" w:hRule="exact"/>
        </w:trPr>
        <w:tc>
          <w:tcPr>
            <w:tcW w:w="30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3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较上年末增加</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246.58%</w:t>
            </w:r>
            <w:r>
              <w:rPr>
                <w:rFonts w:ascii="宋体" w:hAnsi="宋体" w:cs="宋体" w:eastAsia="宋体" w:hint="default"/>
                <w:sz w:val="18"/>
                <w:szCs w:val="18"/>
              </w:rPr>
              <w:t>，主要系本期广东分公司自建生产设备所致。</w:t>
            </w:r>
          </w:p>
        </w:tc>
      </w:tr>
      <w:tr>
        <w:trPr>
          <w:trHeight w:val="721"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53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60"/>
              <w:ind w:left="30" w:right="33"/>
              <w:jc w:val="left"/>
              <w:rPr>
                <w:rFonts w:ascii="宋体" w:hAnsi="宋体" w:cs="宋体" w:eastAsia="宋体" w:hint="default"/>
                <w:sz w:val="18"/>
                <w:szCs w:val="18"/>
              </w:rPr>
            </w:pPr>
            <w:r>
              <w:rPr>
                <w:rFonts w:ascii="宋体" w:hAnsi="宋体" w:cs="宋体" w:eastAsia="宋体" w:hint="default"/>
                <w:sz w:val="18"/>
                <w:szCs w:val="18"/>
              </w:rPr>
              <w:t>较上年末增加</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147.13%</w:t>
            </w:r>
            <w:r>
              <w:rPr>
                <w:rFonts w:ascii="宋体" w:hAnsi="宋体" w:cs="宋体" w:eastAsia="宋体" w:hint="default"/>
                <w:sz w:val="18"/>
                <w:szCs w:val="18"/>
              </w:rPr>
              <w:t>，主要系北京宏思已背书转让的未到期应收票据尚未终止确 认所致。</w:t>
            </w:r>
          </w:p>
        </w:tc>
      </w:tr>
      <w:tr>
        <w:trPr>
          <w:trHeight w:val="405"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较上年末增加</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27.48%</w:t>
            </w:r>
            <w:r>
              <w:rPr>
                <w:rFonts w:ascii="宋体" w:hAnsi="宋体" w:cs="宋体" w:eastAsia="宋体" w:hint="default"/>
                <w:sz w:val="18"/>
                <w:szCs w:val="18"/>
              </w:rPr>
              <w:t>，主要系期末国外客户未到付款期所致。</w:t>
            </w:r>
          </w:p>
        </w:tc>
      </w:tr>
      <w:tr>
        <w:trPr>
          <w:trHeight w:val="405"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较上年末减少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21.84%</w:t>
            </w:r>
            <w:r>
              <w:rPr>
                <w:rFonts w:ascii="宋体" w:hAnsi="宋体" w:cs="宋体" w:eastAsia="宋体" w:hint="default"/>
                <w:sz w:val="18"/>
                <w:szCs w:val="18"/>
              </w:rPr>
              <w:t>，主要系本期生产采购减少所致。</w:t>
            </w:r>
          </w:p>
        </w:tc>
      </w:tr>
      <w:tr>
        <w:trPr>
          <w:trHeight w:val="70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6533"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44"/>
              <w:ind w:left="30" w:right="79"/>
              <w:jc w:val="left"/>
              <w:rPr>
                <w:rFonts w:ascii="宋体" w:hAnsi="宋体" w:cs="宋体" w:eastAsia="宋体" w:hint="default"/>
                <w:sz w:val="18"/>
                <w:szCs w:val="18"/>
              </w:rPr>
            </w:pPr>
            <w:r>
              <w:rPr>
                <w:rFonts w:ascii="宋体" w:hAnsi="宋体" w:cs="宋体" w:eastAsia="宋体" w:hint="default"/>
                <w:sz w:val="18"/>
                <w:szCs w:val="18"/>
              </w:rPr>
              <w:t>较上年末增加</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，主要系本期执行新金融工具准则理财产品重分类至交易性金 融资产列示所致</w:t>
            </w:r>
          </w:p>
        </w:tc>
      </w:tr>
      <w:tr>
        <w:trPr>
          <w:trHeight w:val="721"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3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60"/>
              <w:ind w:left="30" w:right="18"/>
              <w:jc w:val="left"/>
              <w:rPr>
                <w:rFonts w:ascii="宋体" w:hAnsi="宋体" w:cs="宋体" w:eastAsia="宋体" w:hint="default"/>
                <w:sz w:val="18"/>
                <w:szCs w:val="18"/>
              </w:rPr>
            </w:pPr>
            <w:r>
              <w:rPr>
                <w:rFonts w:ascii="宋体" w:hAnsi="宋体" w:cs="宋体" w:eastAsia="宋体" w:hint="default"/>
                <w:sz w:val="18"/>
                <w:szCs w:val="18"/>
              </w:rPr>
              <w:t>较上年末减少</w:t>
            </w:r>
            <w:r>
              <w:rPr>
                <w:rFonts w:ascii="宋体" w:hAnsi="宋体" w:cs="宋体" w:eastAsia="宋体" w:hint="default"/>
                <w:spacing w:val="-28"/>
                <w:sz w:val="18"/>
                <w:szCs w:val="18"/>
              </w:rPr>
              <w:t> </w:t>
            </w:r>
            <w:r>
              <w:rPr>
                <w:rFonts w:ascii="Times New Roman" w:hAnsi="Times New Roman" w:cs="Times New Roman" w:eastAsia="Times New Roman" w:hint="default"/>
                <w:spacing w:val="-3"/>
                <w:sz w:val="18"/>
                <w:szCs w:val="18"/>
              </w:rPr>
              <w:t>98.26%</w:t>
            </w:r>
            <w:r>
              <w:rPr>
                <w:rFonts w:ascii="宋体" w:hAnsi="宋体" w:cs="宋体" w:eastAsia="宋体" w:hint="default"/>
                <w:spacing w:val="-3"/>
                <w:sz w:val="18"/>
                <w:szCs w:val="18"/>
              </w:rPr>
              <w:t>，主要系本期执行新金融工具准则理财产品重分类至交易性金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融资产列示所致。</w:t>
            </w:r>
          </w:p>
        </w:tc>
      </w:tr>
      <w:tr>
        <w:trPr>
          <w:trHeight w:val="405"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705"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33"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5"/>
              <w:ind w:left="30" w:right="33"/>
              <w:jc w:val="left"/>
              <w:rPr>
                <w:rFonts w:ascii="宋体" w:hAnsi="宋体" w:cs="宋体" w:eastAsia="宋体" w:hint="default"/>
                <w:sz w:val="18"/>
                <w:szCs w:val="18"/>
              </w:rPr>
            </w:pPr>
            <w:r>
              <w:rPr>
                <w:rFonts w:ascii="宋体" w:hAnsi="宋体" w:cs="宋体" w:eastAsia="宋体" w:hint="default"/>
                <w:sz w:val="18"/>
                <w:szCs w:val="18"/>
              </w:rPr>
              <w:t>较上年末减少</w:t>
            </w:r>
            <w:r>
              <w:rPr>
                <w:rFonts w:ascii="宋体" w:hAnsi="宋体" w:cs="宋体" w:eastAsia="宋体" w:hint="default"/>
                <w:spacing w:val="-37"/>
                <w:sz w:val="18"/>
                <w:szCs w:val="18"/>
              </w:rPr>
              <w:t> </w:t>
            </w:r>
            <w:r>
              <w:rPr>
                <w:rFonts w:ascii="Times New Roman" w:hAnsi="Times New Roman" w:cs="Times New Roman" w:eastAsia="Times New Roman" w:hint="default"/>
                <w:spacing w:val="-3"/>
                <w:sz w:val="18"/>
                <w:szCs w:val="18"/>
              </w:rPr>
              <w:t>24.08%</w:t>
            </w:r>
            <w:r>
              <w:rPr>
                <w:rFonts w:ascii="宋体" w:hAnsi="宋体" w:cs="宋体" w:eastAsia="宋体" w:hint="default"/>
                <w:spacing w:val="-3"/>
                <w:sz w:val="18"/>
                <w:szCs w:val="18"/>
              </w:rPr>
              <w:t>，主要系本期理财投入增加及购买商品、接受劳务支付的现金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减少所致。</w:t>
            </w:r>
          </w:p>
        </w:tc>
      </w:tr>
    </w:tbl>
    <w:p>
      <w:pPr>
        <w:spacing w:after="0" w:line="288"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b/>
          <w:bCs/>
          <w:sz w:val="26"/>
          <w:szCs w:val="26"/>
        </w:rPr>
      </w:pPr>
    </w:p>
    <w:p>
      <w:pPr>
        <w:pStyle w:val="Heading4"/>
        <w:spacing w:line="240" w:lineRule="auto" w:before="35"/>
        <w:ind w:right="110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110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1"/>
        <w:rPr>
          <w:rFonts w:ascii="宋体" w:hAnsi="宋体" w:cs="宋体" w:eastAsia="宋体" w:hint="default"/>
          <w:b/>
          <w:bCs/>
          <w:sz w:val="26"/>
          <w:szCs w:val="26"/>
        </w:rPr>
      </w:pPr>
    </w:p>
    <w:p>
      <w:pPr>
        <w:pStyle w:val="BodyText"/>
        <w:spacing w:line="307" w:lineRule="auto"/>
        <w:ind w:left="501" w:right="1133" w:hanging="361"/>
        <w:jc w:val="left"/>
      </w:pPr>
      <w:r>
        <w:rPr/>
        <w:t>（一）行业优势 </w:t>
      </w:r>
      <w:r>
        <w:rPr>
          <w:spacing w:val="-2"/>
        </w:rPr>
        <w:t>飞天诚信作为保护数字身份安全和交易信息安全，验证管理数字身份和交易信息的企业，以为各行业客户提供嵌入式软</w:t>
      </w:r>
    </w:p>
    <w:p>
      <w:pPr>
        <w:pStyle w:val="BodyText"/>
        <w:spacing w:line="321" w:lineRule="auto" w:before="29"/>
        <w:ind w:right="1100"/>
        <w:jc w:val="left"/>
      </w:pPr>
      <w:r>
        <w:rPr>
          <w:spacing w:val="-2"/>
        </w:rPr>
        <w:t>件产品和服务为核心价值，在网络银行安全交易、支付卡及服务、移动支付安全、云认证、身份认证及软件保护等多个领域</w:t>
      </w:r>
      <w:r>
        <w:rPr>
          <w:spacing w:val="-57"/>
        </w:rPr>
        <w:t> </w:t>
      </w:r>
      <w:r>
        <w:rPr>
          <w:spacing w:val="-57"/>
        </w:rPr>
      </w:r>
      <w:r>
        <w:rPr/>
        <w:t>提供完整的服务和解决方案。</w:t>
      </w:r>
    </w:p>
    <w:p>
      <w:pPr>
        <w:pStyle w:val="BodyText"/>
        <w:spacing w:line="288" w:lineRule="auto" w:before="33"/>
        <w:ind w:right="1096" w:firstLine="360"/>
        <w:jc w:val="both"/>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5</w:t>
      </w:r>
      <w:r>
        <w:rPr>
          <w:spacing w:val="-1"/>
        </w:rPr>
        <w:t>月，飞天诚信荣获了</w:t>
      </w:r>
      <w:r>
        <w:rPr>
          <w:rFonts w:ascii="Times New Roman" w:hAnsi="Times New Roman" w:cs="Times New Roman" w:eastAsia="Times New Roman" w:hint="default"/>
          <w:spacing w:val="-1"/>
        </w:rPr>
        <w:t>“</w:t>
      </w:r>
      <w:r>
        <w:rPr>
          <w:spacing w:val="-1"/>
        </w:rPr>
        <w:t>中关村科技创新企业百强</w:t>
      </w:r>
      <w:r>
        <w:rPr>
          <w:rFonts w:ascii="Times New Roman" w:hAnsi="Times New Roman" w:cs="Times New Roman" w:eastAsia="Times New Roman" w:hint="default"/>
          <w:spacing w:val="-1"/>
        </w:rPr>
        <w:t>”</w:t>
      </w:r>
      <w:r>
        <w:rPr>
          <w:spacing w:val="-1"/>
        </w:rPr>
        <w:t>的称号；</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11</w:t>
      </w:r>
      <w:r>
        <w:rPr>
          <w:spacing w:val="-1"/>
        </w:rPr>
        <w:t>月，飞天诚信入选</w:t>
      </w:r>
      <w:r>
        <w:rPr>
          <w:rFonts w:ascii="Times New Roman" w:hAnsi="Times New Roman" w:cs="Times New Roman" w:eastAsia="Times New Roman" w:hint="default"/>
          <w:spacing w:val="-1"/>
        </w:rPr>
        <w:t>“2019</w:t>
      </w:r>
      <w:r>
        <w:rPr>
          <w:spacing w:val="-1"/>
        </w:rPr>
        <w:t>北京软件和信息服务</w:t>
      </w:r>
      <w:r>
        <w:rPr/>
        <w:t> 业综合实力百强企业</w:t>
      </w:r>
      <w:r>
        <w:rPr>
          <w:rFonts w:ascii="Times New Roman" w:hAnsi="Times New Roman" w:cs="Times New Roman" w:eastAsia="Times New Roman" w:hint="default"/>
        </w:rPr>
        <w:t>”</w:t>
      </w:r>
      <w:r>
        <w:rPr/>
        <w:t>。公司凭借过硬的技术和研发实力，不断推出技术先进、性能稳定的信息安全产品和服务，为全球用 户提供值得信赖的信息安全产品和解决方案。</w:t>
      </w:r>
    </w:p>
    <w:p>
      <w:pPr>
        <w:pStyle w:val="BodyText"/>
        <w:spacing w:line="321" w:lineRule="auto" w:before="44"/>
        <w:ind w:left="501" w:right="1100" w:hanging="361"/>
        <w:jc w:val="left"/>
      </w:pPr>
      <w:r>
        <w:rPr/>
        <w:t>（二）客户优势 </w:t>
      </w:r>
      <w:r>
        <w:rPr>
          <w:spacing w:val="-2"/>
        </w:rPr>
        <w:t>公司银行客户覆盖较为广泛，为包括中国工商银行、中国建设银行、中国农业银行、中国银行、交通银行等多家银行的</w:t>
      </w:r>
    </w:p>
    <w:p>
      <w:pPr>
        <w:pStyle w:val="BodyText"/>
        <w:spacing w:line="240" w:lineRule="auto" w:before="18"/>
        <w:ind w:right="1100"/>
        <w:jc w:val="left"/>
      </w:pPr>
      <w:r>
        <w:rPr/>
        <w:t>网上银行系统安全提供完善的解决方案和专业的技术服务，是国内银行客户数较多的智能网络身份认证产品提供商。</w:t>
      </w:r>
    </w:p>
    <w:p>
      <w:pPr>
        <w:pStyle w:val="BodyText"/>
        <w:spacing w:line="321" w:lineRule="auto" w:before="80"/>
        <w:ind w:left="501" w:right="1100" w:hanging="361"/>
        <w:jc w:val="left"/>
      </w:pPr>
      <w:r>
        <w:rPr/>
        <w:t>（三）员工优势 公司拥有员工</w:t>
      </w:r>
      <w:r>
        <w:rPr>
          <w:rFonts w:ascii="Times New Roman" w:hAnsi="Times New Roman" w:cs="Times New Roman" w:eastAsia="Times New Roman" w:hint="default"/>
        </w:rPr>
        <w:t>900</w:t>
      </w:r>
      <w:r>
        <w:rPr/>
        <w:t>余人，其中</w:t>
      </w:r>
      <w:r>
        <w:rPr>
          <w:rFonts w:ascii="Times New Roman" w:hAnsi="Times New Roman" w:cs="Times New Roman" w:eastAsia="Times New Roman" w:hint="default"/>
        </w:rPr>
        <w:t>40%</w:t>
      </w:r>
      <w:r>
        <w:rPr/>
        <w:t>左右人员为中高级软件开发工程师，公司目前拥有一支由国内外信息安全领域专家，</w:t>
      </w:r>
    </w:p>
    <w:p>
      <w:pPr>
        <w:pStyle w:val="BodyText"/>
        <w:spacing w:line="302" w:lineRule="auto"/>
        <w:ind w:right="1051"/>
        <w:jc w:val="left"/>
      </w:pPr>
      <w:r>
        <w:rPr/>
        <w:t>中青年核心骨干，海归、硕士，博士等组成的研发队伍，</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月公司技术专家朱鹏飞博士荣获全国信息安全标准化技术</w:t>
      </w:r>
      <w:r>
        <w:rPr>
          <w:spacing w:val="-85"/>
        </w:rPr>
        <w:t> </w:t>
      </w:r>
      <w:r>
        <w:rPr>
          <w:spacing w:val="-4"/>
        </w:rPr>
        <w:t>委员会</w:t>
      </w:r>
      <w:r>
        <w:rPr>
          <w:rFonts w:ascii="Times New Roman" w:hAnsi="Times New Roman" w:cs="Times New Roman" w:eastAsia="Times New Roman" w:hint="default"/>
          <w:spacing w:val="-4"/>
        </w:rPr>
        <w:t>“</w:t>
      </w:r>
      <w:r>
        <w:rPr>
          <w:spacing w:val="-4"/>
        </w:rPr>
        <w:t>年度工作先进个人</w:t>
      </w:r>
      <w:r>
        <w:rPr>
          <w:rFonts w:ascii="Times New Roman" w:hAnsi="Times New Roman" w:cs="Times New Roman" w:eastAsia="Times New Roman" w:hint="default"/>
          <w:spacing w:val="-4"/>
        </w:rPr>
        <w:t>”</w:t>
      </w:r>
      <w:r>
        <w:rPr>
          <w:spacing w:val="-4"/>
        </w:rPr>
        <w:t>荣誉称号；</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9</w:t>
      </w:r>
      <w:r>
        <w:rPr>
          <w:spacing w:val="-4"/>
        </w:rPr>
        <w:t>月，闫岩先生又获连任</w:t>
      </w:r>
      <w:r>
        <w:rPr>
          <w:rFonts w:ascii="Times New Roman" w:hAnsi="Times New Roman" w:cs="Times New Roman" w:eastAsia="Times New Roman" w:hint="default"/>
          <w:spacing w:val="-4"/>
        </w:rPr>
        <w:t>FIDO</w:t>
      </w:r>
      <w:r>
        <w:rPr>
          <w:spacing w:val="-4"/>
        </w:rPr>
        <w:t>联盟中国工作组（</w:t>
      </w:r>
      <w:r>
        <w:rPr>
          <w:rFonts w:ascii="Times New Roman" w:hAnsi="Times New Roman" w:cs="Times New Roman" w:eastAsia="Times New Roman" w:hint="default"/>
          <w:spacing w:val="-4"/>
        </w:rPr>
        <w:t>FCWG</w:t>
      </w:r>
      <w:r>
        <w:rPr>
          <w:spacing w:val="-4"/>
        </w:rPr>
        <w:t>）联合主席（</w:t>
      </w:r>
      <w:r>
        <w:rPr>
          <w:rFonts w:ascii="Times New Roman" w:hAnsi="Times New Roman" w:cs="Times New Roman" w:eastAsia="Times New Roman" w:hint="default"/>
          <w:spacing w:val="-4"/>
        </w:rPr>
        <w:t>Co-chair</w:t>
      </w:r>
      <w:r>
        <w:rPr>
          <w:spacing w:val="-4"/>
        </w:rPr>
        <w:t>）。</w:t>
      </w:r>
      <w:r>
        <w:rPr/>
      </w:r>
    </w:p>
    <w:p>
      <w:pPr>
        <w:pStyle w:val="BodyText"/>
        <w:spacing w:line="321" w:lineRule="auto"/>
        <w:ind w:left="456" w:right="1126" w:hanging="316"/>
        <w:jc w:val="left"/>
      </w:pPr>
      <w:r>
        <w:rPr/>
        <w:t>（四）技术优势 </w:t>
      </w:r>
      <w:r>
        <w:rPr>
          <w:spacing w:val="-1"/>
        </w:rPr>
        <w:t>技术是飞天诚信核心竞争力的重要组成部分，公司先后被评为北京市专利试点先进单位、北京市专利示范单位、国家级</w:t>
      </w:r>
    </w:p>
    <w:p>
      <w:pPr>
        <w:pStyle w:val="BodyText"/>
        <w:spacing w:line="321" w:lineRule="auto" w:before="3"/>
        <w:ind w:right="1100"/>
        <w:jc w:val="left"/>
      </w:pPr>
      <w:r>
        <w:rPr>
          <w:spacing w:val="-2"/>
        </w:rPr>
        <w:t>知识产权优势企业、企业知识产权管理标准化单位。</w:t>
      </w:r>
      <w:r>
        <w:rPr>
          <w:rFonts w:ascii="宋体" w:hAnsi="宋体" w:cs="宋体" w:eastAsia="宋体" w:hint="default"/>
          <w:spacing w:val="-2"/>
        </w:rPr>
        <w:t>2019</w:t>
      </w:r>
      <w:r>
        <w:rPr>
          <w:spacing w:val="-2"/>
        </w:rPr>
        <w:t>年</w:t>
      </w:r>
      <w:r>
        <w:rPr>
          <w:rFonts w:ascii="宋体" w:hAnsi="宋体" w:cs="宋体" w:eastAsia="宋体" w:hint="default"/>
          <w:spacing w:val="-2"/>
        </w:rPr>
        <w:t>7</w:t>
      </w:r>
      <w:r>
        <w:rPr>
          <w:spacing w:val="-2"/>
        </w:rPr>
        <w:t>月“中国企业专利</w:t>
      </w:r>
      <w:r>
        <w:rPr>
          <w:rFonts w:ascii="宋体" w:hAnsi="宋体" w:cs="宋体" w:eastAsia="宋体" w:hint="default"/>
          <w:spacing w:val="-2"/>
        </w:rPr>
        <w:t>500</w:t>
      </w:r>
      <w:r>
        <w:rPr>
          <w:spacing w:val="-2"/>
        </w:rPr>
        <w:t>强榜单”正式发布，飞天诚信位列榜单前</w:t>
      </w:r>
      <w:r>
        <w:rPr>
          <w:spacing w:val="-43"/>
        </w:rPr>
        <w:t> </w:t>
      </w:r>
      <w:r>
        <w:rPr>
          <w:spacing w:val="-43"/>
        </w:rPr>
      </w:r>
      <w:r>
        <w:rPr/>
        <w:t>十。</w:t>
      </w:r>
    </w:p>
    <w:p>
      <w:pPr>
        <w:pStyle w:val="BodyText"/>
        <w:spacing w:line="321" w:lineRule="auto" w:before="19"/>
        <w:ind w:right="1119" w:firstLine="360"/>
        <w:jc w:val="left"/>
      </w:pP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日，飞天诚信及下属子公司已拥有计算机软件著作权登记证书</w:t>
      </w:r>
      <w:r>
        <w:rPr>
          <w:rFonts w:ascii="宋体" w:hAnsi="宋体" w:cs="宋体" w:eastAsia="宋体" w:hint="default"/>
        </w:rPr>
        <w:t>231</w:t>
      </w:r>
      <w:r>
        <w:rPr/>
        <w:t>篇；获得授权专利</w:t>
      </w:r>
      <w:r>
        <w:rPr>
          <w:rFonts w:ascii="宋体" w:hAnsi="宋体" w:cs="宋体" w:eastAsia="宋体" w:hint="default"/>
        </w:rPr>
        <w:t>1226</w:t>
      </w:r>
      <w:r>
        <w:rPr/>
        <w:t>篇，其中发 明专利</w:t>
      </w:r>
      <w:r>
        <w:rPr>
          <w:rFonts w:ascii="宋体" w:hAnsi="宋体" w:cs="宋体" w:eastAsia="宋体" w:hint="default"/>
        </w:rPr>
        <w:t>948</w:t>
      </w:r>
      <w:r>
        <w:rPr/>
        <w:t>篇（含</w:t>
      </w:r>
      <w:r>
        <w:rPr>
          <w:rFonts w:ascii="宋体" w:hAnsi="宋体" w:cs="宋体" w:eastAsia="宋体" w:hint="default"/>
        </w:rPr>
        <w:t>157</w:t>
      </w:r>
      <w:r>
        <w:rPr/>
        <w:t>篇国外专利）、实用新型专利</w:t>
      </w:r>
      <w:r>
        <w:rPr>
          <w:rFonts w:ascii="宋体" w:hAnsi="宋体" w:cs="宋体" w:eastAsia="宋体" w:hint="default"/>
        </w:rPr>
        <w:t>70</w:t>
      </w:r>
      <w:r>
        <w:rPr/>
        <w:t>篇、外观设计专利</w:t>
      </w:r>
      <w:r>
        <w:rPr>
          <w:rFonts w:ascii="宋体" w:hAnsi="宋体" w:cs="宋体" w:eastAsia="宋体" w:hint="default"/>
        </w:rPr>
        <w:t>208</w:t>
      </w:r>
      <w:r>
        <w:rPr/>
        <w:t>篇。</w:t>
      </w:r>
    </w:p>
    <w:p>
      <w:pPr>
        <w:pStyle w:val="BodyText"/>
        <w:spacing w:line="307" w:lineRule="auto" w:before="18"/>
        <w:ind w:right="1100" w:firstLine="360"/>
        <w:jc w:val="left"/>
      </w:pPr>
      <w:r>
        <w:rPr>
          <w:spacing w:val="-2"/>
        </w:rPr>
        <w:t>报告期内，公司及下属子公司获得的国内专利</w:t>
      </w:r>
      <w:r>
        <w:rPr>
          <w:rFonts w:ascii="宋体" w:hAnsi="宋体" w:cs="宋体" w:eastAsia="宋体" w:hint="default"/>
          <w:spacing w:val="-2"/>
        </w:rPr>
        <w:t>131</w:t>
      </w:r>
      <w:r>
        <w:rPr>
          <w:spacing w:val="-2"/>
        </w:rPr>
        <w:t>件，其中发明专利</w:t>
      </w:r>
      <w:r>
        <w:rPr>
          <w:rFonts w:ascii="宋体" w:hAnsi="宋体" w:cs="宋体" w:eastAsia="宋体" w:hint="default"/>
          <w:spacing w:val="-2"/>
        </w:rPr>
        <w:t>93</w:t>
      </w:r>
      <w:r>
        <w:rPr>
          <w:spacing w:val="-2"/>
        </w:rPr>
        <w:t>件，实用新型</w:t>
      </w:r>
      <w:r>
        <w:rPr>
          <w:rFonts w:ascii="宋体" w:hAnsi="宋体" w:cs="宋体" w:eastAsia="宋体" w:hint="default"/>
          <w:spacing w:val="-2"/>
        </w:rPr>
        <w:t>9</w:t>
      </w:r>
      <w:r>
        <w:rPr>
          <w:spacing w:val="-2"/>
        </w:rPr>
        <w:t>件，外观设计</w:t>
      </w:r>
      <w:r>
        <w:rPr>
          <w:rFonts w:ascii="宋体" w:hAnsi="宋体" w:cs="宋体" w:eastAsia="宋体" w:hint="default"/>
          <w:spacing w:val="-2"/>
        </w:rPr>
        <w:t>29</w:t>
      </w:r>
      <w:r>
        <w:rPr>
          <w:spacing w:val="-2"/>
        </w:rPr>
        <w:t>件；国外发明专利</w:t>
      </w:r>
      <w:r>
        <w:rPr/>
        <w:t> </w:t>
      </w:r>
      <w:r>
        <w:rPr>
          <w:rFonts w:ascii="宋体" w:hAnsi="宋体" w:cs="宋体" w:eastAsia="宋体" w:hint="default"/>
        </w:rPr>
        <w:t>21</w:t>
      </w:r>
      <w:r>
        <w:rPr/>
        <w:t>件。</w:t>
      </w:r>
    </w:p>
    <w:p>
      <w:pPr>
        <w:pStyle w:val="Heading6"/>
        <w:spacing w:line="240" w:lineRule="auto"/>
        <w:ind w:right="1100"/>
        <w:jc w:val="left"/>
        <w:rPr>
          <w:b w:val="0"/>
          <w:bCs w:val="0"/>
        </w:rPr>
      </w:pPr>
      <w:r>
        <w:rPr>
          <w:rFonts w:ascii="Times New Roman" w:hAnsi="Times New Roman" w:cs="Times New Roman" w:eastAsia="Times New Roman" w:hint="default"/>
        </w:rPr>
        <w:t>1</w:t>
      </w:r>
      <w:r>
        <w:rPr/>
        <w:t>、国内专利情况</w:t>
      </w:r>
      <w:r>
        <w:rPr>
          <w:b w:val="0"/>
          <w:bCs w:val="0"/>
        </w:rPr>
      </w:r>
    </w:p>
    <w:p>
      <w:pPr>
        <w:pStyle w:val="Heading6"/>
        <w:spacing w:line="240" w:lineRule="auto" w:before="66"/>
        <w:ind w:left="321" w:right="1100"/>
        <w:jc w:val="left"/>
        <w:rPr>
          <w:b w:val="0"/>
          <w:bCs w:val="0"/>
        </w:rPr>
      </w:pPr>
      <w:r>
        <w:rPr/>
        <w:t>（</w:t>
      </w:r>
      <w:r>
        <w:rPr>
          <w:spacing w:val="-78"/>
        </w:rPr>
        <w:t> </w:t>
      </w:r>
      <w:r>
        <w:rPr>
          <w:rFonts w:ascii="Times New Roman" w:hAnsi="Times New Roman" w:cs="Times New Roman" w:eastAsia="Times New Roman" w:hint="default"/>
          <w:spacing w:val="-3"/>
        </w:rPr>
        <w:t>1</w:t>
      </w:r>
      <w:r>
        <w:rPr>
          <w:spacing w:val="-3"/>
        </w:rPr>
        <w:t>）发明专利</w:t>
      </w:r>
      <w:r>
        <w:rPr>
          <w:b w:val="0"/>
          <w:bCs w:val="0"/>
          <w:spacing w:val="-3"/>
        </w:rPr>
      </w:r>
    </w:p>
    <w:p>
      <w:pPr>
        <w:spacing w:line="240" w:lineRule="auto" w:before="12"/>
        <w:rPr>
          <w:rFonts w:ascii="宋体" w:hAnsi="宋体" w:cs="宋体" w:eastAsia="宋体" w:hint="default"/>
          <w:b/>
          <w:bCs/>
          <w:sz w:val="3"/>
          <w:szCs w:val="3"/>
        </w:rPr>
      </w:pPr>
    </w:p>
    <w:tbl>
      <w:tblPr>
        <w:tblW w:w="0" w:type="auto"/>
        <w:jc w:val="left"/>
        <w:tblInd w:w="111" w:type="dxa"/>
        <w:tblLayout w:type="fixed"/>
        <w:tblCellMar>
          <w:top w:w="0" w:type="dxa"/>
          <w:left w:w="0" w:type="dxa"/>
          <w:bottom w:w="0" w:type="dxa"/>
          <w:right w:w="0" w:type="dxa"/>
        </w:tblCellMar>
        <w:tblLook w:val="01E0"/>
      </w:tblPr>
      <w:tblGrid>
        <w:gridCol w:w="676"/>
        <w:gridCol w:w="4566"/>
        <w:gridCol w:w="2132"/>
        <w:gridCol w:w="1082"/>
        <w:gridCol w:w="1216"/>
      </w:tblGrid>
      <w:tr>
        <w:trPr>
          <w:trHeight w:val="345"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center"/>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3"/>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3"/>
              <w:jc w:val="center"/>
              <w:rPr>
                <w:rFonts w:ascii="宋体" w:hAnsi="宋体" w:cs="宋体" w:eastAsia="宋体" w:hint="default"/>
                <w:sz w:val="18"/>
                <w:szCs w:val="18"/>
              </w:rPr>
            </w:pPr>
            <w:r>
              <w:rPr>
                <w:rFonts w:ascii="宋体" w:hAnsi="宋体" w:cs="宋体" w:eastAsia="宋体" w:hint="default"/>
                <w:b/>
                <w:bCs/>
                <w:sz w:val="18"/>
                <w:szCs w:val="18"/>
              </w:rPr>
              <w:t>申请日</w:t>
            </w:r>
            <w:r>
              <w:rPr>
                <w:rFonts w:ascii="宋体" w:hAnsi="宋体" w:cs="宋体" w:eastAsia="宋体" w:hint="default"/>
                <w:sz w:val="18"/>
                <w:szCs w:val="18"/>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0" w:right="0"/>
              <w:jc w:val="left"/>
              <w:rPr>
                <w:rFonts w:ascii="宋体" w:hAnsi="宋体" w:cs="宋体" w:eastAsia="宋体" w:hint="default"/>
                <w:sz w:val="18"/>
                <w:szCs w:val="18"/>
              </w:rPr>
            </w:pPr>
            <w:r>
              <w:rPr>
                <w:rFonts w:ascii="宋体" w:hAnsi="宋体" w:cs="宋体" w:eastAsia="宋体" w:hint="default"/>
                <w:b/>
                <w:bCs/>
                <w:sz w:val="18"/>
                <w:szCs w:val="18"/>
              </w:rPr>
              <w:t>授权公告日</w:t>
            </w:r>
            <w:r>
              <w:rPr>
                <w:rFonts w:ascii="宋体" w:hAnsi="宋体" w:cs="宋体" w:eastAsia="宋体" w:hint="default"/>
                <w:sz w:val="18"/>
                <w:szCs w:val="18"/>
              </w:rPr>
            </w:r>
          </w:p>
        </w:tc>
      </w:tr>
      <w:tr>
        <w:trPr>
          <w:trHeight w:val="420"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 w:right="0"/>
              <w:jc w:val="center"/>
              <w:rPr>
                <w:rFonts w:ascii="Times New Roman" w:hAnsi="Times New Roman" w:cs="Times New Roman" w:eastAsia="Times New Roman" w:hint="default"/>
                <w:sz w:val="19"/>
                <w:szCs w:val="19"/>
              </w:rPr>
            </w:pPr>
            <w:r>
              <w:rPr>
                <w:rFonts w:ascii="Times New Roman"/>
                <w:w w:val="102"/>
                <w:sz w:val="19"/>
              </w:rPr>
              <w:t>1</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4"/>
                <w:w w:val="105"/>
                <w:sz w:val="19"/>
                <w:szCs w:val="19"/>
              </w:rPr>
              <w:t>一种卡片自动化生产方法及装置</w:t>
            </w:r>
            <w:r>
              <w:rPr>
                <w:rFonts w:ascii="宋体" w:hAnsi="宋体" w:cs="宋体" w:eastAsia="宋体" w:hint="default"/>
                <w:spacing w:val="4"/>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24"/>
              <w:jc w:val="center"/>
              <w:rPr>
                <w:rFonts w:ascii="Times New Roman" w:hAnsi="Times New Roman" w:cs="Times New Roman" w:eastAsia="Times New Roman" w:hint="default"/>
                <w:sz w:val="19"/>
                <w:szCs w:val="19"/>
              </w:rPr>
            </w:pPr>
            <w:r>
              <w:rPr>
                <w:rFonts w:ascii="Times New Roman"/>
                <w:w w:val="105"/>
                <w:sz w:val="19"/>
              </w:rPr>
              <w:t>ZL201610423235.0</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21"/>
              <w:jc w:val="center"/>
              <w:rPr>
                <w:rFonts w:ascii="Times New Roman" w:hAnsi="Times New Roman" w:cs="Times New Roman" w:eastAsia="Times New Roman" w:hint="default"/>
                <w:sz w:val="19"/>
                <w:szCs w:val="19"/>
              </w:rPr>
            </w:pPr>
            <w:r>
              <w:rPr>
                <w:rFonts w:ascii="Times New Roman"/>
                <w:w w:val="105"/>
                <w:sz w:val="19"/>
              </w:rPr>
              <w:t>2016/6/15</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240" w:right="0"/>
              <w:jc w:val="left"/>
              <w:rPr>
                <w:rFonts w:ascii="Times New Roman" w:hAnsi="Times New Roman" w:cs="Times New Roman" w:eastAsia="Times New Roman" w:hint="default"/>
                <w:sz w:val="19"/>
                <w:szCs w:val="19"/>
              </w:rPr>
            </w:pPr>
            <w:r>
              <w:rPr>
                <w:rFonts w:ascii="Times New Roman"/>
                <w:w w:val="105"/>
                <w:sz w:val="19"/>
              </w:rPr>
              <w:t>2019/1/4</w:t>
            </w:r>
            <w:r>
              <w:rPr>
                <w:rFonts w:ascii="Times New Roman"/>
                <w:sz w:val="19"/>
              </w:rPr>
            </w:r>
          </w:p>
        </w:tc>
      </w:tr>
      <w:tr>
        <w:trPr>
          <w:trHeight w:val="436"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8" w:right="0"/>
              <w:jc w:val="center"/>
              <w:rPr>
                <w:rFonts w:ascii="Times New Roman" w:hAnsi="Times New Roman" w:cs="Times New Roman" w:eastAsia="Times New Roman" w:hint="default"/>
                <w:sz w:val="19"/>
                <w:szCs w:val="19"/>
              </w:rPr>
            </w:pPr>
            <w:r>
              <w:rPr>
                <w:rFonts w:ascii="Times New Roman"/>
                <w:w w:val="102"/>
                <w:sz w:val="19"/>
              </w:rPr>
              <w:t>2</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w:t>
            </w:r>
            <w:r>
              <w:rPr>
                <w:rFonts w:ascii="Times New Roman" w:hAnsi="Times New Roman" w:cs="Times New Roman" w:eastAsia="Times New Roman" w:hint="default"/>
                <w:spacing w:val="3"/>
                <w:w w:val="105"/>
                <w:sz w:val="19"/>
                <w:szCs w:val="19"/>
              </w:rPr>
              <w:t>USB</w:t>
            </w:r>
            <w:r>
              <w:rPr>
                <w:rFonts w:ascii="宋体" w:hAnsi="宋体" w:cs="宋体" w:eastAsia="宋体" w:hint="default"/>
                <w:spacing w:val="3"/>
                <w:w w:val="105"/>
                <w:sz w:val="19"/>
                <w:szCs w:val="19"/>
              </w:rPr>
              <w:t>设备及其识别</w:t>
            </w:r>
            <w:r>
              <w:rPr>
                <w:rFonts w:ascii="Times New Roman" w:hAnsi="Times New Roman" w:cs="Times New Roman" w:eastAsia="Times New Roman" w:hint="default"/>
                <w:spacing w:val="3"/>
                <w:w w:val="105"/>
                <w:sz w:val="19"/>
                <w:szCs w:val="19"/>
              </w:rPr>
              <w:t>MacOS</w:t>
            </w:r>
            <w:r>
              <w:rPr>
                <w:rFonts w:ascii="宋体" w:hAnsi="宋体" w:cs="宋体" w:eastAsia="宋体" w:hint="default"/>
                <w:spacing w:val="3"/>
                <w:w w:val="105"/>
                <w:sz w:val="19"/>
                <w:szCs w:val="19"/>
              </w:rPr>
              <w:t>系统的方法</w:t>
            </w:r>
            <w:r>
              <w:rPr>
                <w:rFonts w:ascii="宋体" w:hAnsi="宋体" w:cs="宋体" w:eastAsia="宋体" w:hint="default"/>
                <w:spacing w:val="3"/>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5"/>
              <w:jc w:val="center"/>
              <w:rPr>
                <w:rFonts w:ascii="Times New Roman" w:hAnsi="Times New Roman" w:cs="Times New Roman" w:eastAsia="Times New Roman" w:hint="default"/>
                <w:sz w:val="19"/>
                <w:szCs w:val="19"/>
              </w:rPr>
            </w:pPr>
            <w:r>
              <w:rPr>
                <w:rFonts w:ascii="Times New Roman"/>
                <w:w w:val="105"/>
                <w:sz w:val="19"/>
              </w:rPr>
              <w:t>ZL</w:t>
            </w:r>
            <w:r>
              <w:rPr>
                <w:rFonts w:ascii="Times New Roman"/>
                <w:spacing w:val="-6"/>
                <w:w w:val="105"/>
                <w:sz w:val="19"/>
              </w:rPr>
              <w:t> </w:t>
            </w:r>
            <w:r>
              <w:rPr>
                <w:rFonts w:ascii="Times New Roman"/>
                <w:w w:val="105"/>
                <w:sz w:val="19"/>
              </w:rPr>
              <w:t>201610457589.7</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1"/>
              <w:jc w:val="center"/>
              <w:rPr>
                <w:rFonts w:ascii="Times New Roman" w:hAnsi="Times New Roman" w:cs="Times New Roman" w:eastAsia="Times New Roman" w:hint="default"/>
                <w:sz w:val="19"/>
                <w:szCs w:val="19"/>
              </w:rPr>
            </w:pPr>
            <w:r>
              <w:rPr>
                <w:rFonts w:ascii="Times New Roman"/>
                <w:w w:val="105"/>
                <w:sz w:val="19"/>
              </w:rPr>
              <w:t>2016/6/22</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240" w:right="0"/>
              <w:jc w:val="left"/>
              <w:rPr>
                <w:rFonts w:ascii="Times New Roman" w:hAnsi="Times New Roman" w:cs="Times New Roman" w:eastAsia="Times New Roman" w:hint="default"/>
                <w:sz w:val="19"/>
                <w:szCs w:val="19"/>
              </w:rPr>
            </w:pPr>
            <w:r>
              <w:rPr>
                <w:rFonts w:ascii="Times New Roman"/>
                <w:w w:val="105"/>
                <w:sz w:val="19"/>
              </w:rPr>
              <w:t>2019/1/4</w:t>
            </w:r>
            <w:r>
              <w:rPr>
                <w:rFonts w:ascii="Times New Roman"/>
                <w:sz w:val="19"/>
              </w:rPr>
            </w:r>
          </w:p>
        </w:tc>
      </w:tr>
      <w:tr>
        <w:trPr>
          <w:trHeight w:val="420"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8" w:right="0"/>
              <w:jc w:val="center"/>
              <w:rPr>
                <w:rFonts w:ascii="Times New Roman" w:hAnsi="Times New Roman" w:cs="Times New Roman" w:eastAsia="Times New Roman" w:hint="default"/>
                <w:sz w:val="19"/>
                <w:szCs w:val="19"/>
              </w:rPr>
            </w:pPr>
            <w:r>
              <w:rPr>
                <w:rFonts w:ascii="Times New Roman"/>
                <w:w w:val="102"/>
                <w:sz w:val="19"/>
              </w:rPr>
              <w:t>3</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一种磁条卡信息的解析方法及装置</w:t>
            </w:r>
            <w:r>
              <w:rPr>
                <w:rFonts w:ascii="宋体" w:hAnsi="宋体" w:cs="宋体" w:eastAsia="宋体" w:hint="default"/>
                <w:spacing w:val="3"/>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4"/>
              <w:jc w:val="center"/>
              <w:rPr>
                <w:rFonts w:ascii="Times New Roman" w:hAnsi="Times New Roman" w:cs="Times New Roman" w:eastAsia="Times New Roman" w:hint="default"/>
                <w:sz w:val="19"/>
                <w:szCs w:val="19"/>
              </w:rPr>
            </w:pPr>
            <w:r>
              <w:rPr>
                <w:rFonts w:ascii="Times New Roman"/>
                <w:w w:val="105"/>
                <w:sz w:val="19"/>
              </w:rPr>
              <w:t>ZL</w:t>
            </w:r>
            <w:r>
              <w:rPr>
                <w:rFonts w:ascii="Times New Roman"/>
                <w:spacing w:val="-6"/>
                <w:w w:val="105"/>
                <w:sz w:val="19"/>
              </w:rPr>
              <w:t> </w:t>
            </w:r>
            <w:r>
              <w:rPr>
                <w:rFonts w:ascii="Times New Roman"/>
                <w:w w:val="105"/>
                <w:sz w:val="19"/>
              </w:rPr>
              <w:t>201610067236.6</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1"/>
              <w:jc w:val="center"/>
              <w:rPr>
                <w:rFonts w:ascii="Times New Roman" w:hAnsi="Times New Roman" w:cs="Times New Roman" w:eastAsia="Times New Roman" w:hint="default"/>
                <w:sz w:val="19"/>
                <w:szCs w:val="19"/>
              </w:rPr>
            </w:pPr>
            <w:r>
              <w:rPr>
                <w:rFonts w:ascii="Times New Roman"/>
                <w:w w:val="105"/>
                <w:sz w:val="19"/>
              </w:rPr>
              <w:t>2016/1/30</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240" w:right="0"/>
              <w:jc w:val="left"/>
              <w:rPr>
                <w:rFonts w:ascii="Times New Roman" w:hAnsi="Times New Roman" w:cs="Times New Roman" w:eastAsia="Times New Roman" w:hint="default"/>
                <w:sz w:val="19"/>
                <w:szCs w:val="19"/>
              </w:rPr>
            </w:pPr>
            <w:r>
              <w:rPr>
                <w:rFonts w:ascii="Times New Roman"/>
                <w:w w:val="105"/>
                <w:sz w:val="19"/>
              </w:rPr>
              <w:t>2019/1/4</w:t>
            </w:r>
            <w:r>
              <w:rPr>
                <w:rFonts w:ascii="Times New Roman"/>
                <w:sz w:val="19"/>
              </w:rPr>
            </w:r>
          </w:p>
        </w:tc>
      </w:tr>
      <w:tr>
        <w:trPr>
          <w:trHeight w:val="436"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 w:right="0"/>
              <w:jc w:val="center"/>
              <w:rPr>
                <w:rFonts w:ascii="Times New Roman" w:hAnsi="Times New Roman" w:cs="Times New Roman" w:eastAsia="Times New Roman" w:hint="default"/>
                <w:sz w:val="19"/>
                <w:szCs w:val="19"/>
              </w:rPr>
            </w:pPr>
            <w:r>
              <w:rPr>
                <w:rFonts w:ascii="Times New Roman"/>
                <w:w w:val="102"/>
                <w:sz w:val="19"/>
              </w:rPr>
              <w:t>4</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一种基于认证设备进行注册的方法和设备</w:t>
            </w:r>
            <w:r>
              <w:rPr>
                <w:rFonts w:ascii="宋体" w:hAnsi="宋体" w:cs="宋体" w:eastAsia="宋体" w:hint="default"/>
                <w:spacing w:val="3"/>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25"/>
              <w:jc w:val="center"/>
              <w:rPr>
                <w:rFonts w:ascii="Times New Roman" w:hAnsi="Times New Roman" w:cs="Times New Roman" w:eastAsia="Times New Roman" w:hint="default"/>
                <w:sz w:val="19"/>
                <w:szCs w:val="19"/>
              </w:rPr>
            </w:pPr>
            <w:r>
              <w:rPr>
                <w:rFonts w:ascii="Times New Roman"/>
                <w:w w:val="105"/>
                <w:sz w:val="19"/>
              </w:rPr>
              <w:t>ZL</w:t>
            </w:r>
            <w:r>
              <w:rPr>
                <w:rFonts w:ascii="Times New Roman"/>
                <w:spacing w:val="-6"/>
                <w:w w:val="105"/>
                <w:sz w:val="19"/>
              </w:rPr>
              <w:t> </w:t>
            </w:r>
            <w:r>
              <w:rPr>
                <w:rFonts w:ascii="Times New Roman"/>
                <w:w w:val="105"/>
                <w:sz w:val="19"/>
              </w:rPr>
              <w:t>201510563321.7</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6"/>
              <w:jc w:val="center"/>
              <w:rPr>
                <w:rFonts w:ascii="Times New Roman" w:hAnsi="Times New Roman" w:cs="Times New Roman" w:eastAsia="Times New Roman" w:hint="default"/>
                <w:sz w:val="19"/>
                <w:szCs w:val="19"/>
              </w:rPr>
            </w:pPr>
            <w:r>
              <w:rPr>
                <w:rFonts w:ascii="Times New Roman"/>
                <w:w w:val="105"/>
                <w:sz w:val="19"/>
              </w:rPr>
              <w:t>2015/9/7</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240" w:right="0"/>
              <w:jc w:val="left"/>
              <w:rPr>
                <w:rFonts w:ascii="Times New Roman" w:hAnsi="Times New Roman" w:cs="Times New Roman" w:eastAsia="Times New Roman" w:hint="default"/>
                <w:sz w:val="19"/>
                <w:szCs w:val="19"/>
              </w:rPr>
            </w:pPr>
            <w:r>
              <w:rPr>
                <w:rFonts w:ascii="Times New Roman"/>
                <w:w w:val="105"/>
                <w:sz w:val="19"/>
              </w:rPr>
              <w:t>2019/1/4</w:t>
            </w:r>
            <w:r>
              <w:rPr>
                <w:rFonts w:ascii="Times New Roman"/>
                <w:sz w:val="19"/>
              </w:rPr>
            </w:r>
          </w:p>
        </w:tc>
      </w:tr>
      <w:tr>
        <w:trPr>
          <w:trHeight w:val="420"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8" w:right="0"/>
              <w:jc w:val="center"/>
              <w:rPr>
                <w:rFonts w:ascii="Times New Roman" w:hAnsi="Times New Roman" w:cs="Times New Roman" w:eastAsia="Times New Roman" w:hint="default"/>
                <w:sz w:val="19"/>
                <w:szCs w:val="19"/>
              </w:rPr>
            </w:pPr>
            <w:r>
              <w:rPr>
                <w:rFonts w:ascii="Times New Roman"/>
                <w:w w:val="102"/>
                <w:sz w:val="19"/>
              </w:rPr>
              <w:t>5</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一种识别图像中的段码的方法和装置</w:t>
            </w:r>
            <w:r>
              <w:rPr>
                <w:rFonts w:ascii="宋体" w:hAnsi="宋体" w:cs="宋体" w:eastAsia="宋体" w:hint="default"/>
                <w:spacing w:val="3"/>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5"/>
              <w:jc w:val="center"/>
              <w:rPr>
                <w:rFonts w:ascii="Times New Roman" w:hAnsi="Times New Roman" w:cs="Times New Roman" w:eastAsia="Times New Roman" w:hint="default"/>
                <w:sz w:val="19"/>
                <w:szCs w:val="19"/>
              </w:rPr>
            </w:pPr>
            <w:r>
              <w:rPr>
                <w:rFonts w:ascii="Times New Roman"/>
                <w:w w:val="105"/>
                <w:sz w:val="19"/>
              </w:rPr>
              <w:t>ZL</w:t>
            </w:r>
            <w:r>
              <w:rPr>
                <w:rFonts w:ascii="Times New Roman"/>
                <w:spacing w:val="-6"/>
                <w:w w:val="105"/>
                <w:sz w:val="19"/>
              </w:rPr>
              <w:t> </w:t>
            </w:r>
            <w:r>
              <w:rPr>
                <w:rFonts w:ascii="Times New Roman"/>
                <w:w w:val="105"/>
                <w:sz w:val="19"/>
              </w:rPr>
              <w:t>201410805525.2</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8"/>
              <w:jc w:val="center"/>
              <w:rPr>
                <w:rFonts w:ascii="Times New Roman" w:hAnsi="Times New Roman" w:cs="Times New Roman" w:eastAsia="Times New Roman" w:hint="default"/>
                <w:sz w:val="19"/>
                <w:szCs w:val="19"/>
              </w:rPr>
            </w:pPr>
            <w:r>
              <w:rPr>
                <w:rFonts w:ascii="Times New Roman"/>
                <w:w w:val="105"/>
                <w:sz w:val="19"/>
              </w:rPr>
              <w:t>2014/12/22</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40" w:right="0"/>
              <w:jc w:val="left"/>
              <w:rPr>
                <w:rFonts w:ascii="Times New Roman" w:hAnsi="Times New Roman" w:cs="Times New Roman" w:eastAsia="Times New Roman" w:hint="default"/>
                <w:sz w:val="19"/>
                <w:szCs w:val="19"/>
              </w:rPr>
            </w:pPr>
            <w:r>
              <w:rPr>
                <w:rFonts w:ascii="Times New Roman"/>
                <w:w w:val="105"/>
                <w:sz w:val="19"/>
              </w:rPr>
              <w:t>2019/1/4</w:t>
            </w:r>
            <w:r>
              <w:rPr>
                <w:rFonts w:ascii="Times New Roman"/>
                <w:sz w:val="19"/>
              </w:rPr>
            </w:r>
          </w:p>
        </w:tc>
      </w:tr>
      <w:tr>
        <w:trPr>
          <w:trHeight w:val="435"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8" w:right="0"/>
              <w:jc w:val="center"/>
              <w:rPr>
                <w:rFonts w:ascii="Times New Roman" w:hAnsi="Times New Roman" w:cs="Times New Roman" w:eastAsia="Times New Roman" w:hint="default"/>
                <w:sz w:val="19"/>
                <w:szCs w:val="19"/>
              </w:rPr>
            </w:pPr>
            <w:r>
              <w:rPr>
                <w:rFonts w:ascii="Times New Roman"/>
                <w:w w:val="102"/>
                <w:sz w:val="19"/>
              </w:rPr>
              <w:t>6</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一种低功耗蓝牙设备及其工作方法</w:t>
            </w:r>
            <w:r>
              <w:rPr>
                <w:rFonts w:ascii="宋体" w:hAnsi="宋体" w:cs="宋体" w:eastAsia="宋体" w:hint="default"/>
                <w:spacing w:val="3"/>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5"/>
              <w:jc w:val="center"/>
              <w:rPr>
                <w:rFonts w:ascii="Times New Roman" w:hAnsi="Times New Roman" w:cs="Times New Roman" w:eastAsia="Times New Roman" w:hint="default"/>
                <w:sz w:val="19"/>
                <w:szCs w:val="19"/>
              </w:rPr>
            </w:pPr>
            <w:r>
              <w:rPr>
                <w:rFonts w:ascii="Times New Roman"/>
                <w:w w:val="105"/>
                <w:sz w:val="19"/>
              </w:rPr>
              <w:t>ZL</w:t>
            </w:r>
            <w:r>
              <w:rPr>
                <w:rFonts w:ascii="Times New Roman"/>
                <w:spacing w:val="-6"/>
                <w:w w:val="105"/>
                <w:sz w:val="19"/>
              </w:rPr>
              <w:t> </w:t>
            </w:r>
            <w:r>
              <w:rPr>
                <w:rFonts w:ascii="Times New Roman"/>
                <w:w w:val="105"/>
                <w:sz w:val="19"/>
              </w:rPr>
              <w:t>201510962513.5</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8"/>
              <w:jc w:val="center"/>
              <w:rPr>
                <w:rFonts w:ascii="Times New Roman" w:hAnsi="Times New Roman" w:cs="Times New Roman" w:eastAsia="Times New Roman" w:hint="default"/>
                <w:sz w:val="19"/>
                <w:szCs w:val="19"/>
              </w:rPr>
            </w:pPr>
            <w:r>
              <w:rPr>
                <w:rFonts w:ascii="Times New Roman"/>
                <w:w w:val="105"/>
                <w:sz w:val="19"/>
              </w:rPr>
              <w:t>2015/12/21</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240" w:right="0"/>
              <w:jc w:val="left"/>
              <w:rPr>
                <w:rFonts w:ascii="Times New Roman" w:hAnsi="Times New Roman" w:cs="Times New Roman" w:eastAsia="Times New Roman" w:hint="default"/>
                <w:sz w:val="19"/>
                <w:szCs w:val="19"/>
              </w:rPr>
            </w:pPr>
            <w:r>
              <w:rPr>
                <w:rFonts w:ascii="Times New Roman"/>
                <w:w w:val="105"/>
                <w:sz w:val="19"/>
              </w:rPr>
              <w:t>2019/1/4</w:t>
            </w:r>
            <w:r>
              <w:rPr>
                <w:rFonts w:ascii="Times New Roman"/>
                <w:sz w:val="19"/>
              </w:rPr>
            </w:r>
          </w:p>
        </w:tc>
      </w:tr>
      <w:tr>
        <w:trPr>
          <w:trHeight w:val="736"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8" w:right="0"/>
              <w:jc w:val="center"/>
              <w:rPr>
                <w:rFonts w:ascii="Times New Roman" w:hAnsi="Times New Roman" w:cs="Times New Roman" w:eastAsia="Times New Roman" w:hint="default"/>
                <w:sz w:val="19"/>
                <w:szCs w:val="19"/>
              </w:rPr>
            </w:pPr>
            <w:r>
              <w:rPr>
                <w:rFonts w:ascii="Times New Roman"/>
                <w:w w:val="102"/>
                <w:sz w:val="19"/>
              </w:rPr>
              <w:t>7</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8"/>
              <w:ind w:right="211"/>
              <w:jc w:val="left"/>
              <w:rPr>
                <w:rFonts w:ascii="宋体" w:hAnsi="宋体" w:cs="宋体" w:eastAsia="宋体" w:hint="default"/>
                <w:sz w:val="19"/>
                <w:szCs w:val="19"/>
              </w:rPr>
            </w:pPr>
            <w:r>
              <w:rPr>
                <w:rFonts w:ascii="宋体" w:hAnsi="宋体" w:cs="宋体" w:eastAsia="宋体" w:hint="default"/>
                <w:spacing w:val="3"/>
                <w:sz w:val="19"/>
                <w:szCs w:val="19"/>
              </w:rPr>
              <w:t>一种适用于</w:t>
            </w:r>
            <w:r>
              <w:rPr>
                <w:rFonts w:ascii="Times New Roman" w:hAnsi="Times New Roman" w:cs="Times New Roman" w:eastAsia="Times New Roman" w:hint="default"/>
                <w:spacing w:val="3"/>
                <w:sz w:val="19"/>
                <w:szCs w:val="19"/>
              </w:rPr>
              <w:t>Mac</w:t>
            </w:r>
            <w:r>
              <w:rPr>
                <w:rFonts w:ascii="宋体" w:hAnsi="宋体" w:cs="宋体" w:eastAsia="宋体" w:hint="default"/>
                <w:spacing w:val="3"/>
                <w:sz w:val="19"/>
                <w:szCs w:val="19"/>
              </w:rPr>
              <w:t>系统的控件文本的排列显示方法和</w:t>
            </w:r>
            <w:r>
              <w:rPr>
                <w:rFonts w:ascii="宋体" w:hAnsi="宋体" w:cs="宋体" w:eastAsia="宋体" w:hint="default"/>
                <w:spacing w:val="32"/>
                <w:sz w:val="19"/>
                <w:szCs w:val="19"/>
              </w:rPr>
              <w:t> </w:t>
            </w:r>
            <w:r>
              <w:rPr>
                <w:rFonts w:ascii="宋体" w:hAnsi="宋体" w:cs="宋体" w:eastAsia="宋体" w:hint="default"/>
                <w:spacing w:val="32"/>
                <w:sz w:val="19"/>
                <w:szCs w:val="19"/>
              </w:rPr>
            </w:r>
            <w:r>
              <w:rPr>
                <w:rFonts w:ascii="宋体" w:hAnsi="宋体" w:cs="宋体" w:eastAsia="宋体" w:hint="default"/>
                <w:w w:val="105"/>
                <w:sz w:val="19"/>
                <w:szCs w:val="19"/>
              </w:rPr>
              <w:t>装置</w:t>
            </w:r>
            <w:r>
              <w:rPr>
                <w:rFonts w:ascii="宋体" w:hAnsi="宋体" w:cs="宋体" w:eastAsia="宋体" w:hint="default"/>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25"/>
              <w:jc w:val="center"/>
              <w:rPr>
                <w:rFonts w:ascii="Times New Roman" w:hAnsi="Times New Roman" w:cs="Times New Roman" w:eastAsia="Times New Roman" w:hint="default"/>
                <w:sz w:val="19"/>
                <w:szCs w:val="19"/>
              </w:rPr>
            </w:pPr>
            <w:r>
              <w:rPr>
                <w:rFonts w:ascii="Times New Roman"/>
                <w:w w:val="105"/>
                <w:sz w:val="19"/>
              </w:rPr>
              <w:t>ZL</w:t>
            </w:r>
            <w:r>
              <w:rPr>
                <w:rFonts w:ascii="Times New Roman"/>
                <w:spacing w:val="-6"/>
                <w:w w:val="105"/>
                <w:sz w:val="19"/>
              </w:rPr>
              <w:t> </w:t>
            </w:r>
            <w:r>
              <w:rPr>
                <w:rFonts w:ascii="Times New Roman"/>
                <w:w w:val="105"/>
                <w:sz w:val="19"/>
              </w:rPr>
              <w:t>201610151020.8</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21"/>
              <w:jc w:val="center"/>
              <w:rPr>
                <w:rFonts w:ascii="Times New Roman" w:hAnsi="Times New Roman" w:cs="Times New Roman" w:eastAsia="Times New Roman" w:hint="default"/>
                <w:sz w:val="19"/>
                <w:szCs w:val="19"/>
              </w:rPr>
            </w:pPr>
            <w:r>
              <w:rPr>
                <w:rFonts w:ascii="Times New Roman"/>
                <w:w w:val="105"/>
                <w:sz w:val="19"/>
              </w:rPr>
              <w:t>2016/3/16</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195" w:right="0"/>
              <w:jc w:val="left"/>
              <w:rPr>
                <w:rFonts w:ascii="Times New Roman" w:hAnsi="Times New Roman" w:cs="Times New Roman" w:eastAsia="Times New Roman" w:hint="default"/>
                <w:sz w:val="19"/>
                <w:szCs w:val="19"/>
              </w:rPr>
            </w:pPr>
            <w:r>
              <w:rPr>
                <w:rFonts w:ascii="Times New Roman"/>
                <w:w w:val="105"/>
                <w:sz w:val="19"/>
              </w:rPr>
              <w:t>2019/1/22</w:t>
            </w:r>
            <w:r>
              <w:rPr>
                <w:rFonts w:ascii="Times New Roman"/>
                <w:sz w:val="19"/>
              </w:rPr>
            </w:r>
          </w:p>
        </w:tc>
      </w:tr>
      <w:tr>
        <w:trPr>
          <w:trHeight w:val="736"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8" w:right="0"/>
              <w:jc w:val="center"/>
              <w:rPr>
                <w:rFonts w:ascii="Times New Roman" w:hAnsi="Times New Roman" w:cs="Times New Roman" w:eastAsia="Times New Roman" w:hint="default"/>
                <w:sz w:val="19"/>
                <w:szCs w:val="19"/>
              </w:rPr>
            </w:pPr>
            <w:r>
              <w:rPr>
                <w:rFonts w:ascii="Times New Roman"/>
                <w:w w:val="102"/>
                <w:sz w:val="19"/>
              </w:rPr>
              <w:t>8</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63"/>
              <w:ind w:right="167"/>
              <w:jc w:val="left"/>
              <w:rPr>
                <w:rFonts w:ascii="宋体" w:hAnsi="宋体" w:cs="宋体" w:eastAsia="宋体" w:hint="default"/>
                <w:sz w:val="19"/>
                <w:szCs w:val="19"/>
              </w:rPr>
            </w:pPr>
            <w:r>
              <w:rPr>
                <w:rFonts w:ascii="宋体" w:hAnsi="宋体" w:cs="宋体" w:eastAsia="宋体" w:hint="default"/>
                <w:spacing w:val="3"/>
                <w:sz w:val="19"/>
                <w:szCs w:val="19"/>
              </w:rPr>
              <w:t>一种终端与音频智能密钥设备通讯的实现方法及装</w:t>
            </w:r>
            <w:r>
              <w:rPr>
                <w:rFonts w:ascii="宋体" w:hAnsi="宋体" w:cs="宋体" w:eastAsia="宋体" w:hint="default"/>
                <w:spacing w:val="38"/>
                <w:sz w:val="19"/>
                <w:szCs w:val="19"/>
              </w:rPr>
              <w:t> </w:t>
            </w:r>
            <w:r>
              <w:rPr>
                <w:rFonts w:ascii="宋体" w:hAnsi="宋体" w:cs="宋体" w:eastAsia="宋体" w:hint="default"/>
                <w:spacing w:val="38"/>
                <w:sz w:val="19"/>
                <w:szCs w:val="19"/>
              </w:rPr>
            </w:r>
            <w:r>
              <w:rPr>
                <w:rFonts w:ascii="宋体" w:hAnsi="宋体" w:cs="宋体" w:eastAsia="宋体" w:hint="default"/>
                <w:w w:val="105"/>
                <w:sz w:val="19"/>
                <w:szCs w:val="19"/>
              </w:rPr>
              <w:t>置</w:t>
            </w:r>
            <w:r>
              <w:rPr>
                <w:rFonts w:ascii="宋体" w:hAnsi="宋体" w:cs="宋体" w:eastAsia="宋体" w:hint="default"/>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5"/>
              <w:jc w:val="center"/>
              <w:rPr>
                <w:rFonts w:ascii="Times New Roman" w:hAnsi="Times New Roman" w:cs="Times New Roman" w:eastAsia="Times New Roman" w:hint="default"/>
                <w:sz w:val="19"/>
                <w:szCs w:val="19"/>
              </w:rPr>
            </w:pPr>
            <w:r>
              <w:rPr>
                <w:rFonts w:ascii="Times New Roman"/>
                <w:w w:val="105"/>
                <w:sz w:val="19"/>
              </w:rPr>
              <w:t>ZL</w:t>
            </w:r>
            <w:r>
              <w:rPr>
                <w:rFonts w:ascii="Times New Roman"/>
                <w:spacing w:val="-6"/>
                <w:w w:val="105"/>
                <w:sz w:val="19"/>
              </w:rPr>
              <w:t> </w:t>
            </w:r>
            <w:r>
              <w:rPr>
                <w:rFonts w:ascii="Times New Roman"/>
                <w:w w:val="105"/>
                <w:sz w:val="19"/>
              </w:rPr>
              <w:t>201610077678.9</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6"/>
              <w:jc w:val="center"/>
              <w:rPr>
                <w:rFonts w:ascii="Times New Roman" w:hAnsi="Times New Roman" w:cs="Times New Roman" w:eastAsia="Times New Roman" w:hint="default"/>
                <w:sz w:val="19"/>
                <w:szCs w:val="19"/>
              </w:rPr>
            </w:pPr>
            <w:r>
              <w:rPr>
                <w:rFonts w:ascii="Times New Roman"/>
                <w:w w:val="105"/>
                <w:sz w:val="19"/>
              </w:rPr>
              <w:t>2016/2/3</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240" w:right="0"/>
              <w:jc w:val="left"/>
              <w:rPr>
                <w:rFonts w:ascii="Times New Roman" w:hAnsi="Times New Roman" w:cs="Times New Roman" w:eastAsia="Times New Roman" w:hint="default"/>
                <w:sz w:val="19"/>
                <w:szCs w:val="19"/>
              </w:rPr>
            </w:pPr>
            <w:r>
              <w:rPr>
                <w:rFonts w:ascii="Times New Roman"/>
                <w:w w:val="105"/>
                <w:sz w:val="19"/>
              </w:rPr>
              <w:t>2019/2/5</w:t>
            </w:r>
            <w:r>
              <w:rPr>
                <w:rFonts w:ascii="Times New Roman"/>
                <w:sz w:val="19"/>
              </w:rPr>
            </w:r>
          </w:p>
        </w:tc>
      </w:tr>
    </w:tbl>
    <w:p>
      <w:pPr>
        <w:spacing w:after="0" w:line="240" w:lineRule="auto"/>
        <w:jc w:val="left"/>
        <w:rPr>
          <w:rFonts w:ascii="Times New Roman" w:hAnsi="Times New Roman" w:cs="Times New Roman" w:eastAsia="Times New Roman" w:hint="default"/>
          <w:sz w:val="19"/>
          <w:szCs w:val="19"/>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676"/>
        <w:gridCol w:w="4566"/>
        <w:gridCol w:w="2132"/>
        <w:gridCol w:w="1082"/>
        <w:gridCol w:w="1216"/>
      </w:tblGrid>
      <w:tr>
        <w:trPr>
          <w:trHeight w:val="420"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 w:right="0"/>
              <w:jc w:val="center"/>
              <w:rPr>
                <w:rFonts w:ascii="Times New Roman" w:hAnsi="Times New Roman" w:cs="Times New Roman" w:eastAsia="Times New Roman" w:hint="default"/>
                <w:sz w:val="19"/>
                <w:szCs w:val="19"/>
              </w:rPr>
            </w:pPr>
            <w:r>
              <w:rPr>
                <w:rFonts w:ascii="Times New Roman"/>
                <w:w w:val="102"/>
                <w:sz w:val="19"/>
              </w:rPr>
              <w:t>9</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一种多主安全域</w:t>
            </w:r>
            <w:r>
              <w:rPr>
                <w:rFonts w:ascii="Times New Roman" w:hAnsi="Times New Roman" w:cs="Times New Roman" w:eastAsia="Times New Roman" w:hint="default"/>
                <w:spacing w:val="3"/>
                <w:w w:val="105"/>
                <w:sz w:val="19"/>
                <w:szCs w:val="19"/>
              </w:rPr>
              <w:t>Java</w:t>
            </w:r>
            <w:r>
              <w:rPr>
                <w:rFonts w:ascii="宋体" w:hAnsi="宋体" w:cs="宋体" w:eastAsia="宋体" w:hint="default"/>
                <w:spacing w:val="3"/>
                <w:w w:val="105"/>
                <w:sz w:val="19"/>
                <w:szCs w:val="19"/>
              </w:rPr>
              <w:t>智能卡及其实现方法</w:t>
            </w:r>
            <w:r>
              <w:rPr>
                <w:rFonts w:ascii="宋体" w:hAnsi="宋体" w:cs="宋体" w:eastAsia="宋体" w:hint="default"/>
                <w:spacing w:val="3"/>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225" w:right="0"/>
              <w:jc w:val="left"/>
              <w:rPr>
                <w:rFonts w:ascii="Times New Roman" w:hAnsi="Times New Roman" w:cs="Times New Roman" w:eastAsia="Times New Roman" w:hint="default"/>
                <w:sz w:val="19"/>
                <w:szCs w:val="19"/>
              </w:rPr>
            </w:pPr>
            <w:r>
              <w:rPr>
                <w:rFonts w:ascii="Times New Roman"/>
                <w:w w:val="105"/>
                <w:sz w:val="19"/>
              </w:rPr>
              <w:t>ZL</w:t>
            </w:r>
            <w:r>
              <w:rPr>
                <w:rFonts w:ascii="Times New Roman"/>
                <w:spacing w:val="-6"/>
                <w:w w:val="105"/>
                <w:sz w:val="19"/>
              </w:rPr>
              <w:t> </w:t>
            </w:r>
            <w:r>
              <w:rPr>
                <w:rFonts w:ascii="Times New Roman"/>
                <w:w w:val="105"/>
                <w:sz w:val="19"/>
              </w:rPr>
              <w:t>201610606151.0</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21"/>
              <w:jc w:val="center"/>
              <w:rPr>
                <w:rFonts w:ascii="Times New Roman" w:hAnsi="Times New Roman" w:cs="Times New Roman" w:eastAsia="Times New Roman" w:hint="default"/>
                <w:sz w:val="19"/>
                <w:szCs w:val="19"/>
              </w:rPr>
            </w:pPr>
            <w:r>
              <w:rPr>
                <w:rFonts w:ascii="Times New Roman"/>
                <w:w w:val="105"/>
                <w:sz w:val="19"/>
              </w:rPr>
              <w:t>2016/7/28</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240" w:right="0"/>
              <w:jc w:val="left"/>
              <w:rPr>
                <w:rFonts w:ascii="Times New Roman" w:hAnsi="Times New Roman" w:cs="Times New Roman" w:eastAsia="Times New Roman" w:hint="default"/>
                <w:sz w:val="19"/>
                <w:szCs w:val="19"/>
              </w:rPr>
            </w:pPr>
            <w:r>
              <w:rPr>
                <w:rFonts w:ascii="Times New Roman"/>
                <w:w w:val="105"/>
                <w:sz w:val="19"/>
              </w:rPr>
              <w:t>2019/2/5</w:t>
            </w:r>
            <w:r>
              <w:rPr>
                <w:rFonts w:ascii="Times New Roman"/>
                <w:sz w:val="19"/>
              </w:rPr>
            </w:r>
          </w:p>
        </w:tc>
      </w:tr>
      <w:tr>
        <w:trPr>
          <w:trHeight w:val="435"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9"/>
                <w:szCs w:val="19"/>
              </w:rPr>
            </w:pPr>
            <w:r>
              <w:rPr>
                <w:rFonts w:ascii="Times New Roman"/>
                <w:spacing w:val="-8"/>
                <w:w w:val="105"/>
                <w:sz w:val="19"/>
              </w:rPr>
              <w:t>10</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一种订立电子合同的方法及服务器</w:t>
            </w:r>
            <w:r>
              <w:rPr>
                <w:rFonts w:ascii="宋体" w:hAnsi="宋体" w:cs="宋体" w:eastAsia="宋体" w:hint="default"/>
                <w:spacing w:val="3"/>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225" w:right="0"/>
              <w:jc w:val="left"/>
              <w:rPr>
                <w:rFonts w:ascii="Times New Roman" w:hAnsi="Times New Roman" w:cs="Times New Roman" w:eastAsia="Times New Roman" w:hint="default"/>
                <w:sz w:val="19"/>
                <w:szCs w:val="19"/>
              </w:rPr>
            </w:pPr>
            <w:r>
              <w:rPr>
                <w:rFonts w:ascii="Times New Roman"/>
                <w:w w:val="105"/>
                <w:sz w:val="19"/>
              </w:rPr>
              <w:t>ZL</w:t>
            </w:r>
            <w:r>
              <w:rPr>
                <w:rFonts w:ascii="Times New Roman"/>
                <w:spacing w:val="-6"/>
                <w:w w:val="105"/>
                <w:sz w:val="19"/>
              </w:rPr>
              <w:t> </w:t>
            </w:r>
            <w:r>
              <w:rPr>
                <w:rFonts w:ascii="Times New Roman"/>
                <w:w w:val="105"/>
                <w:sz w:val="19"/>
              </w:rPr>
              <w:t>201610592410.9</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1"/>
              <w:jc w:val="center"/>
              <w:rPr>
                <w:rFonts w:ascii="Times New Roman" w:hAnsi="Times New Roman" w:cs="Times New Roman" w:eastAsia="Times New Roman" w:hint="default"/>
                <w:sz w:val="19"/>
                <w:szCs w:val="19"/>
              </w:rPr>
            </w:pPr>
            <w:r>
              <w:rPr>
                <w:rFonts w:ascii="Times New Roman"/>
                <w:w w:val="105"/>
                <w:sz w:val="19"/>
              </w:rPr>
              <w:t>2016/7/25</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195" w:right="0"/>
              <w:jc w:val="left"/>
              <w:rPr>
                <w:rFonts w:ascii="Times New Roman" w:hAnsi="Times New Roman" w:cs="Times New Roman" w:eastAsia="Times New Roman" w:hint="default"/>
                <w:sz w:val="19"/>
                <w:szCs w:val="19"/>
              </w:rPr>
            </w:pPr>
            <w:r>
              <w:rPr>
                <w:rFonts w:ascii="Times New Roman"/>
                <w:w w:val="105"/>
                <w:sz w:val="19"/>
              </w:rPr>
              <w:t>2019/2/12</w:t>
            </w:r>
            <w:r>
              <w:rPr>
                <w:rFonts w:ascii="Times New Roman"/>
                <w:sz w:val="19"/>
              </w:rPr>
            </w:r>
          </w:p>
        </w:tc>
      </w:tr>
      <w:tr>
        <w:trPr>
          <w:trHeight w:val="420"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9"/>
                <w:szCs w:val="19"/>
              </w:rPr>
            </w:pPr>
            <w:r>
              <w:rPr>
                <w:rFonts w:ascii="Times New Roman"/>
                <w:spacing w:val="-8"/>
                <w:w w:val="105"/>
                <w:sz w:val="19"/>
              </w:rPr>
              <w:t>11</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4"/>
                <w:w w:val="105"/>
                <w:sz w:val="19"/>
                <w:szCs w:val="19"/>
              </w:rPr>
              <w:t>一种终端设备高效率数据处理方法及其终端设备</w:t>
            </w:r>
            <w:r>
              <w:rPr>
                <w:rFonts w:ascii="宋体" w:hAnsi="宋体" w:cs="宋体" w:eastAsia="宋体" w:hint="default"/>
                <w:spacing w:val="4"/>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225" w:right="0"/>
              <w:jc w:val="left"/>
              <w:rPr>
                <w:rFonts w:ascii="Times New Roman" w:hAnsi="Times New Roman" w:cs="Times New Roman" w:eastAsia="Times New Roman" w:hint="default"/>
                <w:sz w:val="19"/>
                <w:szCs w:val="19"/>
              </w:rPr>
            </w:pPr>
            <w:r>
              <w:rPr>
                <w:rFonts w:ascii="Times New Roman"/>
                <w:w w:val="105"/>
                <w:sz w:val="19"/>
              </w:rPr>
              <w:t>ZL</w:t>
            </w:r>
            <w:r>
              <w:rPr>
                <w:rFonts w:ascii="Times New Roman"/>
                <w:spacing w:val="-6"/>
                <w:w w:val="105"/>
                <w:sz w:val="19"/>
              </w:rPr>
              <w:t> </w:t>
            </w:r>
            <w:r>
              <w:rPr>
                <w:rFonts w:ascii="Times New Roman"/>
                <w:w w:val="105"/>
                <w:sz w:val="19"/>
              </w:rPr>
              <w:t>201710003731.5</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6"/>
              <w:jc w:val="center"/>
              <w:rPr>
                <w:rFonts w:ascii="Times New Roman" w:hAnsi="Times New Roman" w:cs="Times New Roman" w:eastAsia="Times New Roman" w:hint="default"/>
                <w:sz w:val="19"/>
                <w:szCs w:val="19"/>
              </w:rPr>
            </w:pPr>
            <w:r>
              <w:rPr>
                <w:rFonts w:ascii="Times New Roman"/>
                <w:w w:val="105"/>
                <w:sz w:val="19"/>
              </w:rPr>
              <w:t>2017/1/4</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195" w:right="0"/>
              <w:jc w:val="left"/>
              <w:rPr>
                <w:rFonts w:ascii="Times New Roman" w:hAnsi="Times New Roman" w:cs="Times New Roman" w:eastAsia="Times New Roman" w:hint="default"/>
                <w:sz w:val="19"/>
                <w:szCs w:val="19"/>
              </w:rPr>
            </w:pPr>
            <w:r>
              <w:rPr>
                <w:rFonts w:ascii="Times New Roman"/>
                <w:w w:val="105"/>
                <w:sz w:val="19"/>
              </w:rPr>
              <w:t>2019/2/15</w:t>
            </w:r>
            <w:r>
              <w:rPr>
                <w:rFonts w:ascii="Times New Roman"/>
                <w:sz w:val="19"/>
              </w:rPr>
            </w:r>
          </w:p>
        </w:tc>
      </w:tr>
      <w:tr>
        <w:trPr>
          <w:trHeight w:val="436"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9"/>
                <w:szCs w:val="19"/>
              </w:rPr>
            </w:pPr>
            <w:r>
              <w:rPr>
                <w:rFonts w:ascii="Times New Roman"/>
                <w:spacing w:val="-8"/>
                <w:w w:val="105"/>
                <w:sz w:val="19"/>
              </w:rPr>
              <w:t>12</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一种固件升级方法及装置</w:t>
            </w:r>
            <w:r>
              <w:rPr>
                <w:rFonts w:ascii="宋体" w:hAnsi="宋体" w:cs="宋体" w:eastAsia="宋体" w:hint="default"/>
                <w:spacing w:val="3"/>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225" w:right="0"/>
              <w:jc w:val="left"/>
              <w:rPr>
                <w:rFonts w:ascii="Times New Roman" w:hAnsi="Times New Roman" w:cs="Times New Roman" w:eastAsia="Times New Roman" w:hint="default"/>
                <w:sz w:val="19"/>
                <w:szCs w:val="19"/>
              </w:rPr>
            </w:pPr>
            <w:r>
              <w:rPr>
                <w:rFonts w:ascii="Times New Roman"/>
                <w:w w:val="105"/>
                <w:sz w:val="19"/>
              </w:rPr>
              <w:t>ZL</w:t>
            </w:r>
            <w:r>
              <w:rPr>
                <w:rFonts w:ascii="Times New Roman"/>
                <w:spacing w:val="-6"/>
                <w:w w:val="105"/>
                <w:sz w:val="19"/>
              </w:rPr>
              <w:t> </w:t>
            </w:r>
            <w:r>
              <w:rPr>
                <w:rFonts w:ascii="Times New Roman"/>
                <w:w w:val="105"/>
                <w:sz w:val="19"/>
              </w:rPr>
              <w:t>201610620772.4</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6"/>
              <w:jc w:val="center"/>
              <w:rPr>
                <w:rFonts w:ascii="Times New Roman" w:hAnsi="Times New Roman" w:cs="Times New Roman" w:eastAsia="Times New Roman" w:hint="default"/>
                <w:sz w:val="19"/>
                <w:szCs w:val="19"/>
              </w:rPr>
            </w:pPr>
            <w:r>
              <w:rPr>
                <w:rFonts w:ascii="Times New Roman"/>
                <w:w w:val="105"/>
                <w:sz w:val="19"/>
              </w:rPr>
              <w:t>2016/8/1</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195" w:right="0"/>
              <w:jc w:val="left"/>
              <w:rPr>
                <w:rFonts w:ascii="Times New Roman" w:hAnsi="Times New Roman" w:cs="Times New Roman" w:eastAsia="Times New Roman" w:hint="default"/>
                <w:sz w:val="19"/>
                <w:szCs w:val="19"/>
              </w:rPr>
            </w:pPr>
            <w:r>
              <w:rPr>
                <w:rFonts w:ascii="Times New Roman"/>
                <w:w w:val="105"/>
                <w:sz w:val="19"/>
              </w:rPr>
              <w:t>2019/2/15</w:t>
            </w:r>
            <w:r>
              <w:rPr>
                <w:rFonts w:ascii="Times New Roman"/>
                <w:sz w:val="19"/>
              </w:rPr>
            </w:r>
          </w:p>
        </w:tc>
      </w:tr>
      <w:tr>
        <w:trPr>
          <w:trHeight w:val="420"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9"/>
                <w:szCs w:val="19"/>
              </w:rPr>
            </w:pPr>
            <w:r>
              <w:rPr>
                <w:rFonts w:ascii="Times New Roman"/>
                <w:spacing w:val="-8"/>
                <w:w w:val="105"/>
                <w:sz w:val="19"/>
              </w:rPr>
              <w:t>13</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z w:val="19"/>
                <w:szCs w:val="19"/>
              </w:rPr>
              <w:t>一种支持多协议的非接触卡片、非接通信方法及系统</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225" w:right="0"/>
              <w:jc w:val="left"/>
              <w:rPr>
                <w:rFonts w:ascii="Times New Roman" w:hAnsi="Times New Roman" w:cs="Times New Roman" w:eastAsia="Times New Roman" w:hint="default"/>
                <w:sz w:val="19"/>
                <w:szCs w:val="19"/>
              </w:rPr>
            </w:pPr>
            <w:r>
              <w:rPr>
                <w:rFonts w:ascii="Times New Roman"/>
                <w:w w:val="105"/>
                <w:sz w:val="19"/>
              </w:rPr>
              <w:t>ZL</w:t>
            </w:r>
            <w:r>
              <w:rPr>
                <w:rFonts w:ascii="Times New Roman"/>
                <w:spacing w:val="-6"/>
                <w:w w:val="105"/>
                <w:sz w:val="19"/>
              </w:rPr>
              <w:t> </w:t>
            </w:r>
            <w:r>
              <w:rPr>
                <w:rFonts w:ascii="Times New Roman"/>
                <w:w w:val="105"/>
                <w:sz w:val="19"/>
              </w:rPr>
              <w:t>201710565253.7</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21"/>
              <w:jc w:val="center"/>
              <w:rPr>
                <w:rFonts w:ascii="Times New Roman" w:hAnsi="Times New Roman" w:cs="Times New Roman" w:eastAsia="Times New Roman" w:hint="default"/>
                <w:sz w:val="19"/>
                <w:szCs w:val="19"/>
              </w:rPr>
            </w:pPr>
            <w:r>
              <w:rPr>
                <w:rFonts w:ascii="Times New Roman"/>
                <w:w w:val="105"/>
                <w:sz w:val="19"/>
              </w:rPr>
              <w:t>2017/7/12</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240" w:right="0"/>
              <w:jc w:val="left"/>
              <w:rPr>
                <w:rFonts w:ascii="Times New Roman" w:hAnsi="Times New Roman" w:cs="Times New Roman" w:eastAsia="Times New Roman" w:hint="default"/>
                <w:sz w:val="19"/>
                <w:szCs w:val="19"/>
              </w:rPr>
            </w:pPr>
            <w:r>
              <w:rPr>
                <w:rFonts w:ascii="Times New Roman"/>
                <w:w w:val="105"/>
                <w:sz w:val="19"/>
              </w:rPr>
              <w:t>2019/3/5</w:t>
            </w:r>
            <w:r>
              <w:rPr>
                <w:rFonts w:ascii="Times New Roman"/>
                <w:sz w:val="19"/>
              </w:rPr>
            </w:r>
          </w:p>
        </w:tc>
      </w:tr>
      <w:tr>
        <w:trPr>
          <w:trHeight w:val="435"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9"/>
                <w:szCs w:val="19"/>
              </w:rPr>
            </w:pPr>
            <w:r>
              <w:rPr>
                <w:rFonts w:ascii="Times New Roman"/>
                <w:spacing w:val="-8"/>
                <w:w w:val="105"/>
                <w:sz w:val="19"/>
              </w:rPr>
              <w:t>14</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4"/>
                <w:w w:val="105"/>
                <w:sz w:val="19"/>
                <w:szCs w:val="19"/>
              </w:rPr>
              <w:t>一种提高键盘输入正确性的方法及键盘过滤驱动</w:t>
            </w:r>
            <w:r>
              <w:rPr>
                <w:rFonts w:ascii="宋体" w:hAnsi="宋体" w:cs="宋体" w:eastAsia="宋体" w:hint="default"/>
                <w:spacing w:val="4"/>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225" w:right="0"/>
              <w:jc w:val="left"/>
              <w:rPr>
                <w:rFonts w:ascii="Times New Roman" w:hAnsi="Times New Roman" w:cs="Times New Roman" w:eastAsia="Times New Roman" w:hint="default"/>
                <w:sz w:val="19"/>
                <w:szCs w:val="19"/>
              </w:rPr>
            </w:pPr>
            <w:r>
              <w:rPr>
                <w:rFonts w:ascii="Times New Roman"/>
                <w:w w:val="105"/>
                <w:sz w:val="19"/>
              </w:rPr>
              <w:t>ZL</w:t>
            </w:r>
            <w:r>
              <w:rPr>
                <w:rFonts w:ascii="Times New Roman"/>
                <w:spacing w:val="-6"/>
                <w:w w:val="105"/>
                <w:sz w:val="19"/>
              </w:rPr>
              <w:t> </w:t>
            </w:r>
            <w:r>
              <w:rPr>
                <w:rFonts w:ascii="Times New Roman"/>
                <w:w w:val="105"/>
                <w:sz w:val="19"/>
              </w:rPr>
              <w:t>201610681143.2</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1"/>
              <w:jc w:val="center"/>
              <w:rPr>
                <w:rFonts w:ascii="Times New Roman" w:hAnsi="Times New Roman" w:cs="Times New Roman" w:eastAsia="Times New Roman" w:hint="default"/>
                <w:sz w:val="19"/>
                <w:szCs w:val="19"/>
              </w:rPr>
            </w:pPr>
            <w:r>
              <w:rPr>
                <w:rFonts w:ascii="Times New Roman"/>
                <w:w w:val="105"/>
                <w:sz w:val="19"/>
              </w:rPr>
              <w:t>2016/8/17</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240" w:right="0"/>
              <w:jc w:val="left"/>
              <w:rPr>
                <w:rFonts w:ascii="Times New Roman" w:hAnsi="Times New Roman" w:cs="Times New Roman" w:eastAsia="Times New Roman" w:hint="default"/>
                <w:sz w:val="19"/>
                <w:szCs w:val="19"/>
              </w:rPr>
            </w:pPr>
            <w:r>
              <w:rPr>
                <w:rFonts w:ascii="Times New Roman"/>
                <w:w w:val="105"/>
                <w:sz w:val="19"/>
              </w:rPr>
              <w:t>2019/3/5</w:t>
            </w:r>
            <w:r>
              <w:rPr>
                <w:rFonts w:ascii="Times New Roman"/>
                <w:sz w:val="19"/>
              </w:rPr>
            </w:r>
          </w:p>
        </w:tc>
      </w:tr>
      <w:tr>
        <w:trPr>
          <w:trHeight w:val="421"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0"/>
              <w:jc w:val="center"/>
              <w:rPr>
                <w:rFonts w:ascii="Times New Roman" w:hAnsi="Times New Roman" w:cs="Times New Roman" w:eastAsia="Times New Roman" w:hint="default"/>
                <w:sz w:val="19"/>
                <w:szCs w:val="19"/>
              </w:rPr>
            </w:pPr>
            <w:r>
              <w:rPr>
                <w:rFonts w:ascii="Times New Roman"/>
                <w:spacing w:val="-8"/>
                <w:w w:val="105"/>
                <w:sz w:val="19"/>
              </w:rPr>
              <w:t>15</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left"/>
              <w:rPr>
                <w:rFonts w:ascii="宋体" w:hAnsi="宋体" w:cs="宋体" w:eastAsia="宋体" w:hint="default"/>
                <w:sz w:val="19"/>
                <w:szCs w:val="19"/>
              </w:rPr>
            </w:pPr>
            <w:r>
              <w:rPr>
                <w:rFonts w:ascii="宋体" w:hAnsi="宋体" w:cs="宋体" w:eastAsia="宋体" w:hint="default"/>
                <w:spacing w:val="4"/>
                <w:w w:val="105"/>
                <w:sz w:val="19"/>
                <w:szCs w:val="19"/>
              </w:rPr>
              <w:t>向应用程序中自动导入数字证书的方法及装置</w:t>
            </w:r>
            <w:r>
              <w:rPr>
                <w:rFonts w:ascii="宋体" w:hAnsi="宋体" w:cs="宋体" w:eastAsia="宋体" w:hint="default"/>
                <w:spacing w:val="4"/>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225" w:right="0"/>
              <w:jc w:val="left"/>
              <w:rPr>
                <w:rFonts w:ascii="Times New Roman" w:hAnsi="Times New Roman" w:cs="Times New Roman" w:eastAsia="Times New Roman" w:hint="default"/>
                <w:sz w:val="19"/>
                <w:szCs w:val="19"/>
              </w:rPr>
            </w:pPr>
            <w:r>
              <w:rPr>
                <w:rFonts w:ascii="Times New Roman"/>
                <w:w w:val="105"/>
                <w:sz w:val="19"/>
              </w:rPr>
              <w:t>ZL</w:t>
            </w:r>
            <w:r>
              <w:rPr>
                <w:rFonts w:ascii="Times New Roman"/>
                <w:spacing w:val="-6"/>
                <w:w w:val="105"/>
                <w:sz w:val="19"/>
              </w:rPr>
              <w:t> </w:t>
            </w:r>
            <w:r>
              <w:rPr>
                <w:rFonts w:ascii="Times New Roman"/>
                <w:w w:val="105"/>
                <w:sz w:val="19"/>
              </w:rPr>
              <w:t>201610067808.0</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21"/>
              <w:jc w:val="center"/>
              <w:rPr>
                <w:rFonts w:ascii="Times New Roman" w:hAnsi="Times New Roman" w:cs="Times New Roman" w:eastAsia="Times New Roman" w:hint="default"/>
                <w:sz w:val="19"/>
                <w:szCs w:val="19"/>
              </w:rPr>
            </w:pPr>
            <w:r>
              <w:rPr>
                <w:rFonts w:ascii="Times New Roman"/>
                <w:w w:val="105"/>
                <w:sz w:val="19"/>
              </w:rPr>
              <w:t>2016/1/30</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240" w:right="0"/>
              <w:jc w:val="left"/>
              <w:rPr>
                <w:rFonts w:ascii="Times New Roman" w:hAnsi="Times New Roman" w:cs="Times New Roman" w:eastAsia="Times New Roman" w:hint="default"/>
                <w:sz w:val="19"/>
                <w:szCs w:val="19"/>
              </w:rPr>
            </w:pPr>
            <w:r>
              <w:rPr>
                <w:rFonts w:ascii="Times New Roman"/>
                <w:w w:val="105"/>
                <w:sz w:val="19"/>
              </w:rPr>
              <w:t>2019/3/5</w:t>
            </w:r>
            <w:r>
              <w:rPr>
                <w:rFonts w:ascii="Times New Roman"/>
                <w:sz w:val="19"/>
              </w:rPr>
            </w:r>
          </w:p>
        </w:tc>
      </w:tr>
      <w:tr>
        <w:trPr>
          <w:trHeight w:val="750"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9"/>
                <w:szCs w:val="19"/>
              </w:rPr>
            </w:pPr>
            <w:r>
              <w:rPr>
                <w:rFonts w:ascii="Times New Roman"/>
                <w:spacing w:val="-8"/>
                <w:w w:val="105"/>
                <w:sz w:val="19"/>
              </w:rPr>
              <w:t>16</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63"/>
              <w:ind w:right="167"/>
              <w:jc w:val="left"/>
              <w:rPr>
                <w:rFonts w:ascii="宋体" w:hAnsi="宋体" w:cs="宋体" w:eastAsia="宋体" w:hint="default"/>
                <w:sz w:val="19"/>
                <w:szCs w:val="19"/>
              </w:rPr>
            </w:pPr>
            <w:r>
              <w:rPr>
                <w:rFonts w:ascii="宋体" w:hAnsi="宋体" w:cs="宋体" w:eastAsia="宋体" w:hint="default"/>
                <w:spacing w:val="3"/>
                <w:sz w:val="19"/>
                <w:szCs w:val="19"/>
              </w:rPr>
              <w:t>一种通过同步机制保证大数据通信稳定的方法及装</w:t>
            </w:r>
            <w:r>
              <w:rPr>
                <w:rFonts w:ascii="宋体" w:hAnsi="宋体" w:cs="宋体" w:eastAsia="宋体" w:hint="default"/>
                <w:spacing w:val="38"/>
                <w:sz w:val="19"/>
                <w:szCs w:val="19"/>
              </w:rPr>
              <w:t> </w:t>
            </w:r>
            <w:r>
              <w:rPr>
                <w:rFonts w:ascii="宋体" w:hAnsi="宋体" w:cs="宋体" w:eastAsia="宋体" w:hint="default"/>
                <w:spacing w:val="38"/>
                <w:sz w:val="19"/>
                <w:szCs w:val="19"/>
              </w:rPr>
            </w:r>
            <w:r>
              <w:rPr>
                <w:rFonts w:ascii="宋体" w:hAnsi="宋体" w:cs="宋体" w:eastAsia="宋体" w:hint="default"/>
                <w:w w:val="105"/>
                <w:sz w:val="19"/>
                <w:szCs w:val="19"/>
              </w:rPr>
              <w:t>置</w:t>
            </w:r>
            <w:r>
              <w:rPr>
                <w:rFonts w:ascii="宋体" w:hAnsi="宋体" w:cs="宋体" w:eastAsia="宋体" w:hint="default"/>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225" w:right="0"/>
              <w:jc w:val="left"/>
              <w:rPr>
                <w:rFonts w:ascii="Times New Roman" w:hAnsi="Times New Roman" w:cs="Times New Roman" w:eastAsia="Times New Roman" w:hint="default"/>
                <w:sz w:val="19"/>
                <w:szCs w:val="19"/>
              </w:rPr>
            </w:pPr>
            <w:r>
              <w:rPr>
                <w:rFonts w:ascii="Times New Roman"/>
                <w:w w:val="105"/>
                <w:sz w:val="19"/>
              </w:rPr>
              <w:t>ZL</w:t>
            </w:r>
            <w:r>
              <w:rPr>
                <w:rFonts w:ascii="Times New Roman"/>
                <w:spacing w:val="-6"/>
                <w:w w:val="105"/>
                <w:sz w:val="19"/>
              </w:rPr>
              <w:t> </w:t>
            </w:r>
            <w:r>
              <w:rPr>
                <w:rFonts w:ascii="Times New Roman"/>
                <w:w w:val="105"/>
                <w:sz w:val="19"/>
              </w:rPr>
              <w:t>201610228051.9</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21"/>
              <w:jc w:val="center"/>
              <w:rPr>
                <w:rFonts w:ascii="Times New Roman" w:hAnsi="Times New Roman" w:cs="Times New Roman" w:eastAsia="Times New Roman" w:hint="default"/>
                <w:sz w:val="19"/>
                <w:szCs w:val="19"/>
              </w:rPr>
            </w:pPr>
            <w:r>
              <w:rPr>
                <w:rFonts w:ascii="Times New Roman"/>
                <w:w w:val="105"/>
                <w:sz w:val="19"/>
              </w:rPr>
              <w:t>2016/4/13</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240" w:right="0"/>
              <w:jc w:val="left"/>
              <w:rPr>
                <w:rFonts w:ascii="Times New Roman" w:hAnsi="Times New Roman" w:cs="Times New Roman" w:eastAsia="Times New Roman" w:hint="default"/>
                <w:sz w:val="19"/>
                <w:szCs w:val="19"/>
              </w:rPr>
            </w:pPr>
            <w:r>
              <w:rPr>
                <w:rFonts w:ascii="Times New Roman"/>
                <w:w w:val="105"/>
                <w:sz w:val="19"/>
              </w:rPr>
              <w:t>2019/3/5</w:t>
            </w:r>
            <w:r>
              <w:rPr>
                <w:rFonts w:ascii="Times New Roman"/>
                <w:sz w:val="19"/>
              </w:rPr>
            </w:r>
          </w:p>
        </w:tc>
      </w:tr>
      <w:tr>
        <w:trPr>
          <w:trHeight w:val="421"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19"/>
                <w:szCs w:val="19"/>
              </w:rPr>
            </w:pPr>
            <w:r>
              <w:rPr>
                <w:rFonts w:ascii="Times New Roman"/>
                <w:spacing w:val="-8"/>
                <w:w w:val="105"/>
                <w:sz w:val="19"/>
              </w:rPr>
              <w:t>17</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left"/>
              <w:rPr>
                <w:rFonts w:ascii="宋体" w:hAnsi="宋体" w:cs="宋体" w:eastAsia="宋体" w:hint="default"/>
                <w:sz w:val="19"/>
                <w:szCs w:val="19"/>
              </w:rPr>
            </w:pPr>
            <w:r>
              <w:rPr>
                <w:rFonts w:ascii="宋体" w:hAnsi="宋体" w:cs="宋体" w:eastAsia="宋体" w:hint="default"/>
                <w:spacing w:val="4"/>
                <w:w w:val="105"/>
                <w:sz w:val="19"/>
                <w:szCs w:val="19"/>
              </w:rPr>
              <w:t>一种可自动调节音频参数的方法及装置</w:t>
            </w:r>
            <w:r>
              <w:rPr>
                <w:rFonts w:ascii="宋体" w:hAnsi="宋体" w:cs="宋体" w:eastAsia="宋体" w:hint="default"/>
                <w:spacing w:val="4"/>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225" w:right="0"/>
              <w:jc w:val="left"/>
              <w:rPr>
                <w:rFonts w:ascii="Times New Roman" w:hAnsi="Times New Roman" w:cs="Times New Roman" w:eastAsia="Times New Roman" w:hint="default"/>
                <w:sz w:val="19"/>
                <w:szCs w:val="19"/>
              </w:rPr>
            </w:pPr>
            <w:r>
              <w:rPr>
                <w:rFonts w:ascii="Times New Roman"/>
                <w:w w:val="105"/>
                <w:sz w:val="19"/>
              </w:rPr>
              <w:t>ZL</w:t>
            </w:r>
            <w:r>
              <w:rPr>
                <w:rFonts w:ascii="Times New Roman"/>
                <w:spacing w:val="-6"/>
                <w:w w:val="105"/>
                <w:sz w:val="19"/>
              </w:rPr>
              <w:t> </w:t>
            </w:r>
            <w:r>
              <w:rPr>
                <w:rFonts w:ascii="Times New Roman"/>
                <w:w w:val="105"/>
                <w:sz w:val="19"/>
              </w:rPr>
              <w:t>201610004872.4</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6"/>
              <w:jc w:val="center"/>
              <w:rPr>
                <w:rFonts w:ascii="Times New Roman" w:hAnsi="Times New Roman" w:cs="Times New Roman" w:eastAsia="Times New Roman" w:hint="default"/>
                <w:sz w:val="19"/>
                <w:szCs w:val="19"/>
              </w:rPr>
            </w:pPr>
            <w:r>
              <w:rPr>
                <w:rFonts w:ascii="Times New Roman"/>
                <w:w w:val="105"/>
                <w:sz w:val="19"/>
              </w:rPr>
              <w:t>2016/1/5</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240" w:right="0"/>
              <w:jc w:val="left"/>
              <w:rPr>
                <w:rFonts w:ascii="Times New Roman" w:hAnsi="Times New Roman" w:cs="Times New Roman" w:eastAsia="Times New Roman" w:hint="default"/>
                <w:sz w:val="19"/>
                <w:szCs w:val="19"/>
              </w:rPr>
            </w:pPr>
            <w:r>
              <w:rPr>
                <w:rFonts w:ascii="Times New Roman"/>
                <w:w w:val="105"/>
                <w:sz w:val="19"/>
              </w:rPr>
              <w:t>2019/3/5</w:t>
            </w:r>
            <w:r>
              <w:rPr>
                <w:rFonts w:ascii="Times New Roman"/>
                <w:sz w:val="19"/>
              </w:rPr>
            </w:r>
          </w:p>
        </w:tc>
      </w:tr>
      <w:tr>
        <w:trPr>
          <w:trHeight w:val="421"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9"/>
                <w:szCs w:val="19"/>
              </w:rPr>
            </w:pPr>
            <w:r>
              <w:rPr>
                <w:rFonts w:ascii="Times New Roman"/>
                <w:spacing w:val="-8"/>
                <w:w w:val="105"/>
                <w:sz w:val="19"/>
              </w:rPr>
              <w:t>18</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一种生产方法及装置</w:t>
            </w:r>
            <w:r>
              <w:rPr>
                <w:rFonts w:ascii="宋体" w:hAnsi="宋体" w:cs="宋体" w:eastAsia="宋体" w:hint="default"/>
                <w:spacing w:val="3"/>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225" w:right="0"/>
              <w:jc w:val="left"/>
              <w:rPr>
                <w:rFonts w:ascii="Times New Roman" w:hAnsi="Times New Roman" w:cs="Times New Roman" w:eastAsia="Times New Roman" w:hint="default"/>
                <w:sz w:val="19"/>
                <w:szCs w:val="19"/>
              </w:rPr>
            </w:pPr>
            <w:r>
              <w:rPr>
                <w:rFonts w:ascii="Times New Roman"/>
                <w:w w:val="105"/>
                <w:sz w:val="19"/>
              </w:rPr>
              <w:t>ZL</w:t>
            </w:r>
            <w:r>
              <w:rPr>
                <w:rFonts w:ascii="Times New Roman"/>
                <w:spacing w:val="-6"/>
                <w:w w:val="105"/>
                <w:sz w:val="19"/>
              </w:rPr>
              <w:t> </w:t>
            </w:r>
            <w:r>
              <w:rPr>
                <w:rFonts w:ascii="Times New Roman"/>
                <w:w w:val="105"/>
                <w:sz w:val="19"/>
              </w:rPr>
              <w:t>201610080811.6</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6"/>
              <w:jc w:val="center"/>
              <w:rPr>
                <w:rFonts w:ascii="Times New Roman" w:hAnsi="Times New Roman" w:cs="Times New Roman" w:eastAsia="Times New Roman" w:hint="default"/>
                <w:sz w:val="19"/>
                <w:szCs w:val="19"/>
              </w:rPr>
            </w:pPr>
            <w:r>
              <w:rPr>
                <w:rFonts w:ascii="Times New Roman"/>
                <w:w w:val="105"/>
                <w:sz w:val="19"/>
              </w:rPr>
              <w:t>2016/2/5</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240" w:right="0"/>
              <w:jc w:val="left"/>
              <w:rPr>
                <w:rFonts w:ascii="Times New Roman" w:hAnsi="Times New Roman" w:cs="Times New Roman" w:eastAsia="Times New Roman" w:hint="default"/>
                <w:sz w:val="19"/>
                <w:szCs w:val="19"/>
              </w:rPr>
            </w:pPr>
            <w:r>
              <w:rPr>
                <w:rFonts w:ascii="Times New Roman"/>
                <w:w w:val="105"/>
                <w:sz w:val="19"/>
              </w:rPr>
              <w:t>2019/3/5</w:t>
            </w:r>
            <w:r>
              <w:rPr>
                <w:rFonts w:ascii="Times New Roman"/>
                <w:sz w:val="19"/>
              </w:rPr>
            </w:r>
          </w:p>
        </w:tc>
      </w:tr>
      <w:tr>
        <w:trPr>
          <w:trHeight w:val="435"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9"/>
                <w:szCs w:val="19"/>
              </w:rPr>
            </w:pPr>
            <w:r>
              <w:rPr>
                <w:rFonts w:ascii="Times New Roman"/>
                <w:spacing w:val="-8"/>
                <w:w w:val="105"/>
                <w:sz w:val="19"/>
              </w:rPr>
              <w:t>19</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一种交互式电子签名方法</w:t>
            </w:r>
            <w:r>
              <w:rPr>
                <w:rFonts w:ascii="宋体" w:hAnsi="宋体" w:cs="宋体" w:eastAsia="宋体" w:hint="default"/>
                <w:spacing w:val="3"/>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225" w:right="0"/>
              <w:jc w:val="left"/>
              <w:rPr>
                <w:rFonts w:ascii="Times New Roman" w:hAnsi="Times New Roman" w:cs="Times New Roman" w:eastAsia="Times New Roman" w:hint="default"/>
                <w:sz w:val="19"/>
                <w:szCs w:val="19"/>
              </w:rPr>
            </w:pPr>
            <w:r>
              <w:rPr>
                <w:rFonts w:ascii="Times New Roman"/>
                <w:w w:val="105"/>
                <w:sz w:val="19"/>
              </w:rPr>
              <w:t>ZL</w:t>
            </w:r>
            <w:r>
              <w:rPr>
                <w:rFonts w:ascii="Times New Roman"/>
                <w:spacing w:val="-6"/>
                <w:w w:val="105"/>
                <w:sz w:val="19"/>
              </w:rPr>
              <w:t> </w:t>
            </w:r>
            <w:r>
              <w:rPr>
                <w:rFonts w:ascii="Times New Roman"/>
                <w:w w:val="105"/>
                <w:sz w:val="19"/>
              </w:rPr>
              <w:t>201510208447.2</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21"/>
              <w:jc w:val="center"/>
              <w:rPr>
                <w:rFonts w:ascii="Times New Roman" w:hAnsi="Times New Roman" w:cs="Times New Roman" w:eastAsia="Times New Roman" w:hint="default"/>
                <w:sz w:val="19"/>
                <w:szCs w:val="19"/>
              </w:rPr>
            </w:pPr>
            <w:r>
              <w:rPr>
                <w:rFonts w:ascii="Times New Roman"/>
                <w:w w:val="105"/>
                <w:sz w:val="19"/>
              </w:rPr>
              <w:t>2015/4/28</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240" w:right="0"/>
              <w:jc w:val="left"/>
              <w:rPr>
                <w:rFonts w:ascii="Times New Roman" w:hAnsi="Times New Roman" w:cs="Times New Roman" w:eastAsia="Times New Roman" w:hint="default"/>
                <w:sz w:val="19"/>
                <w:szCs w:val="19"/>
              </w:rPr>
            </w:pPr>
            <w:r>
              <w:rPr>
                <w:rFonts w:ascii="Times New Roman"/>
                <w:w w:val="105"/>
                <w:sz w:val="19"/>
              </w:rPr>
              <w:t>2019/3/5</w:t>
            </w:r>
            <w:r>
              <w:rPr>
                <w:rFonts w:ascii="Times New Roman"/>
                <w:sz w:val="19"/>
              </w:rPr>
            </w:r>
          </w:p>
        </w:tc>
      </w:tr>
      <w:tr>
        <w:trPr>
          <w:trHeight w:val="420"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9"/>
                <w:szCs w:val="19"/>
              </w:rPr>
            </w:pPr>
            <w:r>
              <w:rPr>
                <w:rFonts w:ascii="Times New Roman"/>
                <w:spacing w:val="-8"/>
                <w:w w:val="105"/>
                <w:sz w:val="19"/>
              </w:rPr>
              <w:t>20</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一种协商会话密钥的方法及智能密钥设备</w:t>
            </w:r>
            <w:r>
              <w:rPr>
                <w:rFonts w:ascii="宋体" w:hAnsi="宋体" w:cs="宋体" w:eastAsia="宋体" w:hint="default"/>
                <w:spacing w:val="3"/>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225" w:right="0"/>
              <w:jc w:val="left"/>
              <w:rPr>
                <w:rFonts w:ascii="Times New Roman" w:hAnsi="Times New Roman" w:cs="Times New Roman" w:eastAsia="Times New Roman" w:hint="default"/>
                <w:sz w:val="19"/>
                <w:szCs w:val="19"/>
              </w:rPr>
            </w:pPr>
            <w:r>
              <w:rPr>
                <w:rFonts w:ascii="Times New Roman"/>
                <w:w w:val="105"/>
                <w:sz w:val="19"/>
              </w:rPr>
              <w:t>ZL</w:t>
            </w:r>
            <w:r>
              <w:rPr>
                <w:rFonts w:ascii="Times New Roman"/>
                <w:spacing w:val="-6"/>
                <w:w w:val="105"/>
                <w:sz w:val="19"/>
              </w:rPr>
              <w:t> </w:t>
            </w:r>
            <w:r>
              <w:rPr>
                <w:rFonts w:ascii="Times New Roman"/>
                <w:w w:val="105"/>
                <w:sz w:val="19"/>
              </w:rPr>
              <w:t>201511001009.5</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8"/>
              <w:jc w:val="center"/>
              <w:rPr>
                <w:rFonts w:ascii="Times New Roman" w:hAnsi="Times New Roman" w:cs="Times New Roman" w:eastAsia="Times New Roman" w:hint="default"/>
                <w:sz w:val="19"/>
                <w:szCs w:val="19"/>
              </w:rPr>
            </w:pPr>
            <w:r>
              <w:rPr>
                <w:rFonts w:ascii="Times New Roman"/>
                <w:w w:val="105"/>
                <w:sz w:val="19"/>
              </w:rPr>
              <w:t>2015/12/28</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240" w:right="0"/>
              <w:jc w:val="left"/>
              <w:rPr>
                <w:rFonts w:ascii="Times New Roman" w:hAnsi="Times New Roman" w:cs="Times New Roman" w:eastAsia="Times New Roman" w:hint="default"/>
                <w:sz w:val="19"/>
                <w:szCs w:val="19"/>
              </w:rPr>
            </w:pPr>
            <w:r>
              <w:rPr>
                <w:rFonts w:ascii="Times New Roman"/>
                <w:w w:val="105"/>
                <w:sz w:val="19"/>
              </w:rPr>
              <w:t>2019/3/5</w:t>
            </w:r>
            <w:r>
              <w:rPr>
                <w:rFonts w:ascii="Times New Roman"/>
                <w:sz w:val="19"/>
              </w:rPr>
            </w:r>
          </w:p>
        </w:tc>
      </w:tr>
      <w:tr>
        <w:trPr>
          <w:trHeight w:val="436"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9"/>
                <w:szCs w:val="19"/>
              </w:rPr>
            </w:pPr>
            <w:r>
              <w:rPr>
                <w:rFonts w:ascii="Times New Roman"/>
                <w:spacing w:val="-8"/>
                <w:w w:val="105"/>
                <w:sz w:val="19"/>
              </w:rPr>
              <w:t>21</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一种基于蓝牙设备的绑定方法和装置</w:t>
            </w:r>
            <w:r>
              <w:rPr>
                <w:rFonts w:ascii="宋体" w:hAnsi="宋体" w:cs="宋体" w:eastAsia="宋体" w:hint="default"/>
                <w:spacing w:val="3"/>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225" w:right="0"/>
              <w:jc w:val="left"/>
              <w:rPr>
                <w:rFonts w:ascii="Times New Roman" w:hAnsi="Times New Roman" w:cs="Times New Roman" w:eastAsia="Times New Roman" w:hint="default"/>
                <w:sz w:val="19"/>
                <w:szCs w:val="19"/>
              </w:rPr>
            </w:pPr>
            <w:r>
              <w:rPr>
                <w:rFonts w:ascii="Times New Roman"/>
                <w:w w:val="105"/>
                <w:sz w:val="19"/>
              </w:rPr>
              <w:t>ZL</w:t>
            </w:r>
            <w:r>
              <w:rPr>
                <w:rFonts w:ascii="Times New Roman"/>
                <w:spacing w:val="-6"/>
                <w:w w:val="105"/>
                <w:sz w:val="19"/>
              </w:rPr>
              <w:t> </w:t>
            </w:r>
            <w:r>
              <w:rPr>
                <w:rFonts w:ascii="Times New Roman"/>
                <w:w w:val="105"/>
                <w:sz w:val="19"/>
              </w:rPr>
              <w:t>201610067798.0</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1"/>
              <w:jc w:val="center"/>
              <w:rPr>
                <w:rFonts w:ascii="Times New Roman" w:hAnsi="Times New Roman" w:cs="Times New Roman" w:eastAsia="Times New Roman" w:hint="default"/>
                <w:sz w:val="19"/>
                <w:szCs w:val="19"/>
              </w:rPr>
            </w:pPr>
            <w:r>
              <w:rPr>
                <w:rFonts w:ascii="Times New Roman"/>
                <w:w w:val="105"/>
                <w:sz w:val="19"/>
              </w:rPr>
              <w:t>2016/1/30</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240" w:right="0"/>
              <w:jc w:val="left"/>
              <w:rPr>
                <w:rFonts w:ascii="Times New Roman" w:hAnsi="Times New Roman" w:cs="Times New Roman" w:eastAsia="Times New Roman" w:hint="default"/>
                <w:sz w:val="19"/>
                <w:szCs w:val="19"/>
              </w:rPr>
            </w:pPr>
            <w:r>
              <w:rPr>
                <w:rFonts w:ascii="Times New Roman"/>
                <w:w w:val="105"/>
                <w:sz w:val="19"/>
              </w:rPr>
              <w:t>2019/3/5</w:t>
            </w:r>
            <w:r>
              <w:rPr>
                <w:rFonts w:ascii="Times New Roman"/>
                <w:sz w:val="19"/>
              </w:rPr>
            </w:r>
          </w:p>
        </w:tc>
      </w:tr>
      <w:tr>
        <w:trPr>
          <w:trHeight w:val="420"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9"/>
                <w:szCs w:val="19"/>
              </w:rPr>
            </w:pPr>
            <w:r>
              <w:rPr>
                <w:rFonts w:ascii="Times New Roman"/>
                <w:spacing w:val="-8"/>
                <w:w w:val="105"/>
                <w:sz w:val="19"/>
              </w:rPr>
              <w:t>22</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一种自适应调整增益的方法及装置</w:t>
            </w:r>
            <w:r>
              <w:rPr>
                <w:rFonts w:ascii="宋体" w:hAnsi="宋体" w:cs="宋体" w:eastAsia="宋体" w:hint="default"/>
                <w:spacing w:val="3"/>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210" w:right="0"/>
              <w:jc w:val="left"/>
              <w:rPr>
                <w:rFonts w:ascii="Times New Roman" w:hAnsi="Times New Roman" w:cs="Times New Roman" w:eastAsia="Times New Roman" w:hint="default"/>
                <w:sz w:val="19"/>
                <w:szCs w:val="19"/>
              </w:rPr>
            </w:pPr>
            <w:r>
              <w:rPr>
                <w:rFonts w:ascii="Times New Roman"/>
                <w:w w:val="105"/>
                <w:sz w:val="19"/>
              </w:rPr>
              <w:t>ZL</w:t>
            </w:r>
            <w:r>
              <w:rPr>
                <w:rFonts w:ascii="Times New Roman"/>
                <w:spacing w:val="-7"/>
                <w:w w:val="105"/>
                <w:sz w:val="19"/>
              </w:rPr>
              <w:t> </w:t>
            </w:r>
            <w:r>
              <w:rPr>
                <w:rFonts w:ascii="Times New Roman"/>
                <w:w w:val="105"/>
                <w:sz w:val="19"/>
              </w:rPr>
              <w:t>201610842682.X</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21"/>
              <w:jc w:val="center"/>
              <w:rPr>
                <w:rFonts w:ascii="Times New Roman" w:hAnsi="Times New Roman" w:cs="Times New Roman" w:eastAsia="Times New Roman" w:hint="default"/>
                <w:sz w:val="19"/>
                <w:szCs w:val="19"/>
              </w:rPr>
            </w:pPr>
            <w:r>
              <w:rPr>
                <w:rFonts w:ascii="Times New Roman"/>
                <w:w w:val="105"/>
                <w:sz w:val="19"/>
              </w:rPr>
              <w:t>2016/9/22</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240" w:right="0"/>
              <w:jc w:val="left"/>
              <w:rPr>
                <w:rFonts w:ascii="Times New Roman" w:hAnsi="Times New Roman" w:cs="Times New Roman" w:eastAsia="Times New Roman" w:hint="default"/>
                <w:sz w:val="19"/>
                <w:szCs w:val="19"/>
              </w:rPr>
            </w:pPr>
            <w:r>
              <w:rPr>
                <w:rFonts w:ascii="Times New Roman"/>
                <w:w w:val="105"/>
                <w:sz w:val="19"/>
              </w:rPr>
              <w:t>2019/3/5</w:t>
            </w:r>
            <w:r>
              <w:rPr>
                <w:rFonts w:ascii="Times New Roman"/>
                <w:sz w:val="19"/>
              </w:rPr>
            </w:r>
          </w:p>
        </w:tc>
      </w:tr>
      <w:tr>
        <w:trPr>
          <w:trHeight w:val="435"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9"/>
                <w:szCs w:val="19"/>
              </w:rPr>
            </w:pPr>
            <w:r>
              <w:rPr>
                <w:rFonts w:ascii="Times New Roman"/>
                <w:spacing w:val="-8"/>
                <w:w w:val="105"/>
                <w:sz w:val="19"/>
              </w:rPr>
              <w:t>23</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z w:val="19"/>
                <w:szCs w:val="19"/>
              </w:rPr>
              <w:t>一种联机交易方法、可视金融</w:t>
            </w:r>
            <w:r>
              <w:rPr>
                <w:rFonts w:ascii="Times New Roman" w:hAnsi="Times New Roman" w:cs="Times New Roman" w:eastAsia="Times New Roman" w:hint="default"/>
                <w:sz w:val="19"/>
                <w:szCs w:val="19"/>
              </w:rPr>
              <w:t>IC</w:t>
            </w:r>
            <w:r>
              <w:rPr>
                <w:rFonts w:ascii="宋体" w:hAnsi="宋体" w:cs="宋体" w:eastAsia="宋体" w:hint="default"/>
                <w:sz w:val="19"/>
                <w:szCs w:val="19"/>
              </w:rPr>
              <w:t>卡、客户端和服务器</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225" w:right="0"/>
              <w:jc w:val="left"/>
              <w:rPr>
                <w:rFonts w:ascii="Times New Roman" w:hAnsi="Times New Roman" w:cs="Times New Roman" w:eastAsia="Times New Roman" w:hint="default"/>
                <w:sz w:val="19"/>
                <w:szCs w:val="19"/>
              </w:rPr>
            </w:pPr>
            <w:r>
              <w:rPr>
                <w:rFonts w:ascii="Times New Roman"/>
                <w:w w:val="105"/>
                <w:sz w:val="19"/>
              </w:rPr>
              <w:t>ZL</w:t>
            </w:r>
            <w:r>
              <w:rPr>
                <w:rFonts w:ascii="Times New Roman"/>
                <w:spacing w:val="-6"/>
                <w:w w:val="105"/>
                <w:sz w:val="19"/>
              </w:rPr>
              <w:t> </w:t>
            </w:r>
            <w:r>
              <w:rPr>
                <w:rFonts w:ascii="Times New Roman"/>
                <w:w w:val="105"/>
                <w:sz w:val="19"/>
              </w:rPr>
              <w:t>201610658909.5</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21"/>
              <w:jc w:val="center"/>
              <w:rPr>
                <w:rFonts w:ascii="Times New Roman" w:hAnsi="Times New Roman" w:cs="Times New Roman" w:eastAsia="Times New Roman" w:hint="default"/>
                <w:sz w:val="19"/>
                <w:szCs w:val="19"/>
              </w:rPr>
            </w:pPr>
            <w:r>
              <w:rPr>
                <w:rFonts w:ascii="Times New Roman"/>
                <w:w w:val="105"/>
                <w:sz w:val="19"/>
              </w:rPr>
              <w:t>2016/8/11</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195" w:right="0"/>
              <w:jc w:val="left"/>
              <w:rPr>
                <w:rFonts w:ascii="Times New Roman" w:hAnsi="Times New Roman" w:cs="Times New Roman" w:eastAsia="Times New Roman" w:hint="default"/>
                <w:sz w:val="19"/>
                <w:szCs w:val="19"/>
              </w:rPr>
            </w:pPr>
            <w:r>
              <w:rPr>
                <w:rFonts w:ascii="Times New Roman"/>
                <w:w w:val="105"/>
                <w:sz w:val="19"/>
              </w:rPr>
              <w:t>2019/3/15</w:t>
            </w:r>
            <w:r>
              <w:rPr>
                <w:rFonts w:ascii="Times New Roman"/>
                <w:sz w:val="19"/>
              </w:rPr>
            </w:r>
          </w:p>
        </w:tc>
      </w:tr>
      <w:tr>
        <w:trPr>
          <w:trHeight w:val="736"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19"/>
                <w:szCs w:val="19"/>
              </w:rPr>
            </w:pPr>
            <w:r>
              <w:rPr>
                <w:rFonts w:ascii="Times New Roman"/>
                <w:spacing w:val="-8"/>
                <w:w w:val="105"/>
                <w:sz w:val="19"/>
              </w:rPr>
              <w:t>24</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8"/>
              <w:ind w:right="167"/>
              <w:jc w:val="left"/>
              <w:rPr>
                <w:rFonts w:ascii="宋体" w:hAnsi="宋体" w:cs="宋体" w:eastAsia="宋体" w:hint="default"/>
                <w:sz w:val="19"/>
                <w:szCs w:val="19"/>
              </w:rPr>
            </w:pPr>
            <w:r>
              <w:rPr>
                <w:rFonts w:ascii="宋体" w:hAnsi="宋体" w:cs="宋体" w:eastAsia="宋体" w:hint="default"/>
                <w:spacing w:val="3"/>
                <w:sz w:val="19"/>
                <w:szCs w:val="19"/>
              </w:rPr>
              <w:t>一种使用蓝牙可视卡推送商品信息的方法及蓝牙可</w:t>
            </w:r>
            <w:r>
              <w:rPr>
                <w:rFonts w:ascii="宋体" w:hAnsi="宋体" w:cs="宋体" w:eastAsia="宋体" w:hint="default"/>
                <w:spacing w:val="38"/>
                <w:sz w:val="19"/>
                <w:szCs w:val="19"/>
              </w:rPr>
              <w:t> </w:t>
            </w:r>
            <w:r>
              <w:rPr>
                <w:rFonts w:ascii="宋体" w:hAnsi="宋体" w:cs="宋体" w:eastAsia="宋体" w:hint="default"/>
                <w:spacing w:val="38"/>
                <w:sz w:val="19"/>
                <w:szCs w:val="19"/>
              </w:rPr>
            </w:r>
            <w:r>
              <w:rPr>
                <w:rFonts w:ascii="宋体" w:hAnsi="宋体" w:cs="宋体" w:eastAsia="宋体" w:hint="default"/>
                <w:w w:val="105"/>
                <w:sz w:val="19"/>
                <w:szCs w:val="19"/>
              </w:rPr>
              <w:t>视卡</w:t>
            </w:r>
            <w:r>
              <w:rPr>
                <w:rFonts w:ascii="宋体" w:hAnsi="宋体" w:cs="宋体" w:eastAsia="宋体" w:hint="default"/>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225" w:right="0"/>
              <w:jc w:val="left"/>
              <w:rPr>
                <w:rFonts w:ascii="Times New Roman" w:hAnsi="Times New Roman" w:cs="Times New Roman" w:eastAsia="Times New Roman" w:hint="default"/>
                <w:sz w:val="19"/>
                <w:szCs w:val="19"/>
              </w:rPr>
            </w:pPr>
            <w:r>
              <w:rPr>
                <w:rFonts w:ascii="Times New Roman"/>
                <w:w w:val="105"/>
                <w:sz w:val="19"/>
              </w:rPr>
              <w:t>ZL</w:t>
            </w:r>
            <w:r>
              <w:rPr>
                <w:rFonts w:ascii="Times New Roman"/>
                <w:spacing w:val="-6"/>
                <w:w w:val="105"/>
                <w:sz w:val="19"/>
              </w:rPr>
              <w:t> </w:t>
            </w:r>
            <w:r>
              <w:rPr>
                <w:rFonts w:ascii="Times New Roman"/>
                <w:w w:val="105"/>
                <w:sz w:val="19"/>
              </w:rPr>
              <w:t>201610810734.5</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6"/>
              <w:jc w:val="center"/>
              <w:rPr>
                <w:rFonts w:ascii="Times New Roman" w:hAnsi="Times New Roman" w:cs="Times New Roman" w:eastAsia="Times New Roman" w:hint="default"/>
                <w:sz w:val="19"/>
                <w:szCs w:val="19"/>
              </w:rPr>
            </w:pPr>
            <w:r>
              <w:rPr>
                <w:rFonts w:ascii="Times New Roman"/>
                <w:w w:val="105"/>
                <w:sz w:val="19"/>
              </w:rPr>
              <w:t>2016/9/8</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195" w:right="0"/>
              <w:jc w:val="left"/>
              <w:rPr>
                <w:rFonts w:ascii="Times New Roman" w:hAnsi="Times New Roman" w:cs="Times New Roman" w:eastAsia="Times New Roman" w:hint="default"/>
                <w:sz w:val="19"/>
                <w:szCs w:val="19"/>
              </w:rPr>
            </w:pPr>
            <w:r>
              <w:rPr>
                <w:rFonts w:ascii="Times New Roman"/>
                <w:w w:val="105"/>
                <w:sz w:val="19"/>
              </w:rPr>
              <w:t>2019/3/15</w:t>
            </w:r>
            <w:r>
              <w:rPr>
                <w:rFonts w:ascii="Times New Roman"/>
                <w:sz w:val="19"/>
              </w:rPr>
            </w:r>
          </w:p>
        </w:tc>
      </w:tr>
      <w:tr>
        <w:trPr>
          <w:trHeight w:val="435"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9"/>
                <w:szCs w:val="19"/>
              </w:rPr>
            </w:pPr>
            <w:r>
              <w:rPr>
                <w:rFonts w:ascii="Times New Roman"/>
                <w:spacing w:val="-8"/>
                <w:w w:val="105"/>
                <w:sz w:val="19"/>
              </w:rPr>
              <w:t>25</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一种智能卡及其工作方法</w:t>
            </w:r>
            <w:r>
              <w:rPr>
                <w:rFonts w:ascii="宋体" w:hAnsi="宋体" w:cs="宋体" w:eastAsia="宋体" w:hint="default"/>
                <w:spacing w:val="3"/>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225" w:right="0"/>
              <w:jc w:val="left"/>
              <w:rPr>
                <w:rFonts w:ascii="Times New Roman" w:hAnsi="Times New Roman" w:cs="Times New Roman" w:eastAsia="Times New Roman" w:hint="default"/>
                <w:sz w:val="19"/>
                <w:szCs w:val="19"/>
              </w:rPr>
            </w:pPr>
            <w:r>
              <w:rPr>
                <w:rFonts w:ascii="Times New Roman"/>
                <w:w w:val="105"/>
                <w:sz w:val="19"/>
              </w:rPr>
              <w:t>ZL</w:t>
            </w:r>
            <w:r>
              <w:rPr>
                <w:rFonts w:ascii="Times New Roman"/>
                <w:spacing w:val="-6"/>
                <w:w w:val="105"/>
                <w:sz w:val="19"/>
              </w:rPr>
              <w:t> </w:t>
            </w:r>
            <w:r>
              <w:rPr>
                <w:rFonts w:ascii="Times New Roman"/>
                <w:w w:val="105"/>
                <w:sz w:val="19"/>
              </w:rPr>
              <w:t>201610621287.9</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21"/>
              <w:jc w:val="center"/>
              <w:rPr>
                <w:rFonts w:ascii="Times New Roman" w:hAnsi="Times New Roman" w:cs="Times New Roman" w:eastAsia="Times New Roman" w:hint="default"/>
                <w:sz w:val="19"/>
                <w:szCs w:val="19"/>
              </w:rPr>
            </w:pPr>
            <w:r>
              <w:rPr>
                <w:rFonts w:ascii="Times New Roman"/>
                <w:w w:val="105"/>
                <w:sz w:val="19"/>
              </w:rPr>
              <w:t>2016/7/31</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195" w:right="0"/>
              <w:jc w:val="left"/>
              <w:rPr>
                <w:rFonts w:ascii="Times New Roman" w:hAnsi="Times New Roman" w:cs="Times New Roman" w:eastAsia="Times New Roman" w:hint="default"/>
                <w:sz w:val="19"/>
                <w:szCs w:val="19"/>
              </w:rPr>
            </w:pPr>
            <w:r>
              <w:rPr>
                <w:rFonts w:ascii="Times New Roman"/>
                <w:w w:val="105"/>
                <w:sz w:val="19"/>
              </w:rPr>
              <w:t>2019/3/15</w:t>
            </w:r>
            <w:r>
              <w:rPr>
                <w:rFonts w:ascii="Times New Roman"/>
                <w:sz w:val="19"/>
              </w:rPr>
            </w:r>
          </w:p>
        </w:tc>
      </w:tr>
      <w:tr>
        <w:trPr>
          <w:trHeight w:val="421"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19"/>
                <w:szCs w:val="19"/>
              </w:rPr>
            </w:pPr>
            <w:r>
              <w:rPr>
                <w:rFonts w:ascii="Times New Roman"/>
                <w:spacing w:val="-8"/>
                <w:w w:val="105"/>
                <w:sz w:val="19"/>
              </w:rPr>
              <w:t>26</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一种指纹管理方法及系统</w:t>
            </w:r>
            <w:r>
              <w:rPr>
                <w:rFonts w:ascii="宋体" w:hAnsi="宋体" w:cs="宋体" w:eastAsia="宋体" w:hint="default"/>
                <w:spacing w:val="3"/>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225" w:right="0"/>
              <w:jc w:val="left"/>
              <w:rPr>
                <w:rFonts w:ascii="Times New Roman" w:hAnsi="Times New Roman" w:cs="Times New Roman" w:eastAsia="Times New Roman" w:hint="default"/>
                <w:sz w:val="19"/>
                <w:szCs w:val="19"/>
              </w:rPr>
            </w:pPr>
            <w:r>
              <w:rPr>
                <w:rFonts w:ascii="Times New Roman"/>
                <w:w w:val="105"/>
                <w:sz w:val="19"/>
              </w:rPr>
              <w:t>ZL</w:t>
            </w:r>
            <w:r>
              <w:rPr>
                <w:rFonts w:ascii="Times New Roman"/>
                <w:spacing w:val="-6"/>
                <w:w w:val="105"/>
                <w:sz w:val="19"/>
              </w:rPr>
              <w:t> </w:t>
            </w:r>
            <w:r>
              <w:rPr>
                <w:rFonts w:ascii="Times New Roman"/>
                <w:w w:val="105"/>
                <w:sz w:val="19"/>
              </w:rPr>
              <w:t>201810434979.1</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6"/>
              <w:jc w:val="center"/>
              <w:rPr>
                <w:rFonts w:ascii="Times New Roman" w:hAnsi="Times New Roman" w:cs="Times New Roman" w:eastAsia="Times New Roman" w:hint="default"/>
                <w:sz w:val="19"/>
                <w:szCs w:val="19"/>
              </w:rPr>
            </w:pPr>
            <w:r>
              <w:rPr>
                <w:rFonts w:ascii="Times New Roman"/>
                <w:w w:val="105"/>
                <w:sz w:val="19"/>
              </w:rPr>
              <w:t>2018/5/9</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195" w:right="0"/>
              <w:jc w:val="left"/>
              <w:rPr>
                <w:rFonts w:ascii="Times New Roman" w:hAnsi="Times New Roman" w:cs="Times New Roman" w:eastAsia="Times New Roman" w:hint="default"/>
                <w:sz w:val="19"/>
                <w:szCs w:val="19"/>
              </w:rPr>
            </w:pPr>
            <w:r>
              <w:rPr>
                <w:rFonts w:ascii="Times New Roman"/>
                <w:w w:val="105"/>
                <w:sz w:val="19"/>
              </w:rPr>
              <w:t>2019/3/29</w:t>
            </w:r>
            <w:r>
              <w:rPr>
                <w:rFonts w:ascii="Times New Roman"/>
                <w:sz w:val="19"/>
              </w:rPr>
            </w:r>
          </w:p>
        </w:tc>
      </w:tr>
      <w:tr>
        <w:trPr>
          <w:trHeight w:val="420"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9"/>
                <w:szCs w:val="19"/>
              </w:rPr>
            </w:pPr>
            <w:r>
              <w:rPr>
                <w:rFonts w:ascii="Times New Roman"/>
                <w:spacing w:val="-8"/>
                <w:w w:val="105"/>
                <w:sz w:val="19"/>
              </w:rPr>
              <w:t>27</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4"/>
                <w:w w:val="105"/>
                <w:sz w:val="19"/>
                <w:szCs w:val="19"/>
              </w:rPr>
              <w:t>一种具有指纹验证功能的金融卡及其工作方法</w:t>
            </w:r>
            <w:r>
              <w:rPr>
                <w:rFonts w:ascii="宋体" w:hAnsi="宋体" w:cs="宋体" w:eastAsia="宋体" w:hint="default"/>
                <w:spacing w:val="4"/>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225" w:right="0"/>
              <w:jc w:val="left"/>
              <w:rPr>
                <w:rFonts w:ascii="Times New Roman" w:hAnsi="Times New Roman" w:cs="Times New Roman" w:eastAsia="Times New Roman" w:hint="default"/>
                <w:sz w:val="19"/>
                <w:szCs w:val="19"/>
              </w:rPr>
            </w:pPr>
            <w:r>
              <w:rPr>
                <w:rFonts w:ascii="Times New Roman"/>
                <w:w w:val="105"/>
                <w:sz w:val="19"/>
              </w:rPr>
              <w:t>ZL</w:t>
            </w:r>
            <w:r>
              <w:rPr>
                <w:rFonts w:ascii="Times New Roman"/>
                <w:spacing w:val="-6"/>
                <w:w w:val="105"/>
                <w:sz w:val="19"/>
              </w:rPr>
              <w:t> </w:t>
            </w:r>
            <w:r>
              <w:rPr>
                <w:rFonts w:ascii="Times New Roman"/>
                <w:w w:val="105"/>
                <w:sz w:val="19"/>
              </w:rPr>
              <w:t>201711306207.1</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8"/>
              <w:jc w:val="center"/>
              <w:rPr>
                <w:rFonts w:ascii="Times New Roman" w:hAnsi="Times New Roman" w:cs="Times New Roman" w:eastAsia="Times New Roman" w:hint="default"/>
                <w:sz w:val="19"/>
                <w:szCs w:val="19"/>
              </w:rPr>
            </w:pPr>
            <w:r>
              <w:rPr>
                <w:rFonts w:ascii="Times New Roman"/>
                <w:w w:val="105"/>
                <w:sz w:val="19"/>
              </w:rPr>
              <w:t>2017/12/11</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195" w:right="0"/>
              <w:jc w:val="left"/>
              <w:rPr>
                <w:rFonts w:ascii="Times New Roman" w:hAnsi="Times New Roman" w:cs="Times New Roman" w:eastAsia="Times New Roman" w:hint="default"/>
                <w:sz w:val="19"/>
                <w:szCs w:val="19"/>
              </w:rPr>
            </w:pPr>
            <w:r>
              <w:rPr>
                <w:rFonts w:ascii="Times New Roman"/>
                <w:w w:val="105"/>
                <w:sz w:val="19"/>
              </w:rPr>
              <w:t>2019/3/29</w:t>
            </w:r>
            <w:r>
              <w:rPr>
                <w:rFonts w:ascii="Times New Roman"/>
                <w:sz w:val="19"/>
              </w:rPr>
            </w:r>
          </w:p>
        </w:tc>
      </w:tr>
      <w:tr>
        <w:trPr>
          <w:trHeight w:val="436"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9"/>
                <w:szCs w:val="19"/>
              </w:rPr>
            </w:pPr>
            <w:r>
              <w:rPr>
                <w:rFonts w:ascii="Times New Roman"/>
                <w:spacing w:val="-8"/>
                <w:w w:val="105"/>
                <w:sz w:val="19"/>
              </w:rPr>
              <w:t>28</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4"/>
                <w:w w:val="105"/>
                <w:sz w:val="19"/>
                <w:szCs w:val="19"/>
              </w:rPr>
              <w:t>一种连接蓝牙设备的方法及装置</w:t>
            </w:r>
            <w:r>
              <w:rPr>
                <w:rFonts w:ascii="宋体" w:hAnsi="宋体" w:cs="宋体" w:eastAsia="宋体" w:hint="default"/>
                <w:spacing w:val="4"/>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225" w:right="0"/>
              <w:jc w:val="left"/>
              <w:rPr>
                <w:rFonts w:ascii="Times New Roman" w:hAnsi="Times New Roman" w:cs="Times New Roman" w:eastAsia="Times New Roman" w:hint="default"/>
                <w:sz w:val="19"/>
                <w:szCs w:val="19"/>
              </w:rPr>
            </w:pPr>
            <w:r>
              <w:rPr>
                <w:rFonts w:ascii="Times New Roman"/>
                <w:w w:val="105"/>
                <w:sz w:val="19"/>
              </w:rPr>
              <w:t>ZL</w:t>
            </w:r>
            <w:r>
              <w:rPr>
                <w:rFonts w:ascii="Times New Roman"/>
                <w:spacing w:val="-6"/>
                <w:w w:val="105"/>
                <w:sz w:val="19"/>
              </w:rPr>
              <w:t> </w:t>
            </w:r>
            <w:r>
              <w:rPr>
                <w:rFonts w:ascii="Times New Roman"/>
                <w:w w:val="105"/>
                <w:sz w:val="19"/>
              </w:rPr>
              <w:t>201510824405.1</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8"/>
              <w:jc w:val="center"/>
              <w:rPr>
                <w:rFonts w:ascii="Times New Roman" w:hAnsi="Times New Roman" w:cs="Times New Roman" w:eastAsia="Times New Roman" w:hint="default"/>
                <w:sz w:val="19"/>
                <w:szCs w:val="19"/>
              </w:rPr>
            </w:pPr>
            <w:r>
              <w:rPr>
                <w:rFonts w:ascii="Times New Roman"/>
                <w:w w:val="105"/>
                <w:sz w:val="19"/>
              </w:rPr>
              <w:t>2015/11/24</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195" w:right="0"/>
              <w:jc w:val="left"/>
              <w:rPr>
                <w:rFonts w:ascii="Times New Roman" w:hAnsi="Times New Roman" w:cs="Times New Roman" w:eastAsia="Times New Roman" w:hint="default"/>
                <w:sz w:val="19"/>
                <w:szCs w:val="19"/>
              </w:rPr>
            </w:pPr>
            <w:r>
              <w:rPr>
                <w:rFonts w:ascii="Times New Roman"/>
                <w:w w:val="105"/>
                <w:sz w:val="19"/>
              </w:rPr>
              <w:t>2019/3/29</w:t>
            </w:r>
            <w:r>
              <w:rPr>
                <w:rFonts w:ascii="Times New Roman"/>
                <w:sz w:val="19"/>
              </w:rPr>
            </w:r>
          </w:p>
        </w:tc>
      </w:tr>
      <w:tr>
        <w:trPr>
          <w:trHeight w:val="420"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9"/>
                <w:szCs w:val="19"/>
              </w:rPr>
            </w:pPr>
            <w:r>
              <w:rPr>
                <w:rFonts w:ascii="Times New Roman"/>
                <w:spacing w:val="-8"/>
                <w:w w:val="105"/>
                <w:sz w:val="19"/>
              </w:rPr>
              <w:t>29</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4"/>
                <w:w w:val="105"/>
                <w:sz w:val="19"/>
                <w:szCs w:val="19"/>
              </w:rPr>
              <w:t>一种在线解锁的实现方法及装置</w:t>
            </w:r>
            <w:r>
              <w:rPr>
                <w:rFonts w:ascii="宋体" w:hAnsi="宋体" w:cs="宋体" w:eastAsia="宋体" w:hint="default"/>
                <w:spacing w:val="4"/>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225" w:right="0"/>
              <w:jc w:val="left"/>
              <w:rPr>
                <w:rFonts w:ascii="Times New Roman" w:hAnsi="Times New Roman" w:cs="Times New Roman" w:eastAsia="Times New Roman" w:hint="default"/>
                <w:sz w:val="19"/>
                <w:szCs w:val="19"/>
              </w:rPr>
            </w:pPr>
            <w:r>
              <w:rPr>
                <w:rFonts w:ascii="Times New Roman"/>
                <w:w w:val="105"/>
                <w:sz w:val="19"/>
              </w:rPr>
              <w:t>ZL</w:t>
            </w:r>
            <w:r>
              <w:rPr>
                <w:rFonts w:ascii="Times New Roman"/>
                <w:spacing w:val="-6"/>
                <w:w w:val="105"/>
                <w:sz w:val="19"/>
              </w:rPr>
              <w:t> </w:t>
            </w:r>
            <w:r>
              <w:rPr>
                <w:rFonts w:ascii="Times New Roman"/>
                <w:w w:val="105"/>
                <w:sz w:val="19"/>
              </w:rPr>
              <w:t>201610833664.5</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21"/>
              <w:jc w:val="center"/>
              <w:rPr>
                <w:rFonts w:ascii="Times New Roman" w:hAnsi="Times New Roman" w:cs="Times New Roman" w:eastAsia="Times New Roman" w:hint="default"/>
                <w:sz w:val="19"/>
                <w:szCs w:val="19"/>
              </w:rPr>
            </w:pPr>
            <w:r>
              <w:rPr>
                <w:rFonts w:ascii="Times New Roman"/>
                <w:w w:val="105"/>
                <w:sz w:val="19"/>
              </w:rPr>
              <w:t>2016/9/20</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195" w:right="0"/>
              <w:jc w:val="left"/>
              <w:rPr>
                <w:rFonts w:ascii="Times New Roman" w:hAnsi="Times New Roman" w:cs="Times New Roman" w:eastAsia="Times New Roman" w:hint="default"/>
                <w:sz w:val="19"/>
                <w:szCs w:val="19"/>
              </w:rPr>
            </w:pPr>
            <w:r>
              <w:rPr>
                <w:rFonts w:ascii="Times New Roman"/>
                <w:w w:val="105"/>
                <w:sz w:val="19"/>
              </w:rPr>
              <w:t>2019/3/29</w:t>
            </w:r>
            <w:r>
              <w:rPr>
                <w:rFonts w:ascii="Times New Roman"/>
                <w:sz w:val="19"/>
              </w:rPr>
            </w:r>
          </w:p>
        </w:tc>
      </w:tr>
      <w:tr>
        <w:trPr>
          <w:trHeight w:val="435"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9"/>
                <w:szCs w:val="19"/>
              </w:rPr>
            </w:pPr>
            <w:r>
              <w:rPr>
                <w:rFonts w:ascii="Times New Roman"/>
                <w:spacing w:val="-8"/>
                <w:w w:val="105"/>
                <w:sz w:val="19"/>
              </w:rPr>
              <w:t>30</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一种对智能密钥设备进行测试的方法及装置</w:t>
            </w:r>
            <w:r>
              <w:rPr>
                <w:rFonts w:ascii="宋体" w:hAnsi="宋体" w:cs="宋体" w:eastAsia="宋体" w:hint="default"/>
                <w:spacing w:val="3"/>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225" w:right="0"/>
              <w:jc w:val="left"/>
              <w:rPr>
                <w:rFonts w:ascii="Times New Roman" w:hAnsi="Times New Roman" w:cs="Times New Roman" w:eastAsia="Times New Roman" w:hint="default"/>
                <w:sz w:val="19"/>
                <w:szCs w:val="19"/>
              </w:rPr>
            </w:pPr>
            <w:r>
              <w:rPr>
                <w:rFonts w:ascii="Times New Roman"/>
                <w:w w:val="105"/>
                <w:sz w:val="19"/>
              </w:rPr>
              <w:t>ZL</w:t>
            </w:r>
            <w:r>
              <w:rPr>
                <w:rFonts w:ascii="Times New Roman"/>
                <w:spacing w:val="-6"/>
                <w:w w:val="105"/>
                <w:sz w:val="19"/>
              </w:rPr>
              <w:t> </w:t>
            </w:r>
            <w:r>
              <w:rPr>
                <w:rFonts w:ascii="Times New Roman"/>
                <w:w w:val="105"/>
                <w:sz w:val="19"/>
              </w:rPr>
              <w:t>201610949255.1</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8"/>
              <w:jc w:val="center"/>
              <w:rPr>
                <w:rFonts w:ascii="Times New Roman" w:hAnsi="Times New Roman" w:cs="Times New Roman" w:eastAsia="Times New Roman" w:hint="default"/>
                <w:sz w:val="19"/>
                <w:szCs w:val="19"/>
              </w:rPr>
            </w:pPr>
            <w:r>
              <w:rPr>
                <w:rFonts w:ascii="Times New Roman"/>
                <w:w w:val="105"/>
                <w:sz w:val="19"/>
              </w:rPr>
              <w:t>2016/10/26</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195" w:right="0"/>
              <w:jc w:val="left"/>
              <w:rPr>
                <w:rFonts w:ascii="Times New Roman" w:hAnsi="Times New Roman" w:cs="Times New Roman" w:eastAsia="Times New Roman" w:hint="default"/>
                <w:sz w:val="19"/>
                <w:szCs w:val="19"/>
              </w:rPr>
            </w:pPr>
            <w:r>
              <w:rPr>
                <w:rFonts w:ascii="Times New Roman"/>
                <w:w w:val="105"/>
                <w:sz w:val="19"/>
              </w:rPr>
              <w:t>2019/3/29</w:t>
            </w:r>
            <w:r>
              <w:rPr>
                <w:rFonts w:ascii="Times New Roman"/>
                <w:sz w:val="19"/>
              </w:rPr>
            </w:r>
          </w:p>
        </w:tc>
      </w:tr>
      <w:tr>
        <w:trPr>
          <w:trHeight w:val="346"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9"/>
                <w:szCs w:val="19"/>
              </w:rPr>
            </w:pPr>
            <w:r>
              <w:rPr>
                <w:rFonts w:ascii="Times New Roman"/>
                <w:spacing w:val="-8"/>
                <w:w w:val="105"/>
                <w:sz w:val="19"/>
              </w:rPr>
              <w:t>31</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一种通过精确分区保护程序存储空间的方法及装置</w:t>
            </w:r>
            <w:r>
              <w:rPr>
                <w:rFonts w:ascii="宋体" w:hAnsi="宋体" w:cs="宋体" w:eastAsia="宋体" w:hint="default"/>
                <w:spacing w:val="3"/>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55" w:right="0"/>
              <w:jc w:val="left"/>
              <w:rPr>
                <w:rFonts w:ascii="Times New Roman" w:hAnsi="Times New Roman" w:cs="Times New Roman" w:eastAsia="Times New Roman" w:hint="default"/>
                <w:sz w:val="19"/>
                <w:szCs w:val="19"/>
              </w:rPr>
            </w:pPr>
            <w:r>
              <w:rPr>
                <w:rFonts w:ascii="Times New Roman"/>
                <w:w w:val="105"/>
                <w:sz w:val="19"/>
              </w:rPr>
              <w:t>ZL201610006042.5</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6"/>
              <w:jc w:val="center"/>
              <w:rPr>
                <w:rFonts w:ascii="Times New Roman" w:hAnsi="Times New Roman" w:cs="Times New Roman" w:eastAsia="Times New Roman" w:hint="default"/>
                <w:sz w:val="19"/>
                <w:szCs w:val="19"/>
              </w:rPr>
            </w:pPr>
            <w:r>
              <w:rPr>
                <w:rFonts w:ascii="Times New Roman"/>
                <w:w w:val="105"/>
                <w:sz w:val="19"/>
              </w:rPr>
              <w:t>2016/1/5</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95" w:right="0"/>
              <w:jc w:val="left"/>
              <w:rPr>
                <w:rFonts w:ascii="Times New Roman" w:hAnsi="Times New Roman" w:cs="Times New Roman" w:eastAsia="Times New Roman" w:hint="default"/>
                <w:sz w:val="19"/>
                <w:szCs w:val="19"/>
              </w:rPr>
            </w:pPr>
            <w:r>
              <w:rPr>
                <w:rFonts w:ascii="Times New Roman"/>
                <w:w w:val="105"/>
                <w:sz w:val="19"/>
              </w:rPr>
              <w:t>2019/4/12</w:t>
            </w:r>
            <w:r>
              <w:rPr>
                <w:rFonts w:ascii="Times New Roman"/>
                <w:sz w:val="19"/>
              </w:rPr>
            </w:r>
          </w:p>
        </w:tc>
      </w:tr>
      <w:tr>
        <w:trPr>
          <w:trHeight w:val="420"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9"/>
                <w:szCs w:val="19"/>
              </w:rPr>
            </w:pPr>
            <w:r>
              <w:rPr>
                <w:rFonts w:ascii="Times New Roman"/>
                <w:spacing w:val="-8"/>
                <w:w w:val="105"/>
                <w:sz w:val="19"/>
              </w:rPr>
              <w:t>32</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left"/>
              <w:rPr>
                <w:rFonts w:ascii="宋体" w:hAnsi="宋体" w:cs="宋体" w:eastAsia="宋体" w:hint="default"/>
                <w:sz w:val="19"/>
                <w:szCs w:val="19"/>
              </w:rPr>
            </w:pPr>
            <w:r>
              <w:rPr>
                <w:rFonts w:ascii="宋体" w:hAnsi="宋体" w:cs="宋体" w:eastAsia="宋体" w:hint="default"/>
                <w:spacing w:val="4"/>
                <w:w w:val="105"/>
                <w:sz w:val="19"/>
                <w:szCs w:val="19"/>
              </w:rPr>
              <w:t>一种智能密钥设备及其工作方法</w:t>
            </w:r>
            <w:r>
              <w:rPr>
                <w:rFonts w:ascii="宋体" w:hAnsi="宋体" w:cs="宋体" w:eastAsia="宋体" w:hint="default"/>
                <w:spacing w:val="4"/>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55" w:right="0"/>
              <w:jc w:val="left"/>
              <w:rPr>
                <w:rFonts w:ascii="Times New Roman" w:hAnsi="Times New Roman" w:cs="Times New Roman" w:eastAsia="Times New Roman" w:hint="default"/>
                <w:sz w:val="19"/>
                <w:szCs w:val="19"/>
              </w:rPr>
            </w:pPr>
            <w:r>
              <w:rPr>
                <w:rFonts w:ascii="Times New Roman"/>
                <w:w w:val="105"/>
                <w:sz w:val="19"/>
              </w:rPr>
              <w:t>ZL201610366154.1</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21"/>
              <w:jc w:val="center"/>
              <w:rPr>
                <w:rFonts w:ascii="Times New Roman" w:hAnsi="Times New Roman" w:cs="Times New Roman" w:eastAsia="Times New Roman" w:hint="default"/>
                <w:sz w:val="19"/>
                <w:szCs w:val="19"/>
              </w:rPr>
            </w:pPr>
            <w:r>
              <w:rPr>
                <w:rFonts w:ascii="Times New Roman"/>
                <w:w w:val="105"/>
                <w:sz w:val="19"/>
              </w:rPr>
              <w:t>2016/5/27</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5" w:right="0"/>
              <w:jc w:val="left"/>
              <w:rPr>
                <w:rFonts w:ascii="Times New Roman" w:hAnsi="Times New Roman" w:cs="Times New Roman" w:eastAsia="Times New Roman" w:hint="default"/>
                <w:sz w:val="19"/>
                <w:szCs w:val="19"/>
              </w:rPr>
            </w:pPr>
            <w:r>
              <w:rPr>
                <w:rFonts w:ascii="Times New Roman"/>
                <w:w w:val="105"/>
                <w:sz w:val="19"/>
              </w:rPr>
              <w:t>2019/7/16</w:t>
            </w:r>
            <w:r>
              <w:rPr>
                <w:rFonts w:ascii="Times New Roman"/>
                <w:sz w:val="19"/>
              </w:rPr>
            </w:r>
          </w:p>
        </w:tc>
      </w:tr>
      <w:tr>
        <w:trPr>
          <w:trHeight w:val="435"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9"/>
                <w:szCs w:val="19"/>
              </w:rPr>
            </w:pPr>
            <w:r>
              <w:rPr>
                <w:rFonts w:ascii="Times New Roman"/>
                <w:spacing w:val="-8"/>
                <w:w w:val="105"/>
                <w:sz w:val="19"/>
              </w:rPr>
              <w:t>33</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left"/>
              <w:rPr>
                <w:rFonts w:ascii="宋体" w:hAnsi="宋体" w:cs="宋体" w:eastAsia="宋体" w:hint="default"/>
                <w:sz w:val="19"/>
                <w:szCs w:val="19"/>
              </w:rPr>
            </w:pPr>
            <w:r>
              <w:rPr>
                <w:rFonts w:ascii="宋体" w:hAnsi="宋体" w:cs="宋体" w:eastAsia="宋体" w:hint="default"/>
                <w:spacing w:val="4"/>
                <w:w w:val="105"/>
                <w:sz w:val="19"/>
                <w:szCs w:val="19"/>
              </w:rPr>
              <w:t>一种增强无卡支付交易安全性的方法和信用卡</w:t>
            </w:r>
            <w:r>
              <w:rPr>
                <w:rFonts w:ascii="宋体" w:hAnsi="宋体" w:cs="宋体" w:eastAsia="宋体" w:hint="default"/>
                <w:spacing w:val="4"/>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55" w:right="0"/>
              <w:jc w:val="left"/>
              <w:rPr>
                <w:rFonts w:ascii="Times New Roman" w:hAnsi="Times New Roman" w:cs="Times New Roman" w:eastAsia="Times New Roman" w:hint="default"/>
                <w:sz w:val="19"/>
                <w:szCs w:val="19"/>
              </w:rPr>
            </w:pPr>
            <w:r>
              <w:rPr>
                <w:rFonts w:ascii="Times New Roman"/>
                <w:w w:val="105"/>
                <w:sz w:val="19"/>
              </w:rPr>
              <w:t>ZL201711486563.6</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8"/>
              <w:jc w:val="center"/>
              <w:rPr>
                <w:rFonts w:ascii="Times New Roman" w:hAnsi="Times New Roman" w:cs="Times New Roman" w:eastAsia="Times New Roman" w:hint="default"/>
                <w:sz w:val="19"/>
                <w:szCs w:val="19"/>
              </w:rPr>
            </w:pPr>
            <w:r>
              <w:rPr>
                <w:rFonts w:ascii="Times New Roman"/>
                <w:w w:val="105"/>
                <w:sz w:val="19"/>
              </w:rPr>
              <w:t>2017/12/29</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5" w:right="0"/>
              <w:jc w:val="left"/>
              <w:rPr>
                <w:rFonts w:ascii="Times New Roman" w:hAnsi="Times New Roman" w:cs="Times New Roman" w:eastAsia="Times New Roman" w:hint="default"/>
                <w:sz w:val="19"/>
                <w:szCs w:val="19"/>
              </w:rPr>
            </w:pPr>
            <w:r>
              <w:rPr>
                <w:rFonts w:ascii="Times New Roman"/>
                <w:w w:val="105"/>
                <w:sz w:val="19"/>
              </w:rPr>
              <w:t>2019/4/12</w:t>
            </w:r>
            <w:r>
              <w:rPr>
                <w:rFonts w:ascii="Times New Roman"/>
                <w:sz w:val="19"/>
              </w:rPr>
            </w:r>
          </w:p>
        </w:tc>
      </w:tr>
      <w:tr>
        <w:trPr>
          <w:trHeight w:val="421"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9"/>
                <w:szCs w:val="19"/>
              </w:rPr>
            </w:pPr>
            <w:r>
              <w:rPr>
                <w:rFonts w:ascii="Times New Roman"/>
                <w:spacing w:val="-8"/>
                <w:w w:val="105"/>
                <w:sz w:val="19"/>
              </w:rPr>
              <w:t>34</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left"/>
              <w:rPr>
                <w:rFonts w:ascii="宋体" w:hAnsi="宋体" w:cs="宋体" w:eastAsia="宋体" w:hint="default"/>
                <w:sz w:val="19"/>
                <w:szCs w:val="19"/>
              </w:rPr>
            </w:pPr>
            <w:r>
              <w:rPr>
                <w:rFonts w:ascii="宋体" w:hAnsi="宋体" w:cs="宋体" w:eastAsia="宋体" w:hint="default"/>
                <w:spacing w:val="4"/>
                <w:w w:val="105"/>
                <w:sz w:val="19"/>
                <w:szCs w:val="19"/>
              </w:rPr>
              <w:t>电子邮件签名方法、装置及系统</w:t>
            </w:r>
            <w:r>
              <w:rPr>
                <w:rFonts w:ascii="宋体" w:hAnsi="宋体" w:cs="宋体" w:eastAsia="宋体" w:hint="default"/>
                <w:spacing w:val="4"/>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55" w:right="0"/>
              <w:jc w:val="left"/>
              <w:rPr>
                <w:rFonts w:ascii="Times New Roman" w:hAnsi="Times New Roman" w:cs="Times New Roman" w:eastAsia="Times New Roman" w:hint="default"/>
                <w:sz w:val="19"/>
                <w:szCs w:val="19"/>
              </w:rPr>
            </w:pPr>
            <w:r>
              <w:rPr>
                <w:rFonts w:ascii="Times New Roman"/>
                <w:w w:val="105"/>
                <w:sz w:val="19"/>
              </w:rPr>
              <w:t>ZL201610329454.2</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1"/>
              <w:jc w:val="center"/>
              <w:rPr>
                <w:rFonts w:ascii="Times New Roman" w:hAnsi="Times New Roman" w:cs="Times New Roman" w:eastAsia="Times New Roman" w:hint="default"/>
                <w:sz w:val="19"/>
                <w:szCs w:val="19"/>
              </w:rPr>
            </w:pPr>
            <w:r>
              <w:rPr>
                <w:rFonts w:ascii="Times New Roman"/>
                <w:w w:val="105"/>
                <w:sz w:val="19"/>
              </w:rPr>
              <w:t>2016/5/18</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95" w:right="0"/>
              <w:jc w:val="left"/>
              <w:rPr>
                <w:rFonts w:ascii="Times New Roman" w:hAnsi="Times New Roman" w:cs="Times New Roman" w:eastAsia="Times New Roman" w:hint="default"/>
                <w:sz w:val="19"/>
                <w:szCs w:val="19"/>
              </w:rPr>
            </w:pPr>
            <w:r>
              <w:rPr>
                <w:rFonts w:ascii="Times New Roman"/>
                <w:w w:val="105"/>
                <w:sz w:val="19"/>
              </w:rPr>
              <w:t>2019/7/16</w:t>
            </w:r>
            <w:r>
              <w:rPr>
                <w:rFonts w:ascii="Times New Roman"/>
                <w:sz w:val="19"/>
              </w:rPr>
            </w:r>
          </w:p>
        </w:tc>
      </w:tr>
      <w:tr>
        <w:trPr>
          <w:trHeight w:val="435"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9"/>
                <w:szCs w:val="19"/>
              </w:rPr>
            </w:pPr>
            <w:r>
              <w:rPr>
                <w:rFonts w:ascii="Times New Roman"/>
                <w:spacing w:val="-8"/>
                <w:w w:val="105"/>
                <w:sz w:val="19"/>
              </w:rPr>
              <w:t>35</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一种信息推送方法及系统</w:t>
            </w:r>
            <w:r>
              <w:rPr>
                <w:rFonts w:ascii="宋体" w:hAnsi="宋体" w:cs="宋体" w:eastAsia="宋体" w:hint="default"/>
                <w:spacing w:val="3"/>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55" w:right="0"/>
              <w:jc w:val="left"/>
              <w:rPr>
                <w:rFonts w:ascii="Times New Roman" w:hAnsi="Times New Roman" w:cs="Times New Roman" w:eastAsia="Times New Roman" w:hint="default"/>
                <w:sz w:val="19"/>
                <w:szCs w:val="19"/>
              </w:rPr>
            </w:pPr>
            <w:r>
              <w:rPr>
                <w:rFonts w:ascii="Times New Roman"/>
                <w:w w:val="105"/>
                <w:sz w:val="19"/>
              </w:rPr>
              <w:t>ZL201610765061.6</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1"/>
              <w:jc w:val="center"/>
              <w:rPr>
                <w:rFonts w:ascii="Times New Roman" w:hAnsi="Times New Roman" w:cs="Times New Roman" w:eastAsia="Times New Roman" w:hint="default"/>
                <w:sz w:val="19"/>
                <w:szCs w:val="19"/>
              </w:rPr>
            </w:pPr>
            <w:r>
              <w:rPr>
                <w:rFonts w:ascii="Times New Roman"/>
                <w:w w:val="105"/>
                <w:sz w:val="19"/>
              </w:rPr>
              <w:t>2016/8/30</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5" w:right="0"/>
              <w:jc w:val="left"/>
              <w:rPr>
                <w:rFonts w:ascii="Times New Roman" w:hAnsi="Times New Roman" w:cs="Times New Roman" w:eastAsia="Times New Roman" w:hint="default"/>
                <w:sz w:val="19"/>
                <w:szCs w:val="19"/>
              </w:rPr>
            </w:pPr>
            <w:r>
              <w:rPr>
                <w:rFonts w:ascii="Times New Roman"/>
                <w:w w:val="105"/>
                <w:sz w:val="19"/>
              </w:rPr>
              <w:t>2019/4/19</w:t>
            </w:r>
            <w:r>
              <w:rPr>
                <w:rFonts w:ascii="Times New Roman"/>
                <w:sz w:val="19"/>
              </w:rPr>
            </w:r>
          </w:p>
        </w:tc>
      </w:tr>
      <w:tr>
        <w:trPr>
          <w:trHeight w:val="420"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9"/>
                <w:szCs w:val="19"/>
              </w:rPr>
            </w:pPr>
            <w:r>
              <w:rPr>
                <w:rFonts w:ascii="Times New Roman"/>
                <w:spacing w:val="-8"/>
                <w:w w:val="105"/>
                <w:sz w:val="19"/>
              </w:rPr>
              <w:t>36</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一种身份认证方法及装置</w:t>
            </w:r>
            <w:r>
              <w:rPr>
                <w:rFonts w:ascii="宋体" w:hAnsi="宋体" w:cs="宋体" w:eastAsia="宋体" w:hint="default"/>
                <w:spacing w:val="3"/>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55" w:right="0"/>
              <w:jc w:val="left"/>
              <w:rPr>
                <w:rFonts w:ascii="Times New Roman" w:hAnsi="Times New Roman" w:cs="Times New Roman" w:eastAsia="Times New Roman" w:hint="default"/>
                <w:sz w:val="19"/>
                <w:szCs w:val="19"/>
              </w:rPr>
            </w:pPr>
            <w:r>
              <w:rPr>
                <w:rFonts w:ascii="Times New Roman"/>
                <w:w w:val="105"/>
                <w:sz w:val="19"/>
              </w:rPr>
              <w:t>ZL201610368089.6</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21"/>
              <w:jc w:val="center"/>
              <w:rPr>
                <w:rFonts w:ascii="Times New Roman" w:hAnsi="Times New Roman" w:cs="Times New Roman" w:eastAsia="Times New Roman" w:hint="default"/>
                <w:sz w:val="19"/>
                <w:szCs w:val="19"/>
              </w:rPr>
            </w:pPr>
            <w:r>
              <w:rPr>
                <w:rFonts w:ascii="Times New Roman"/>
                <w:w w:val="105"/>
                <w:sz w:val="19"/>
              </w:rPr>
              <w:t>2016/5/30</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5" w:right="0"/>
              <w:jc w:val="left"/>
              <w:rPr>
                <w:rFonts w:ascii="Times New Roman" w:hAnsi="Times New Roman" w:cs="Times New Roman" w:eastAsia="Times New Roman" w:hint="default"/>
                <w:sz w:val="19"/>
                <w:szCs w:val="19"/>
              </w:rPr>
            </w:pPr>
            <w:r>
              <w:rPr>
                <w:rFonts w:ascii="Times New Roman"/>
                <w:w w:val="105"/>
                <w:sz w:val="19"/>
              </w:rPr>
              <w:t>2019/4/12</w:t>
            </w:r>
            <w:r>
              <w:rPr>
                <w:rFonts w:ascii="Times New Roman"/>
                <w:sz w:val="19"/>
              </w:rPr>
            </w:r>
          </w:p>
        </w:tc>
      </w:tr>
      <w:tr>
        <w:trPr>
          <w:trHeight w:val="435"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9"/>
                <w:szCs w:val="19"/>
              </w:rPr>
            </w:pPr>
            <w:r>
              <w:rPr>
                <w:rFonts w:ascii="Times New Roman"/>
                <w:spacing w:val="-8"/>
                <w:w w:val="105"/>
                <w:sz w:val="19"/>
              </w:rPr>
              <w:t>37</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一种生物特征对比的认证方法及系统</w:t>
            </w:r>
            <w:r>
              <w:rPr>
                <w:rFonts w:ascii="宋体" w:hAnsi="宋体" w:cs="宋体" w:eastAsia="宋体" w:hint="default"/>
                <w:spacing w:val="3"/>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55" w:right="0"/>
              <w:jc w:val="left"/>
              <w:rPr>
                <w:rFonts w:ascii="Times New Roman" w:hAnsi="Times New Roman" w:cs="Times New Roman" w:eastAsia="Times New Roman" w:hint="default"/>
                <w:sz w:val="19"/>
                <w:szCs w:val="19"/>
              </w:rPr>
            </w:pPr>
            <w:r>
              <w:rPr>
                <w:rFonts w:ascii="Times New Roman"/>
                <w:w w:val="105"/>
                <w:sz w:val="19"/>
              </w:rPr>
              <w:t>ZL201610584160.4</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21"/>
              <w:jc w:val="center"/>
              <w:rPr>
                <w:rFonts w:ascii="Times New Roman" w:hAnsi="Times New Roman" w:cs="Times New Roman" w:eastAsia="Times New Roman" w:hint="default"/>
                <w:sz w:val="19"/>
                <w:szCs w:val="19"/>
              </w:rPr>
            </w:pPr>
            <w:r>
              <w:rPr>
                <w:rFonts w:ascii="Times New Roman"/>
                <w:w w:val="105"/>
                <w:sz w:val="19"/>
              </w:rPr>
              <w:t>2016/7/22</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5" w:right="0"/>
              <w:jc w:val="left"/>
              <w:rPr>
                <w:rFonts w:ascii="Times New Roman" w:hAnsi="Times New Roman" w:cs="Times New Roman" w:eastAsia="Times New Roman" w:hint="default"/>
                <w:sz w:val="19"/>
                <w:szCs w:val="19"/>
              </w:rPr>
            </w:pPr>
            <w:r>
              <w:rPr>
                <w:rFonts w:ascii="Times New Roman"/>
                <w:w w:val="105"/>
                <w:sz w:val="19"/>
              </w:rPr>
              <w:t>2019/4/12</w:t>
            </w:r>
            <w:r>
              <w:rPr>
                <w:rFonts w:ascii="Times New Roman"/>
                <w:sz w:val="19"/>
              </w:rPr>
            </w:r>
          </w:p>
        </w:tc>
      </w:tr>
      <w:tr>
        <w:trPr>
          <w:trHeight w:val="420"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19"/>
                <w:szCs w:val="19"/>
              </w:rPr>
            </w:pPr>
            <w:r>
              <w:rPr>
                <w:rFonts w:ascii="Times New Roman"/>
                <w:spacing w:val="-8"/>
                <w:w w:val="105"/>
                <w:sz w:val="19"/>
              </w:rPr>
              <w:t>38</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r>
              <w:rPr>
                <w:rFonts w:ascii="宋体" w:hAnsi="宋体" w:cs="宋体" w:eastAsia="宋体" w:hint="default"/>
                <w:spacing w:val="4"/>
                <w:w w:val="105"/>
                <w:sz w:val="19"/>
                <w:szCs w:val="19"/>
              </w:rPr>
              <w:t>适用于数字货币的密钥派生方法及装置</w:t>
            </w:r>
            <w:r>
              <w:rPr>
                <w:rFonts w:ascii="宋体" w:hAnsi="宋体" w:cs="宋体" w:eastAsia="宋体" w:hint="default"/>
                <w:spacing w:val="4"/>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255" w:right="0"/>
              <w:jc w:val="left"/>
              <w:rPr>
                <w:rFonts w:ascii="Times New Roman" w:hAnsi="Times New Roman" w:cs="Times New Roman" w:eastAsia="Times New Roman" w:hint="default"/>
                <w:sz w:val="19"/>
                <w:szCs w:val="19"/>
              </w:rPr>
            </w:pPr>
            <w:r>
              <w:rPr>
                <w:rFonts w:ascii="Times New Roman"/>
                <w:w w:val="105"/>
                <w:sz w:val="19"/>
              </w:rPr>
              <w:t>ZL201610792595.8</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21"/>
              <w:jc w:val="center"/>
              <w:rPr>
                <w:rFonts w:ascii="Times New Roman" w:hAnsi="Times New Roman" w:cs="Times New Roman" w:eastAsia="Times New Roman" w:hint="default"/>
                <w:sz w:val="19"/>
                <w:szCs w:val="19"/>
              </w:rPr>
            </w:pPr>
            <w:r>
              <w:rPr>
                <w:rFonts w:ascii="Times New Roman"/>
                <w:w w:val="105"/>
                <w:sz w:val="19"/>
              </w:rPr>
              <w:t>2016/8/31</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95" w:right="0"/>
              <w:jc w:val="left"/>
              <w:rPr>
                <w:rFonts w:ascii="Times New Roman" w:hAnsi="Times New Roman" w:cs="Times New Roman" w:eastAsia="Times New Roman" w:hint="default"/>
                <w:sz w:val="19"/>
                <w:szCs w:val="19"/>
              </w:rPr>
            </w:pPr>
            <w:r>
              <w:rPr>
                <w:rFonts w:ascii="Times New Roman"/>
                <w:w w:val="105"/>
                <w:sz w:val="19"/>
              </w:rPr>
              <w:t>2019/7/16</w:t>
            </w:r>
            <w:r>
              <w:rPr>
                <w:rFonts w:ascii="Times New Roman"/>
                <w:sz w:val="19"/>
              </w:rPr>
            </w:r>
          </w:p>
        </w:tc>
      </w:tr>
      <w:tr>
        <w:trPr>
          <w:trHeight w:val="435"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9"/>
                <w:szCs w:val="19"/>
              </w:rPr>
            </w:pPr>
            <w:r>
              <w:rPr>
                <w:rFonts w:ascii="Times New Roman"/>
                <w:spacing w:val="-8"/>
                <w:w w:val="105"/>
                <w:sz w:val="19"/>
              </w:rPr>
              <w:t>39</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3"/>
                <w:w w:val="105"/>
                <w:sz w:val="19"/>
                <w:szCs w:val="19"/>
              </w:rPr>
              <w:t>双接口认证设备及其工作方法</w:t>
            </w:r>
            <w:r>
              <w:rPr>
                <w:rFonts w:ascii="宋体" w:hAnsi="宋体" w:cs="宋体" w:eastAsia="宋体" w:hint="default"/>
                <w:spacing w:val="3"/>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255" w:right="0"/>
              <w:jc w:val="left"/>
              <w:rPr>
                <w:rFonts w:ascii="Times New Roman" w:hAnsi="Times New Roman" w:cs="Times New Roman" w:eastAsia="Times New Roman" w:hint="default"/>
                <w:sz w:val="19"/>
                <w:szCs w:val="19"/>
              </w:rPr>
            </w:pPr>
            <w:r>
              <w:rPr>
                <w:rFonts w:ascii="Times New Roman"/>
                <w:w w:val="105"/>
                <w:sz w:val="19"/>
              </w:rPr>
              <w:t>ZL201610118010.4</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6"/>
              <w:jc w:val="center"/>
              <w:rPr>
                <w:rFonts w:ascii="Times New Roman" w:hAnsi="Times New Roman" w:cs="Times New Roman" w:eastAsia="Times New Roman" w:hint="default"/>
                <w:sz w:val="19"/>
                <w:szCs w:val="19"/>
              </w:rPr>
            </w:pPr>
            <w:r>
              <w:rPr>
                <w:rFonts w:ascii="Times New Roman"/>
                <w:w w:val="105"/>
                <w:sz w:val="19"/>
              </w:rPr>
              <w:t>2016/3/2</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195" w:right="0"/>
              <w:jc w:val="left"/>
              <w:rPr>
                <w:rFonts w:ascii="Times New Roman" w:hAnsi="Times New Roman" w:cs="Times New Roman" w:eastAsia="Times New Roman" w:hint="default"/>
                <w:sz w:val="19"/>
                <w:szCs w:val="19"/>
              </w:rPr>
            </w:pPr>
            <w:r>
              <w:rPr>
                <w:rFonts w:ascii="Times New Roman"/>
                <w:w w:val="105"/>
                <w:sz w:val="19"/>
              </w:rPr>
              <w:t>2019/5/10</w:t>
            </w:r>
            <w:r>
              <w:rPr>
                <w:rFonts w:ascii="Times New Roman"/>
                <w:sz w:val="19"/>
              </w:rPr>
            </w:r>
          </w:p>
        </w:tc>
      </w:tr>
    </w:tbl>
    <w:p>
      <w:pPr>
        <w:spacing w:after="0" w:line="240" w:lineRule="auto"/>
        <w:jc w:val="left"/>
        <w:rPr>
          <w:rFonts w:ascii="Times New Roman" w:hAnsi="Times New Roman" w:cs="Times New Roman" w:eastAsia="Times New Roman" w:hint="default"/>
          <w:sz w:val="19"/>
          <w:szCs w:val="19"/>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676"/>
        <w:gridCol w:w="4566"/>
        <w:gridCol w:w="2132"/>
        <w:gridCol w:w="1082"/>
        <w:gridCol w:w="1216"/>
      </w:tblGrid>
      <w:tr>
        <w:trPr>
          <w:trHeight w:val="420"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9"/>
                <w:szCs w:val="19"/>
              </w:rPr>
            </w:pPr>
            <w:r>
              <w:rPr>
                <w:rFonts w:ascii="Times New Roman"/>
                <w:spacing w:val="-8"/>
                <w:w w:val="105"/>
                <w:sz w:val="19"/>
              </w:rPr>
              <w:t>40</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一种远程日志获取方法及系统</w:t>
            </w:r>
            <w:r>
              <w:rPr>
                <w:rFonts w:ascii="宋体" w:hAnsi="宋体" w:cs="宋体" w:eastAsia="宋体" w:hint="default"/>
                <w:spacing w:val="3"/>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4"/>
              <w:jc w:val="center"/>
              <w:rPr>
                <w:rFonts w:ascii="Times New Roman" w:hAnsi="Times New Roman" w:cs="Times New Roman" w:eastAsia="Times New Roman" w:hint="default"/>
                <w:sz w:val="19"/>
                <w:szCs w:val="19"/>
              </w:rPr>
            </w:pPr>
            <w:r>
              <w:rPr>
                <w:rFonts w:ascii="Times New Roman"/>
                <w:w w:val="105"/>
                <w:sz w:val="19"/>
              </w:rPr>
              <w:t>ZL201710004147.1</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6"/>
              <w:jc w:val="center"/>
              <w:rPr>
                <w:rFonts w:ascii="Times New Roman" w:hAnsi="Times New Roman" w:cs="Times New Roman" w:eastAsia="Times New Roman" w:hint="default"/>
                <w:sz w:val="19"/>
                <w:szCs w:val="19"/>
              </w:rPr>
            </w:pPr>
            <w:r>
              <w:rPr>
                <w:rFonts w:ascii="Times New Roman"/>
                <w:w w:val="105"/>
                <w:sz w:val="19"/>
              </w:rPr>
              <w:t>2017/1/4</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5" w:right="0"/>
              <w:jc w:val="left"/>
              <w:rPr>
                <w:rFonts w:ascii="Times New Roman" w:hAnsi="Times New Roman" w:cs="Times New Roman" w:eastAsia="Times New Roman" w:hint="default"/>
                <w:sz w:val="19"/>
                <w:szCs w:val="19"/>
              </w:rPr>
            </w:pPr>
            <w:r>
              <w:rPr>
                <w:rFonts w:ascii="Times New Roman"/>
                <w:w w:val="105"/>
                <w:sz w:val="19"/>
              </w:rPr>
              <w:t>2019/5/10</w:t>
            </w:r>
            <w:r>
              <w:rPr>
                <w:rFonts w:ascii="Times New Roman"/>
                <w:sz w:val="19"/>
              </w:rPr>
            </w:r>
          </w:p>
        </w:tc>
      </w:tr>
      <w:tr>
        <w:trPr>
          <w:trHeight w:val="435"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9"/>
                <w:szCs w:val="19"/>
              </w:rPr>
            </w:pPr>
            <w:r>
              <w:rPr>
                <w:rFonts w:ascii="Times New Roman"/>
                <w:spacing w:val="-8"/>
                <w:w w:val="105"/>
                <w:sz w:val="19"/>
              </w:rPr>
              <w:t>41</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一种对智能卡应用进行初始化的方法和装置</w:t>
            </w:r>
            <w:r>
              <w:rPr>
                <w:rFonts w:ascii="宋体" w:hAnsi="宋体" w:cs="宋体" w:eastAsia="宋体" w:hint="default"/>
                <w:spacing w:val="3"/>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4"/>
              <w:jc w:val="center"/>
              <w:rPr>
                <w:rFonts w:ascii="Times New Roman" w:hAnsi="Times New Roman" w:cs="Times New Roman" w:eastAsia="Times New Roman" w:hint="default"/>
                <w:sz w:val="19"/>
                <w:szCs w:val="19"/>
              </w:rPr>
            </w:pPr>
            <w:r>
              <w:rPr>
                <w:rFonts w:ascii="Times New Roman"/>
                <w:w w:val="105"/>
                <w:sz w:val="19"/>
              </w:rPr>
              <w:t>ZL201610067035.6</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1"/>
              <w:jc w:val="center"/>
              <w:rPr>
                <w:rFonts w:ascii="Times New Roman" w:hAnsi="Times New Roman" w:cs="Times New Roman" w:eastAsia="Times New Roman" w:hint="default"/>
                <w:sz w:val="19"/>
                <w:szCs w:val="19"/>
              </w:rPr>
            </w:pPr>
            <w:r>
              <w:rPr>
                <w:rFonts w:ascii="Times New Roman"/>
                <w:w w:val="105"/>
                <w:sz w:val="19"/>
              </w:rPr>
              <w:t>2016/1/30</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95" w:right="0"/>
              <w:jc w:val="left"/>
              <w:rPr>
                <w:rFonts w:ascii="Times New Roman" w:hAnsi="Times New Roman" w:cs="Times New Roman" w:eastAsia="Times New Roman" w:hint="default"/>
                <w:sz w:val="19"/>
                <w:szCs w:val="19"/>
              </w:rPr>
            </w:pPr>
            <w:r>
              <w:rPr>
                <w:rFonts w:ascii="Times New Roman"/>
                <w:w w:val="105"/>
                <w:sz w:val="19"/>
              </w:rPr>
              <w:t>2019/5/10</w:t>
            </w:r>
            <w:r>
              <w:rPr>
                <w:rFonts w:ascii="Times New Roman"/>
                <w:sz w:val="19"/>
              </w:rPr>
            </w:r>
          </w:p>
        </w:tc>
      </w:tr>
      <w:tr>
        <w:trPr>
          <w:trHeight w:val="420"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9"/>
                <w:szCs w:val="19"/>
              </w:rPr>
            </w:pPr>
            <w:r>
              <w:rPr>
                <w:rFonts w:ascii="Times New Roman"/>
                <w:spacing w:val="-8"/>
                <w:w w:val="105"/>
                <w:sz w:val="19"/>
              </w:rPr>
              <w:t>42</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一种链路会话密钥协商方法及装置</w:t>
            </w:r>
            <w:r>
              <w:rPr>
                <w:rFonts w:ascii="宋体" w:hAnsi="宋体" w:cs="宋体" w:eastAsia="宋体" w:hint="default"/>
                <w:spacing w:val="3"/>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4"/>
              <w:jc w:val="center"/>
              <w:rPr>
                <w:rFonts w:ascii="Times New Roman" w:hAnsi="Times New Roman" w:cs="Times New Roman" w:eastAsia="Times New Roman" w:hint="default"/>
                <w:sz w:val="19"/>
                <w:szCs w:val="19"/>
              </w:rPr>
            </w:pPr>
            <w:r>
              <w:rPr>
                <w:rFonts w:ascii="Times New Roman"/>
                <w:w w:val="105"/>
                <w:sz w:val="19"/>
              </w:rPr>
              <w:t>ZL201610045975.5</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1"/>
              <w:jc w:val="center"/>
              <w:rPr>
                <w:rFonts w:ascii="Times New Roman" w:hAnsi="Times New Roman" w:cs="Times New Roman" w:eastAsia="Times New Roman" w:hint="default"/>
                <w:sz w:val="19"/>
                <w:szCs w:val="19"/>
              </w:rPr>
            </w:pPr>
            <w:r>
              <w:rPr>
                <w:rFonts w:ascii="Times New Roman"/>
                <w:w w:val="105"/>
                <w:sz w:val="19"/>
              </w:rPr>
              <w:t>2016/1/25</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5" w:right="0"/>
              <w:jc w:val="left"/>
              <w:rPr>
                <w:rFonts w:ascii="Times New Roman" w:hAnsi="Times New Roman" w:cs="Times New Roman" w:eastAsia="Times New Roman" w:hint="default"/>
                <w:sz w:val="19"/>
                <w:szCs w:val="19"/>
              </w:rPr>
            </w:pPr>
            <w:r>
              <w:rPr>
                <w:rFonts w:ascii="Times New Roman"/>
                <w:w w:val="105"/>
                <w:sz w:val="19"/>
              </w:rPr>
              <w:t>2019/5/10</w:t>
            </w:r>
            <w:r>
              <w:rPr>
                <w:rFonts w:ascii="Times New Roman"/>
                <w:sz w:val="19"/>
              </w:rPr>
            </w:r>
          </w:p>
        </w:tc>
      </w:tr>
      <w:tr>
        <w:trPr>
          <w:trHeight w:val="436"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9"/>
                <w:szCs w:val="19"/>
              </w:rPr>
            </w:pPr>
            <w:r>
              <w:rPr>
                <w:rFonts w:ascii="Times New Roman"/>
                <w:spacing w:val="-8"/>
                <w:w w:val="105"/>
                <w:sz w:val="19"/>
              </w:rPr>
              <w:t>43</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4"/>
                <w:w w:val="105"/>
                <w:sz w:val="19"/>
                <w:szCs w:val="19"/>
              </w:rPr>
              <w:t>一种与苹果终端进行通讯的方法及设备</w:t>
            </w:r>
            <w:r>
              <w:rPr>
                <w:rFonts w:ascii="宋体" w:hAnsi="宋体" w:cs="宋体" w:eastAsia="宋体" w:hint="default"/>
                <w:spacing w:val="4"/>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24"/>
              <w:jc w:val="center"/>
              <w:rPr>
                <w:rFonts w:ascii="Times New Roman" w:hAnsi="Times New Roman" w:cs="Times New Roman" w:eastAsia="Times New Roman" w:hint="default"/>
                <w:sz w:val="19"/>
                <w:szCs w:val="19"/>
              </w:rPr>
            </w:pPr>
            <w:r>
              <w:rPr>
                <w:rFonts w:ascii="Times New Roman"/>
                <w:w w:val="105"/>
                <w:sz w:val="19"/>
              </w:rPr>
              <w:t>ZL201610366286.4</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21"/>
              <w:jc w:val="center"/>
              <w:rPr>
                <w:rFonts w:ascii="Times New Roman" w:hAnsi="Times New Roman" w:cs="Times New Roman" w:eastAsia="Times New Roman" w:hint="default"/>
                <w:sz w:val="19"/>
                <w:szCs w:val="19"/>
              </w:rPr>
            </w:pPr>
            <w:r>
              <w:rPr>
                <w:rFonts w:ascii="Times New Roman"/>
                <w:w w:val="105"/>
                <w:sz w:val="19"/>
              </w:rPr>
              <w:t>2016/5/27</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195" w:right="0"/>
              <w:jc w:val="left"/>
              <w:rPr>
                <w:rFonts w:ascii="Times New Roman" w:hAnsi="Times New Roman" w:cs="Times New Roman" w:eastAsia="Times New Roman" w:hint="default"/>
                <w:sz w:val="19"/>
                <w:szCs w:val="19"/>
              </w:rPr>
            </w:pPr>
            <w:r>
              <w:rPr>
                <w:rFonts w:ascii="Times New Roman"/>
                <w:w w:val="105"/>
                <w:sz w:val="19"/>
              </w:rPr>
              <w:t>2019/5/10</w:t>
            </w:r>
            <w:r>
              <w:rPr>
                <w:rFonts w:ascii="Times New Roman"/>
                <w:sz w:val="19"/>
              </w:rPr>
            </w:r>
          </w:p>
        </w:tc>
      </w:tr>
      <w:tr>
        <w:trPr>
          <w:trHeight w:val="420"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9"/>
                <w:szCs w:val="19"/>
              </w:rPr>
            </w:pPr>
            <w:r>
              <w:rPr>
                <w:rFonts w:ascii="Times New Roman"/>
                <w:spacing w:val="-8"/>
                <w:w w:val="105"/>
                <w:sz w:val="19"/>
              </w:rPr>
              <w:t>44</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一种基于认证设备进行认证的方法和设备</w:t>
            </w:r>
            <w:r>
              <w:rPr>
                <w:rFonts w:ascii="宋体" w:hAnsi="宋体" w:cs="宋体" w:eastAsia="宋体" w:hint="default"/>
                <w:spacing w:val="3"/>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24"/>
              <w:jc w:val="center"/>
              <w:rPr>
                <w:rFonts w:ascii="Times New Roman" w:hAnsi="Times New Roman" w:cs="Times New Roman" w:eastAsia="Times New Roman" w:hint="default"/>
                <w:sz w:val="19"/>
                <w:szCs w:val="19"/>
              </w:rPr>
            </w:pPr>
            <w:r>
              <w:rPr>
                <w:rFonts w:ascii="Times New Roman"/>
                <w:w w:val="105"/>
                <w:sz w:val="19"/>
              </w:rPr>
              <w:t>ZL201510645439.4</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21"/>
              <w:jc w:val="center"/>
              <w:rPr>
                <w:rFonts w:ascii="Times New Roman" w:hAnsi="Times New Roman" w:cs="Times New Roman" w:eastAsia="Times New Roman" w:hint="default"/>
                <w:sz w:val="19"/>
                <w:szCs w:val="19"/>
              </w:rPr>
            </w:pPr>
            <w:r>
              <w:rPr>
                <w:rFonts w:ascii="Times New Roman"/>
                <w:w w:val="105"/>
                <w:sz w:val="19"/>
              </w:rPr>
              <w:t>2015/10/8</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195" w:right="0"/>
              <w:jc w:val="left"/>
              <w:rPr>
                <w:rFonts w:ascii="Times New Roman" w:hAnsi="Times New Roman" w:cs="Times New Roman" w:eastAsia="Times New Roman" w:hint="default"/>
                <w:sz w:val="19"/>
                <w:szCs w:val="19"/>
              </w:rPr>
            </w:pPr>
            <w:r>
              <w:rPr>
                <w:rFonts w:ascii="Times New Roman"/>
                <w:w w:val="105"/>
                <w:sz w:val="19"/>
              </w:rPr>
              <w:t>2019/5/10</w:t>
            </w:r>
            <w:r>
              <w:rPr>
                <w:rFonts w:ascii="Times New Roman"/>
                <w:sz w:val="19"/>
              </w:rPr>
            </w:r>
          </w:p>
        </w:tc>
      </w:tr>
      <w:tr>
        <w:trPr>
          <w:trHeight w:val="435"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9"/>
                <w:szCs w:val="19"/>
              </w:rPr>
            </w:pPr>
            <w:r>
              <w:rPr>
                <w:rFonts w:ascii="Times New Roman"/>
                <w:spacing w:val="-8"/>
                <w:w w:val="105"/>
                <w:sz w:val="19"/>
              </w:rPr>
              <w:t>45</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4"/>
                <w:w w:val="105"/>
                <w:sz w:val="19"/>
                <w:szCs w:val="19"/>
              </w:rPr>
              <w:t>一种应用程序窗口界面更改方法及装置</w:t>
            </w:r>
            <w:r>
              <w:rPr>
                <w:rFonts w:ascii="宋体" w:hAnsi="宋体" w:cs="宋体" w:eastAsia="宋体" w:hint="default"/>
                <w:spacing w:val="4"/>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4"/>
              <w:jc w:val="center"/>
              <w:rPr>
                <w:rFonts w:ascii="Times New Roman" w:hAnsi="Times New Roman" w:cs="Times New Roman" w:eastAsia="Times New Roman" w:hint="default"/>
                <w:sz w:val="19"/>
                <w:szCs w:val="19"/>
              </w:rPr>
            </w:pPr>
            <w:r>
              <w:rPr>
                <w:rFonts w:ascii="Times New Roman"/>
                <w:w w:val="105"/>
                <w:sz w:val="19"/>
              </w:rPr>
              <w:t>ZL201510828823.8</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8"/>
              <w:jc w:val="center"/>
              <w:rPr>
                <w:rFonts w:ascii="Times New Roman" w:hAnsi="Times New Roman" w:cs="Times New Roman" w:eastAsia="Times New Roman" w:hint="default"/>
                <w:sz w:val="19"/>
                <w:szCs w:val="19"/>
              </w:rPr>
            </w:pPr>
            <w:r>
              <w:rPr>
                <w:rFonts w:ascii="Times New Roman"/>
                <w:w w:val="105"/>
                <w:sz w:val="19"/>
              </w:rPr>
              <w:t>2015/11/25</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195" w:right="0"/>
              <w:jc w:val="left"/>
              <w:rPr>
                <w:rFonts w:ascii="Times New Roman" w:hAnsi="Times New Roman" w:cs="Times New Roman" w:eastAsia="Times New Roman" w:hint="default"/>
                <w:sz w:val="19"/>
                <w:szCs w:val="19"/>
              </w:rPr>
            </w:pPr>
            <w:r>
              <w:rPr>
                <w:rFonts w:ascii="Times New Roman"/>
                <w:w w:val="105"/>
                <w:sz w:val="19"/>
              </w:rPr>
              <w:t>2019/5/10</w:t>
            </w:r>
            <w:r>
              <w:rPr>
                <w:rFonts w:ascii="Times New Roman"/>
                <w:sz w:val="19"/>
              </w:rPr>
            </w:r>
          </w:p>
        </w:tc>
      </w:tr>
      <w:tr>
        <w:trPr>
          <w:trHeight w:val="421"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0"/>
              <w:jc w:val="center"/>
              <w:rPr>
                <w:rFonts w:ascii="Times New Roman" w:hAnsi="Times New Roman" w:cs="Times New Roman" w:eastAsia="Times New Roman" w:hint="default"/>
                <w:sz w:val="19"/>
                <w:szCs w:val="19"/>
              </w:rPr>
            </w:pPr>
            <w:r>
              <w:rPr>
                <w:rFonts w:ascii="Times New Roman"/>
                <w:spacing w:val="-8"/>
                <w:w w:val="105"/>
                <w:sz w:val="19"/>
              </w:rPr>
              <w:t>46</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一种浏览器访问智能密钥设备的方法及装置</w:t>
            </w:r>
            <w:r>
              <w:rPr>
                <w:rFonts w:ascii="宋体" w:hAnsi="宋体" w:cs="宋体" w:eastAsia="宋体" w:hint="default"/>
                <w:spacing w:val="3"/>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24"/>
              <w:jc w:val="center"/>
              <w:rPr>
                <w:rFonts w:ascii="Times New Roman" w:hAnsi="Times New Roman" w:cs="Times New Roman" w:eastAsia="Times New Roman" w:hint="default"/>
                <w:sz w:val="19"/>
                <w:szCs w:val="19"/>
              </w:rPr>
            </w:pPr>
            <w:r>
              <w:rPr>
                <w:rFonts w:ascii="Times New Roman"/>
                <w:w w:val="105"/>
                <w:sz w:val="19"/>
              </w:rPr>
              <w:t>ZL201610353656.0</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21"/>
              <w:jc w:val="center"/>
              <w:rPr>
                <w:rFonts w:ascii="Times New Roman" w:hAnsi="Times New Roman" w:cs="Times New Roman" w:eastAsia="Times New Roman" w:hint="default"/>
                <w:sz w:val="19"/>
                <w:szCs w:val="19"/>
              </w:rPr>
            </w:pPr>
            <w:r>
              <w:rPr>
                <w:rFonts w:ascii="Times New Roman"/>
                <w:w w:val="105"/>
                <w:sz w:val="19"/>
              </w:rPr>
              <w:t>2016/5/25</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195" w:right="0"/>
              <w:jc w:val="left"/>
              <w:rPr>
                <w:rFonts w:ascii="Times New Roman" w:hAnsi="Times New Roman" w:cs="Times New Roman" w:eastAsia="Times New Roman" w:hint="default"/>
                <w:sz w:val="19"/>
                <w:szCs w:val="19"/>
              </w:rPr>
            </w:pPr>
            <w:r>
              <w:rPr>
                <w:rFonts w:ascii="Times New Roman"/>
                <w:w w:val="105"/>
                <w:sz w:val="19"/>
              </w:rPr>
              <w:t>2019/5/10</w:t>
            </w:r>
            <w:r>
              <w:rPr>
                <w:rFonts w:ascii="Times New Roman"/>
                <w:sz w:val="19"/>
              </w:rPr>
            </w:r>
          </w:p>
        </w:tc>
      </w:tr>
      <w:tr>
        <w:trPr>
          <w:trHeight w:val="435"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9"/>
                <w:szCs w:val="19"/>
              </w:rPr>
            </w:pPr>
            <w:r>
              <w:rPr>
                <w:rFonts w:ascii="Times New Roman"/>
                <w:spacing w:val="-8"/>
                <w:w w:val="105"/>
                <w:sz w:val="19"/>
              </w:rPr>
              <w:t>47</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4"/>
                <w:w w:val="105"/>
                <w:sz w:val="19"/>
                <w:szCs w:val="19"/>
              </w:rPr>
              <w:t>一种对称密钥的传输方法及设备</w:t>
            </w:r>
            <w:r>
              <w:rPr>
                <w:rFonts w:ascii="宋体" w:hAnsi="宋体" w:cs="宋体" w:eastAsia="宋体" w:hint="default"/>
                <w:spacing w:val="4"/>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24"/>
              <w:jc w:val="center"/>
              <w:rPr>
                <w:rFonts w:ascii="Times New Roman" w:hAnsi="Times New Roman" w:cs="Times New Roman" w:eastAsia="Times New Roman" w:hint="default"/>
                <w:sz w:val="19"/>
                <w:szCs w:val="19"/>
              </w:rPr>
            </w:pPr>
            <w:r>
              <w:rPr>
                <w:rFonts w:ascii="Times New Roman"/>
                <w:w w:val="105"/>
                <w:sz w:val="19"/>
              </w:rPr>
              <w:t>ZL201610366136.3</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21"/>
              <w:jc w:val="center"/>
              <w:rPr>
                <w:rFonts w:ascii="Times New Roman" w:hAnsi="Times New Roman" w:cs="Times New Roman" w:eastAsia="Times New Roman" w:hint="default"/>
                <w:sz w:val="19"/>
                <w:szCs w:val="19"/>
              </w:rPr>
            </w:pPr>
            <w:r>
              <w:rPr>
                <w:rFonts w:ascii="Times New Roman"/>
                <w:w w:val="105"/>
                <w:sz w:val="19"/>
              </w:rPr>
              <w:t>2016/5/27</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195" w:right="0"/>
              <w:jc w:val="left"/>
              <w:rPr>
                <w:rFonts w:ascii="Times New Roman" w:hAnsi="Times New Roman" w:cs="Times New Roman" w:eastAsia="Times New Roman" w:hint="default"/>
                <w:sz w:val="19"/>
                <w:szCs w:val="19"/>
              </w:rPr>
            </w:pPr>
            <w:r>
              <w:rPr>
                <w:rFonts w:ascii="Times New Roman"/>
                <w:w w:val="105"/>
                <w:sz w:val="19"/>
              </w:rPr>
              <w:t>2019/5/10</w:t>
            </w:r>
            <w:r>
              <w:rPr>
                <w:rFonts w:ascii="Times New Roman"/>
                <w:sz w:val="19"/>
              </w:rPr>
            </w:r>
          </w:p>
        </w:tc>
      </w:tr>
      <w:tr>
        <w:trPr>
          <w:trHeight w:val="420"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0"/>
              <w:jc w:val="center"/>
              <w:rPr>
                <w:rFonts w:ascii="Times New Roman" w:hAnsi="Times New Roman" w:cs="Times New Roman" w:eastAsia="Times New Roman" w:hint="default"/>
                <w:sz w:val="19"/>
                <w:szCs w:val="19"/>
              </w:rPr>
            </w:pPr>
            <w:r>
              <w:rPr>
                <w:rFonts w:ascii="Times New Roman"/>
                <w:spacing w:val="-8"/>
                <w:w w:val="105"/>
                <w:sz w:val="19"/>
              </w:rPr>
              <w:t>48</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一种蓝牙金融卡及其工作方法</w:t>
            </w:r>
            <w:r>
              <w:rPr>
                <w:rFonts w:ascii="宋体" w:hAnsi="宋体" w:cs="宋体" w:eastAsia="宋体" w:hint="default"/>
                <w:spacing w:val="3"/>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4"/>
              <w:jc w:val="center"/>
              <w:rPr>
                <w:rFonts w:ascii="Times New Roman" w:hAnsi="Times New Roman" w:cs="Times New Roman" w:eastAsia="Times New Roman" w:hint="default"/>
                <w:sz w:val="19"/>
                <w:szCs w:val="19"/>
              </w:rPr>
            </w:pPr>
            <w:r>
              <w:rPr>
                <w:rFonts w:ascii="Times New Roman"/>
                <w:w w:val="105"/>
                <w:sz w:val="19"/>
              </w:rPr>
              <w:t>ZL201711306185.9</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8"/>
              <w:jc w:val="center"/>
              <w:rPr>
                <w:rFonts w:ascii="Times New Roman" w:hAnsi="Times New Roman" w:cs="Times New Roman" w:eastAsia="Times New Roman" w:hint="default"/>
                <w:sz w:val="19"/>
                <w:szCs w:val="19"/>
              </w:rPr>
            </w:pPr>
            <w:r>
              <w:rPr>
                <w:rFonts w:ascii="Times New Roman"/>
                <w:w w:val="105"/>
                <w:sz w:val="19"/>
              </w:rPr>
              <w:t>2017/12/11</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95" w:right="0"/>
              <w:jc w:val="left"/>
              <w:rPr>
                <w:rFonts w:ascii="Times New Roman" w:hAnsi="Times New Roman" w:cs="Times New Roman" w:eastAsia="Times New Roman" w:hint="default"/>
                <w:sz w:val="19"/>
                <w:szCs w:val="19"/>
              </w:rPr>
            </w:pPr>
            <w:r>
              <w:rPr>
                <w:rFonts w:ascii="Times New Roman"/>
                <w:w w:val="105"/>
                <w:sz w:val="19"/>
              </w:rPr>
              <w:t>2019/5/28</w:t>
            </w:r>
            <w:r>
              <w:rPr>
                <w:rFonts w:ascii="Times New Roman"/>
                <w:sz w:val="19"/>
              </w:rPr>
            </w:r>
          </w:p>
        </w:tc>
      </w:tr>
      <w:tr>
        <w:trPr>
          <w:trHeight w:val="436"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9"/>
                <w:szCs w:val="19"/>
              </w:rPr>
            </w:pPr>
            <w:r>
              <w:rPr>
                <w:rFonts w:ascii="Times New Roman"/>
                <w:spacing w:val="-8"/>
                <w:w w:val="105"/>
                <w:sz w:val="19"/>
              </w:rPr>
              <w:t>49</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w:t>
            </w:r>
            <w:r>
              <w:rPr>
                <w:rFonts w:ascii="Times New Roman" w:hAnsi="Times New Roman" w:cs="Times New Roman" w:eastAsia="Times New Roman" w:hint="default"/>
                <w:spacing w:val="3"/>
                <w:w w:val="105"/>
                <w:sz w:val="19"/>
                <w:szCs w:val="19"/>
              </w:rPr>
              <w:t>IRP</w:t>
            </w:r>
            <w:r>
              <w:rPr>
                <w:rFonts w:ascii="宋体" w:hAnsi="宋体" w:cs="宋体" w:eastAsia="宋体" w:hint="default"/>
                <w:spacing w:val="3"/>
                <w:w w:val="105"/>
                <w:sz w:val="19"/>
                <w:szCs w:val="19"/>
              </w:rPr>
              <w:t>的处理方法及过滤驱动</w:t>
            </w:r>
            <w:r>
              <w:rPr>
                <w:rFonts w:ascii="宋体" w:hAnsi="宋体" w:cs="宋体" w:eastAsia="宋体" w:hint="default"/>
                <w:spacing w:val="3"/>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4"/>
              <w:jc w:val="center"/>
              <w:rPr>
                <w:rFonts w:ascii="Times New Roman" w:hAnsi="Times New Roman" w:cs="Times New Roman" w:eastAsia="Times New Roman" w:hint="default"/>
                <w:sz w:val="19"/>
                <w:szCs w:val="19"/>
              </w:rPr>
            </w:pPr>
            <w:r>
              <w:rPr>
                <w:rFonts w:ascii="Times New Roman"/>
                <w:w w:val="105"/>
                <w:sz w:val="19"/>
              </w:rPr>
              <w:t>ZL201610473219.2</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1"/>
              <w:jc w:val="center"/>
              <w:rPr>
                <w:rFonts w:ascii="Times New Roman" w:hAnsi="Times New Roman" w:cs="Times New Roman" w:eastAsia="Times New Roman" w:hint="default"/>
                <w:sz w:val="19"/>
                <w:szCs w:val="19"/>
              </w:rPr>
            </w:pPr>
            <w:r>
              <w:rPr>
                <w:rFonts w:ascii="Times New Roman"/>
                <w:w w:val="105"/>
                <w:sz w:val="19"/>
              </w:rPr>
              <w:t>2016/6/24</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95" w:right="0"/>
              <w:jc w:val="left"/>
              <w:rPr>
                <w:rFonts w:ascii="Times New Roman" w:hAnsi="Times New Roman" w:cs="Times New Roman" w:eastAsia="Times New Roman" w:hint="default"/>
                <w:sz w:val="19"/>
                <w:szCs w:val="19"/>
              </w:rPr>
            </w:pPr>
            <w:r>
              <w:rPr>
                <w:rFonts w:ascii="Times New Roman"/>
                <w:w w:val="105"/>
                <w:sz w:val="19"/>
              </w:rPr>
              <w:t>2019/5/28</w:t>
            </w:r>
            <w:r>
              <w:rPr>
                <w:rFonts w:ascii="Times New Roman"/>
                <w:sz w:val="19"/>
              </w:rPr>
            </w:r>
          </w:p>
        </w:tc>
      </w:tr>
      <w:tr>
        <w:trPr>
          <w:trHeight w:val="421"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0"/>
              <w:jc w:val="center"/>
              <w:rPr>
                <w:rFonts w:ascii="Times New Roman" w:hAnsi="Times New Roman" w:cs="Times New Roman" w:eastAsia="Times New Roman" w:hint="default"/>
                <w:sz w:val="19"/>
                <w:szCs w:val="19"/>
              </w:rPr>
            </w:pPr>
            <w:r>
              <w:rPr>
                <w:rFonts w:ascii="Times New Roman"/>
                <w:spacing w:val="-8"/>
                <w:w w:val="105"/>
                <w:sz w:val="19"/>
              </w:rPr>
              <w:t>50</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left"/>
              <w:rPr>
                <w:rFonts w:ascii="宋体" w:hAnsi="宋体" w:cs="宋体" w:eastAsia="宋体" w:hint="default"/>
                <w:sz w:val="19"/>
                <w:szCs w:val="19"/>
              </w:rPr>
            </w:pPr>
            <w:r>
              <w:rPr>
                <w:rFonts w:ascii="宋体" w:hAnsi="宋体" w:cs="宋体" w:eastAsia="宋体" w:hint="default"/>
                <w:spacing w:val="4"/>
                <w:w w:val="105"/>
                <w:sz w:val="19"/>
                <w:szCs w:val="19"/>
              </w:rPr>
              <w:t>一种多数字证书的签发系统、设备及其工作方法</w:t>
            </w:r>
            <w:r>
              <w:rPr>
                <w:rFonts w:ascii="宋体" w:hAnsi="宋体" w:cs="宋体" w:eastAsia="宋体" w:hint="default"/>
                <w:spacing w:val="4"/>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24"/>
              <w:jc w:val="center"/>
              <w:rPr>
                <w:rFonts w:ascii="Times New Roman" w:hAnsi="Times New Roman" w:cs="Times New Roman" w:eastAsia="Times New Roman" w:hint="default"/>
                <w:sz w:val="19"/>
                <w:szCs w:val="19"/>
              </w:rPr>
            </w:pPr>
            <w:r>
              <w:rPr>
                <w:rFonts w:ascii="Times New Roman"/>
                <w:w w:val="105"/>
                <w:sz w:val="19"/>
              </w:rPr>
              <w:t>ZL201510681362.6</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8"/>
              <w:jc w:val="center"/>
              <w:rPr>
                <w:rFonts w:ascii="Times New Roman" w:hAnsi="Times New Roman" w:cs="Times New Roman" w:eastAsia="Times New Roman" w:hint="default"/>
                <w:sz w:val="19"/>
                <w:szCs w:val="19"/>
              </w:rPr>
            </w:pPr>
            <w:r>
              <w:rPr>
                <w:rFonts w:ascii="Times New Roman"/>
                <w:w w:val="105"/>
                <w:sz w:val="19"/>
              </w:rPr>
              <w:t>2015/10/20</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95" w:right="0"/>
              <w:jc w:val="left"/>
              <w:rPr>
                <w:rFonts w:ascii="Times New Roman" w:hAnsi="Times New Roman" w:cs="Times New Roman" w:eastAsia="Times New Roman" w:hint="default"/>
                <w:sz w:val="19"/>
                <w:szCs w:val="19"/>
              </w:rPr>
            </w:pPr>
            <w:r>
              <w:rPr>
                <w:rFonts w:ascii="Times New Roman"/>
                <w:w w:val="105"/>
                <w:sz w:val="19"/>
              </w:rPr>
              <w:t>2019/6/18</w:t>
            </w:r>
            <w:r>
              <w:rPr>
                <w:rFonts w:ascii="Times New Roman"/>
                <w:sz w:val="19"/>
              </w:rPr>
            </w:r>
          </w:p>
        </w:tc>
      </w:tr>
      <w:tr>
        <w:trPr>
          <w:trHeight w:val="435"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9"/>
                <w:szCs w:val="19"/>
              </w:rPr>
            </w:pPr>
            <w:r>
              <w:rPr>
                <w:rFonts w:ascii="Times New Roman"/>
                <w:spacing w:val="-8"/>
                <w:w w:val="105"/>
                <w:sz w:val="19"/>
              </w:rPr>
              <w:t>51</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一种安全访问方法和服务器</w:t>
            </w:r>
            <w:r>
              <w:rPr>
                <w:rFonts w:ascii="宋体" w:hAnsi="宋体" w:cs="宋体" w:eastAsia="宋体" w:hint="default"/>
                <w:spacing w:val="3"/>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11"/>
              <w:jc w:val="center"/>
              <w:rPr>
                <w:rFonts w:ascii="Times New Roman" w:hAnsi="Times New Roman" w:cs="Times New Roman" w:eastAsia="Times New Roman" w:hint="default"/>
                <w:sz w:val="19"/>
                <w:szCs w:val="19"/>
              </w:rPr>
            </w:pPr>
            <w:r>
              <w:rPr>
                <w:rFonts w:ascii="Times New Roman"/>
                <w:w w:val="105"/>
                <w:sz w:val="19"/>
              </w:rPr>
              <w:t>ZL201610076506.X</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6"/>
              <w:jc w:val="center"/>
              <w:rPr>
                <w:rFonts w:ascii="Times New Roman" w:hAnsi="Times New Roman" w:cs="Times New Roman" w:eastAsia="Times New Roman" w:hint="default"/>
                <w:sz w:val="19"/>
                <w:szCs w:val="19"/>
              </w:rPr>
            </w:pPr>
            <w:r>
              <w:rPr>
                <w:rFonts w:ascii="Times New Roman"/>
                <w:w w:val="105"/>
                <w:sz w:val="19"/>
              </w:rPr>
              <w:t>2016/2/3</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195" w:right="0"/>
              <w:jc w:val="left"/>
              <w:rPr>
                <w:rFonts w:ascii="Times New Roman" w:hAnsi="Times New Roman" w:cs="Times New Roman" w:eastAsia="Times New Roman" w:hint="default"/>
                <w:sz w:val="19"/>
                <w:szCs w:val="19"/>
              </w:rPr>
            </w:pPr>
            <w:r>
              <w:rPr>
                <w:rFonts w:ascii="Times New Roman"/>
                <w:w w:val="105"/>
                <w:sz w:val="19"/>
              </w:rPr>
              <w:t>2019/6/18</w:t>
            </w:r>
            <w:r>
              <w:rPr>
                <w:rFonts w:ascii="Times New Roman"/>
                <w:sz w:val="19"/>
              </w:rPr>
            </w:r>
          </w:p>
        </w:tc>
      </w:tr>
      <w:tr>
        <w:trPr>
          <w:trHeight w:val="420"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0"/>
              <w:jc w:val="center"/>
              <w:rPr>
                <w:rFonts w:ascii="Times New Roman" w:hAnsi="Times New Roman" w:cs="Times New Roman" w:eastAsia="Times New Roman" w:hint="default"/>
                <w:sz w:val="19"/>
                <w:szCs w:val="19"/>
              </w:rPr>
            </w:pPr>
            <w:r>
              <w:rPr>
                <w:rFonts w:ascii="Times New Roman"/>
                <w:spacing w:val="-8"/>
                <w:w w:val="105"/>
                <w:sz w:val="19"/>
              </w:rPr>
              <w:t>52</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一种交互系统、智能密钥设备、服务器及工作方法</w:t>
            </w:r>
            <w:r>
              <w:rPr>
                <w:rFonts w:ascii="宋体" w:hAnsi="宋体" w:cs="宋体" w:eastAsia="宋体" w:hint="default"/>
                <w:spacing w:val="3"/>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4"/>
              <w:jc w:val="center"/>
              <w:rPr>
                <w:rFonts w:ascii="Times New Roman" w:hAnsi="Times New Roman" w:cs="Times New Roman" w:eastAsia="Times New Roman" w:hint="default"/>
                <w:sz w:val="19"/>
                <w:szCs w:val="19"/>
              </w:rPr>
            </w:pPr>
            <w:r>
              <w:rPr>
                <w:rFonts w:ascii="Times New Roman"/>
                <w:w w:val="105"/>
                <w:sz w:val="19"/>
              </w:rPr>
              <w:t>ZL201610015270.9</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1"/>
              <w:jc w:val="center"/>
              <w:rPr>
                <w:rFonts w:ascii="Times New Roman" w:hAnsi="Times New Roman" w:cs="Times New Roman" w:eastAsia="Times New Roman" w:hint="default"/>
                <w:sz w:val="19"/>
                <w:szCs w:val="19"/>
              </w:rPr>
            </w:pPr>
            <w:r>
              <w:rPr>
                <w:rFonts w:ascii="Times New Roman"/>
                <w:w w:val="105"/>
                <w:sz w:val="19"/>
              </w:rPr>
              <w:t>2016/1/11</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95" w:right="0"/>
              <w:jc w:val="left"/>
              <w:rPr>
                <w:rFonts w:ascii="Times New Roman" w:hAnsi="Times New Roman" w:cs="Times New Roman" w:eastAsia="Times New Roman" w:hint="default"/>
                <w:sz w:val="19"/>
                <w:szCs w:val="19"/>
              </w:rPr>
            </w:pPr>
            <w:r>
              <w:rPr>
                <w:rFonts w:ascii="Times New Roman"/>
                <w:w w:val="105"/>
                <w:sz w:val="19"/>
              </w:rPr>
              <w:t>2019/6/18</w:t>
            </w:r>
            <w:r>
              <w:rPr>
                <w:rFonts w:ascii="Times New Roman"/>
                <w:sz w:val="19"/>
              </w:rPr>
            </w:r>
          </w:p>
        </w:tc>
      </w:tr>
      <w:tr>
        <w:trPr>
          <w:trHeight w:val="736"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9"/>
                <w:szCs w:val="19"/>
              </w:rPr>
            </w:pPr>
            <w:r>
              <w:rPr>
                <w:rFonts w:ascii="Times New Roman"/>
                <w:spacing w:val="-8"/>
                <w:w w:val="105"/>
                <w:sz w:val="19"/>
              </w:rPr>
              <w:t>53</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4"/>
                <w:w w:val="105"/>
                <w:sz w:val="19"/>
                <w:szCs w:val="19"/>
              </w:rPr>
              <w:t>一种在</w:t>
            </w:r>
            <w:r>
              <w:rPr>
                <w:rFonts w:ascii="Times New Roman" w:hAnsi="Times New Roman" w:cs="Times New Roman" w:eastAsia="Times New Roman" w:hint="default"/>
                <w:spacing w:val="4"/>
                <w:w w:val="105"/>
                <w:sz w:val="19"/>
                <w:szCs w:val="19"/>
              </w:rPr>
              <w:t>NFC</w:t>
            </w:r>
            <w:r>
              <w:rPr>
                <w:rFonts w:ascii="宋体" w:hAnsi="宋体" w:cs="宋体" w:eastAsia="宋体" w:hint="default"/>
                <w:spacing w:val="4"/>
                <w:w w:val="105"/>
                <w:sz w:val="19"/>
                <w:szCs w:val="19"/>
              </w:rPr>
              <w:t>动态令牌中写入种子密钥的方法和设备</w:t>
            </w:r>
            <w:r>
              <w:rPr>
                <w:rFonts w:ascii="宋体" w:hAnsi="宋体" w:cs="宋体" w:eastAsia="宋体" w:hint="default"/>
                <w:spacing w:val="4"/>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4"/>
              <w:jc w:val="center"/>
              <w:rPr>
                <w:rFonts w:ascii="Times New Roman" w:hAnsi="Times New Roman" w:cs="Times New Roman" w:eastAsia="Times New Roman" w:hint="default"/>
                <w:sz w:val="19"/>
                <w:szCs w:val="19"/>
              </w:rPr>
            </w:pPr>
            <w:r>
              <w:rPr>
                <w:rFonts w:ascii="Times New Roman"/>
                <w:w w:val="105"/>
                <w:sz w:val="19"/>
              </w:rPr>
              <w:t>ZL201610349335.3</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1"/>
              <w:jc w:val="center"/>
              <w:rPr>
                <w:rFonts w:ascii="Times New Roman" w:hAnsi="Times New Roman" w:cs="Times New Roman" w:eastAsia="Times New Roman" w:hint="default"/>
                <w:sz w:val="19"/>
                <w:szCs w:val="19"/>
              </w:rPr>
            </w:pPr>
            <w:r>
              <w:rPr>
                <w:rFonts w:ascii="Times New Roman"/>
                <w:w w:val="105"/>
                <w:sz w:val="19"/>
              </w:rPr>
              <w:t>2016/5/24</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195" w:right="0"/>
              <w:jc w:val="left"/>
              <w:rPr>
                <w:rFonts w:ascii="Times New Roman" w:hAnsi="Times New Roman" w:cs="Times New Roman" w:eastAsia="Times New Roman" w:hint="default"/>
                <w:sz w:val="19"/>
                <w:szCs w:val="19"/>
              </w:rPr>
            </w:pPr>
            <w:r>
              <w:rPr>
                <w:rFonts w:ascii="Times New Roman"/>
                <w:w w:val="105"/>
                <w:sz w:val="19"/>
              </w:rPr>
              <w:t>2019/6/18</w:t>
            </w:r>
            <w:r>
              <w:rPr>
                <w:rFonts w:ascii="Times New Roman"/>
                <w:sz w:val="19"/>
              </w:rPr>
            </w:r>
          </w:p>
        </w:tc>
      </w:tr>
      <w:tr>
        <w:trPr>
          <w:trHeight w:val="435"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9"/>
                <w:szCs w:val="19"/>
              </w:rPr>
            </w:pPr>
            <w:r>
              <w:rPr>
                <w:rFonts w:ascii="Times New Roman"/>
                <w:spacing w:val="-8"/>
                <w:w w:val="105"/>
                <w:sz w:val="19"/>
              </w:rPr>
              <w:t>54</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一种签名设备、系统及其工作方法</w:t>
            </w:r>
            <w:r>
              <w:rPr>
                <w:rFonts w:ascii="宋体" w:hAnsi="宋体" w:cs="宋体" w:eastAsia="宋体" w:hint="default"/>
                <w:spacing w:val="3"/>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11"/>
              <w:jc w:val="center"/>
              <w:rPr>
                <w:rFonts w:ascii="Times New Roman" w:hAnsi="Times New Roman" w:cs="Times New Roman" w:eastAsia="Times New Roman" w:hint="default"/>
                <w:sz w:val="19"/>
                <w:szCs w:val="19"/>
              </w:rPr>
            </w:pPr>
            <w:r>
              <w:rPr>
                <w:rFonts w:ascii="Times New Roman"/>
                <w:w w:val="105"/>
                <w:sz w:val="19"/>
              </w:rPr>
              <w:t>ZL201610951023.X</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8"/>
              <w:jc w:val="center"/>
              <w:rPr>
                <w:rFonts w:ascii="Times New Roman" w:hAnsi="Times New Roman" w:cs="Times New Roman" w:eastAsia="Times New Roman" w:hint="default"/>
                <w:sz w:val="19"/>
                <w:szCs w:val="19"/>
              </w:rPr>
            </w:pPr>
            <w:r>
              <w:rPr>
                <w:rFonts w:ascii="Times New Roman"/>
                <w:w w:val="105"/>
                <w:sz w:val="19"/>
              </w:rPr>
              <w:t>2016/10/27</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195" w:right="0"/>
              <w:jc w:val="left"/>
              <w:rPr>
                <w:rFonts w:ascii="Times New Roman" w:hAnsi="Times New Roman" w:cs="Times New Roman" w:eastAsia="Times New Roman" w:hint="default"/>
                <w:sz w:val="19"/>
                <w:szCs w:val="19"/>
              </w:rPr>
            </w:pPr>
            <w:r>
              <w:rPr>
                <w:rFonts w:ascii="Times New Roman"/>
                <w:w w:val="105"/>
                <w:sz w:val="19"/>
              </w:rPr>
              <w:t>2019/6/18</w:t>
            </w:r>
            <w:r>
              <w:rPr>
                <w:rFonts w:ascii="Times New Roman"/>
                <w:sz w:val="19"/>
              </w:rPr>
            </w:r>
          </w:p>
        </w:tc>
      </w:tr>
      <w:tr>
        <w:trPr>
          <w:trHeight w:val="420"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19"/>
                <w:szCs w:val="19"/>
              </w:rPr>
            </w:pPr>
            <w:r>
              <w:rPr>
                <w:rFonts w:ascii="Times New Roman"/>
                <w:spacing w:val="-8"/>
                <w:w w:val="105"/>
                <w:sz w:val="19"/>
              </w:rPr>
              <w:t>55</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left"/>
              <w:rPr>
                <w:rFonts w:ascii="宋体" w:hAnsi="宋体" w:cs="宋体" w:eastAsia="宋体" w:hint="default"/>
                <w:sz w:val="19"/>
                <w:szCs w:val="19"/>
              </w:rPr>
            </w:pPr>
            <w:r>
              <w:rPr>
                <w:rFonts w:ascii="宋体" w:hAnsi="宋体" w:cs="宋体" w:eastAsia="宋体" w:hint="default"/>
                <w:spacing w:val="4"/>
                <w:w w:val="105"/>
                <w:sz w:val="19"/>
                <w:szCs w:val="19"/>
              </w:rPr>
              <w:t>一种认证动态口令的方法和设备</w:t>
            </w:r>
            <w:r>
              <w:rPr>
                <w:rFonts w:ascii="宋体" w:hAnsi="宋体" w:cs="宋体" w:eastAsia="宋体" w:hint="default"/>
                <w:spacing w:val="4"/>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24"/>
              <w:jc w:val="center"/>
              <w:rPr>
                <w:rFonts w:ascii="Times New Roman" w:hAnsi="Times New Roman" w:cs="Times New Roman" w:eastAsia="Times New Roman" w:hint="default"/>
                <w:sz w:val="19"/>
                <w:szCs w:val="19"/>
              </w:rPr>
            </w:pPr>
            <w:r>
              <w:rPr>
                <w:rFonts w:ascii="Times New Roman"/>
                <w:w w:val="105"/>
                <w:sz w:val="19"/>
              </w:rPr>
              <w:t>ZL201610350413.1</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21"/>
              <w:jc w:val="center"/>
              <w:rPr>
                <w:rFonts w:ascii="Times New Roman" w:hAnsi="Times New Roman" w:cs="Times New Roman" w:eastAsia="Times New Roman" w:hint="default"/>
                <w:sz w:val="19"/>
                <w:szCs w:val="19"/>
              </w:rPr>
            </w:pPr>
            <w:r>
              <w:rPr>
                <w:rFonts w:ascii="Times New Roman"/>
                <w:w w:val="105"/>
                <w:sz w:val="19"/>
              </w:rPr>
              <w:t>2016/5/24</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95" w:right="0"/>
              <w:jc w:val="left"/>
              <w:rPr>
                <w:rFonts w:ascii="Times New Roman" w:hAnsi="Times New Roman" w:cs="Times New Roman" w:eastAsia="Times New Roman" w:hint="default"/>
                <w:sz w:val="19"/>
                <w:szCs w:val="19"/>
              </w:rPr>
            </w:pPr>
            <w:r>
              <w:rPr>
                <w:rFonts w:ascii="Times New Roman"/>
                <w:w w:val="105"/>
                <w:sz w:val="19"/>
              </w:rPr>
              <w:t>2019/6/18</w:t>
            </w:r>
            <w:r>
              <w:rPr>
                <w:rFonts w:ascii="Times New Roman"/>
                <w:sz w:val="19"/>
              </w:rPr>
            </w:r>
          </w:p>
        </w:tc>
      </w:tr>
      <w:tr>
        <w:trPr>
          <w:trHeight w:val="436"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9"/>
                <w:szCs w:val="19"/>
              </w:rPr>
            </w:pPr>
            <w:r>
              <w:rPr>
                <w:rFonts w:ascii="Times New Roman"/>
                <w:spacing w:val="-8"/>
                <w:w w:val="105"/>
                <w:sz w:val="19"/>
              </w:rPr>
              <w:t>56</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w:t>
            </w:r>
            <w:r>
              <w:rPr>
                <w:rFonts w:ascii="Times New Roman" w:hAnsi="Times New Roman" w:cs="Times New Roman" w:eastAsia="Times New Roman" w:hint="default"/>
                <w:spacing w:val="3"/>
                <w:w w:val="105"/>
                <w:sz w:val="19"/>
                <w:szCs w:val="19"/>
              </w:rPr>
              <w:t>IC</w:t>
            </w:r>
            <w:r>
              <w:rPr>
                <w:rFonts w:ascii="宋体" w:hAnsi="宋体" w:cs="宋体" w:eastAsia="宋体" w:hint="default"/>
                <w:spacing w:val="3"/>
                <w:w w:val="105"/>
                <w:sz w:val="19"/>
                <w:szCs w:val="19"/>
              </w:rPr>
              <w:t>卡读卡器及其接口扩展方法</w:t>
            </w:r>
            <w:r>
              <w:rPr>
                <w:rFonts w:ascii="宋体" w:hAnsi="宋体" w:cs="宋体" w:eastAsia="宋体" w:hint="default"/>
                <w:spacing w:val="3"/>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4"/>
              <w:jc w:val="center"/>
              <w:rPr>
                <w:rFonts w:ascii="Times New Roman" w:hAnsi="Times New Roman" w:cs="Times New Roman" w:eastAsia="Times New Roman" w:hint="default"/>
                <w:sz w:val="19"/>
                <w:szCs w:val="19"/>
              </w:rPr>
            </w:pPr>
            <w:r>
              <w:rPr>
                <w:rFonts w:ascii="Times New Roman"/>
                <w:w w:val="105"/>
                <w:sz w:val="19"/>
              </w:rPr>
              <w:t>ZL201610428529.2</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1"/>
              <w:jc w:val="center"/>
              <w:rPr>
                <w:rFonts w:ascii="Times New Roman" w:hAnsi="Times New Roman" w:cs="Times New Roman" w:eastAsia="Times New Roman" w:hint="default"/>
                <w:sz w:val="19"/>
                <w:szCs w:val="19"/>
              </w:rPr>
            </w:pPr>
            <w:r>
              <w:rPr>
                <w:rFonts w:ascii="Times New Roman"/>
                <w:w w:val="105"/>
                <w:sz w:val="19"/>
              </w:rPr>
              <w:t>2016/6/16</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195" w:right="0"/>
              <w:jc w:val="left"/>
              <w:rPr>
                <w:rFonts w:ascii="Times New Roman" w:hAnsi="Times New Roman" w:cs="Times New Roman" w:eastAsia="Times New Roman" w:hint="default"/>
                <w:sz w:val="19"/>
                <w:szCs w:val="19"/>
              </w:rPr>
            </w:pPr>
            <w:r>
              <w:rPr>
                <w:rFonts w:ascii="Times New Roman"/>
                <w:w w:val="105"/>
                <w:sz w:val="19"/>
              </w:rPr>
              <w:t>2019/7/12</w:t>
            </w:r>
            <w:r>
              <w:rPr>
                <w:rFonts w:ascii="Times New Roman"/>
                <w:sz w:val="19"/>
              </w:rPr>
            </w:r>
          </w:p>
        </w:tc>
      </w:tr>
      <w:tr>
        <w:trPr>
          <w:trHeight w:val="421"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0"/>
              <w:jc w:val="center"/>
              <w:rPr>
                <w:rFonts w:ascii="Times New Roman" w:hAnsi="Times New Roman" w:cs="Times New Roman" w:eastAsia="Times New Roman" w:hint="default"/>
                <w:sz w:val="19"/>
                <w:szCs w:val="19"/>
              </w:rPr>
            </w:pPr>
            <w:r>
              <w:rPr>
                <w:rFonts w:ascii="Times New Roman"/>
                <w:spacing w:val="-8"/>
                <w:w w:val="105"/>
                <w:sz w:val="19"/>
              </w:rPr>
              <w:t>57</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一种打印机及提高打印速度的方法</w:t>
            </w:r>
            <w:r>
              <w:rPr>
                <w:rFonts w:ascii="宋体" w:hAnsi="宋体" w:cs="宋体" w:eastAsia="宋体" w:hint="default"/>
                <w:spacing w:val="3"/>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4"/>
              <w:jc w:val="center"/>
              <w:rPr>
                <w:rFonts w:ascii="Times New Roman" w:hAnsi="Times New Roman" w:cs="Times New Roman" w:eastAsia="Times New Roman" w:hint="default"/>
                <w:sz w:val="19"/>
                <w:szCs w:val="19"/>
              </w:rPr>
            </w:pPr>
            <w:r>
              <w:rPr>
                <w:rFonts w:ascii="Times New Roman"/>
                <w:w w:val="105"/>
                <w:sz w:val="19"/>
              </w:rPr>
              <w:t>ZL201810417638.3</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6"/>
              <w:jc w:val="center"/>
              <w:rPr>
                <w:rFonts w:ascii="Times New Roman" w:hAnsi="Times New Roman" w:cs="Times New Roman" w:eastAsia="Times New Roman" w:hint="default"/>
                <w:sz w:val="19"/>
                <w:szCs w:val="19"/>
              </w:rPr>
            </w:pPr>
            <w:r>
              <w:rPr>
                <w:rFonts w:ascii="Times New Roman"/>
                <w:w w:val="105"/>
                <w:sz w:val="19"/>
              </w:rPr>
              <w:t>2018/5/4</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95" w:right="0"/>
              <w:jc w:val="left"/>
              <w:rPr>
                <w:rFonts w:ascii="Times New Roman" w:hAnsi="Times New Roman" w:cs="Times New Roman" w:eastAsia="Times New Roman" w:hint="default"/>
                <w:sz w:val="19"/>
                <w:szCs w:val="19"/>
              </w:rPr>
            </w:pPr>
            <w:r>
              <w:rPr>
                <w:rFonts w:ascii="Times New Roman"/>
                <w:w w:val="105"/>
                <w:sz w:val="19"/>
              </w:rPr>
              <w:t>2019/7/12</w:t>
            </w:r>
            <w:r>
              <w:rPr>
                <w:rFonts w:ascii="Times New Roman"/>
                <w:sz w:val="19"/>
              </w:rPr>
            </w:r>
          </w:p>
        </w:tc>
      </w:tr>
      <w:tr>
        <w:trPr>
          <w:trHeight w:val="435"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9"/>
                <w:szCs w:val="19"/>
              </w:rPr>
            </w:pPr>
            <w:r>
              <w:rPr>
                <w:rFonts w:ascii="Times New Roman"/>
                <w:spacing w:val="-8"/>
                <w:w w:val="105"/>
                <w:sz w:val="19"/>
              </w:rPr>
              <w:t>58</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4"/>
                <w:w w:val="105"/>
                <w:sz w:val="19"/>
                <w:szCs w:val="19"/>
              </w:rPr>
              <w:t>一种进行安全认证的方法和系统</w:t>
            </w:r>
            <w:r>
              <w:rPr>
                <w:rFonts w:ascii="宋体" w:hAnsi="宋体" w:cs="宋体" w:eastAsia="宋体" w:hint="default"/>
                <w:spacing w:val="4"/>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24"/>
              <w:jc w:val="center"/>
              <w:rPr>
                <w:rFonts w:ascii="Times New Roman" w:hAnsi="Times New Roman" w:cs="Times New Roman" w:eastAsia="Times New Roman" w:hint="default"/>
                <w:sz w:val="19"/>
                <w:szCs w:val="19"/>
              </w:rPr>
            </w:pPr>
            <w:r>
              <w:rPr>
                <w:rFonts w:ascii="Times New Roman"/>
                <w:w w:val="105"/>
                <w:sz w:val="19"/>
              </w:rPr>
              <w:t>ZL201510445593.7</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21"/>
              <w:jc w:val="center"/>
              <w:rPr>
                <w:rFonts w:ascii="Times New Roman" w:hAnsi="Times New Roman" w:cs="Times New Roman" w:eastAsia="Times New Roman" w:hint="default"/>
                <w:sz w:val="19"/>
                <w:szCs w:val="19"/>
              </w:rPr>
            </w:pPr>
            <w:r>
              <w:rPr>
                <w:rFonts w:ascii="Times New Roman"/>
                <w:w w:val="105"/>
                <w:sz w:val="19"/>
              </w:rPr>
              <w:t>2015/7/27</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5" w:right="0"/>
              <w:jc w:val="left"/>
              <w:rPr>
                <w:rFonts w:ascii="Times New Roman" w:hAnsi="Times New Roman" w:cs="Times New Roman" w:eastAsia="Times New Roman" w:hint="default"/>
                <w:sz w:val="19"/>
                <w:szCs w:val="19"/>
              </w:rPr>
            </w:pPr>
            <w:r>
              <w:rPr>
                <w:rFonts w:ascii="Times New Roman"/>
                <w:w w:val="105"/>
                <w:sz w:val="19"/>
              </w:rPr>
              <w:t>2019/7/12</w:t>
            </w:r>
            <w:r>
              <w:rPr>
                <w:rFonts w:ascii="Times New Roman"/>
                <w:sz w:val="19"/>
              </w:rPr>
            </w:r>
          </w:p>
        </w:tc>
      </w:tr>
      <w:tr>
        <w:trPr>
          <w:trHeight w:val="420"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19"/>
                <w:szCs w:val="19"/>
              </w:rPr>
            </w:pPr>
            <w:r>
              <w:rPr>
                <w:rFonts w:ascii="Times New Roman"/>
                <w:spacing w:val="-8"/>
                <w:w w:val="105"/>
                <w:sz w:val="19"/>
              </w:rPr>
              <w:t>59</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left"/>
              <w:rPr>
                <w:rFonts w:ascii="宋体" w:hAnsi="宋体" w:cs="宋体" w:eastAsia="宋体" w:hint="default"/>
                <w:sz w:val="19"/>
                <w:szCs w:val="19"/>
              </w:rPr>
            </w:pPr>
            <w:r>
              <w:rPr>
                <w:rFonts w:ascii="宋体" w:hAnsi="宋体" w:cs="宋体" w:eastAsia="宋体" w:hint="default"/>
                <w:spacing w:val="3"/>
                <w:w w:val="105"/>
                <w:sz w:val="19"/>
                <w:szCs w:val="19"/>
              </w:rPr>
              <w:t>信用卡及其工作方法</w:t>
            </w:r>
            <w:r>
              <w:rPr>
                <w:rFonts w:ascii="宋体" w:hAnsi="宋体" w:cs="宋体" w:eastAsia="宋体" w:hint="default"/>
                <w:spacing w:val="3"/>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24"/>
              <w:jc w:val="center"/>
              <w:rPr>
                <w:rFonts w:ascii="Times New Roman" w:hAnsi="Times New Roman" w:cs="Times New Roman" w:eastAsia="Times New Roman" w:hint="default"/>
                <w:sz w:val="19"/>
                <w:szCs w:val="19"/>
              </w:rPr>
            </w:pPr>
            <w:r>
              <w:rPr>
                <w:rFonts w:ascii="Times New Roman"/>
                <w:w w:val="105"/>
                <w:sz w:val="19"/>
              </w:rPr>
              <w:t>ZL201711482646.8</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8"/>
              <w:jc w:val="center"/>
              <w:rPr>
                <w:rFonts w:ascii="Times New Roman" w:hAnsi="Times New Roman" w:cs="Times New Roman" w:eastAsia="Times New Roman" w:hint="default"/>
                <w:sz w:val="19"/>
                <w:szCs w:val="19"/>
              </w:rPr>
            </w:pPr>
            <w:r>
              <w:rPr>
                <w:rFonts w:ascii="Times New Roman"/>
                <w:w w:val="105"/>
                <w:sz w:val="19"/>
              </w:rPr>
              <w:t>2017/12/29</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95" w:right="0"/>
              <w:jc w:val="left"/>
              <w:rPr>
                <w:rFonts w:ascii="Times New Roman" w:hAnsi="Times New Roman" w:cs="Times New Roman" w:eastAsia="Times New Roman" w:hint="default"/>
                <w:sz w:val="19"/>
                <w:szCs w:val="19"/>
              </w:rPr>
            </w:pPr>
            <w:r>
              <w:rPr>
                <w:rFonts w:ascii="Times New Roman"/>
                <w:w w:val="105"/>
                <w:sz w:val="19"/>
              </w:rPr>
              <w:t>2019/7/12</w:t>
            </w:r>
            <w:r>
              <w:rPr>
                <w:rFonts w:ascii="Times New Roman"/>
                <w:sz w:val="19"/>
              </w:rPr>
            </w:r>
          </w:p>
        </w:tc>
      </w:tr>
      <w:tr>
        <w:trPr>
          <w:trHeight w:val="436"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9"/>
                <w:szCs w:val="19"/>
              </w:rPr>
            </w:pPr>
            <w:r>
              <w:rPr>
                <w:rFonts w:ascii="Times New Roman"/>
                <w:spacing w:val="-8"/>
                <w:w w:val="105"/>
                <w:sz w:val="19"/>
              </w:rPr>
              <w:t>60</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一种登录认证方法及系统</w:t>
            </w:r>
            <w:r>
              <w:rPr>
                <w:rFonts w:ascii="宋体" w:hAnsi="宋体" w:cs="宋体" w:eastAsia="宋体" w:hint="default"/>
                <w:spacing w:val="3"/>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4"/>
              <w:jc w:val="center"/>
              <w:rPr>
                <w:rFonts w:ascii="Times New Roman" w:hAnsi="Times New Roman" w:cs="Times New Roman" w:eastAsia="Times New Roman" w:hint="default"/>
                <w:sz w:val="19"/>
                <w:szCs w:val="19"/>
              </w:rPr>
            </w:pPr>
            <w:r>
              <w:rPr>
                <w:rFonts w:ascii="Times New Roman"/>
                <w:w w:val="105"/>
                <w:sz w:val="19"/>
              </w:rPr>
              <w:t>ZL201710114185.2</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1"/>
              <w:jc w:val="center"/>
              <w:rPr>
                <w:rFonts w:ascii="Times New Roman" w:hAnsi="Times New Roman" w:cs="Times New Roman" w:eastAsia="Times New Roman" w:hint="default"/>
                <w:sz w:val="19"/>
                <w:szCs w:val="19"/>
              </w:rPr>
            </w:pPr>
            <w:r>
              <w:rPr>
                <w:rFonts w:ascii="Times New Roman"/>
                <w:w w:val="105"/>
                <w:sz w:val="19"/>
              </w:rPr>
              <w:t>2017/2/28</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95" w:right="0"/>
              <w:jc w:val="left"/>
              <w:rPr>
                <w:rFonts w:ascii="Times New Roman" w:hAnsi="Times New Roman" w:cs="Times New Roman" w:eastAsia="Times New Roman" w:hint="default"/>
                <w:sz w:val="19"/>
                <w:szCs w:val="19"/>
              </w:rPr>
            </w:pPr>
            <w:r>
              <w:rPr>
                <w:rFonts w:ascii="Times New Roman"/>
                <w:w w:val="105"/>
                <w:sz w:val="19"/>
              </w:rPr>
              <w:t>2019/7/12</w:t>
            </w:r>
            <w:r>
              <w:rPr>
                <w:rFonts w:ascii="Times New Roman"/>
                <w:sz w:val="19"/>
              </w:rPr>
            </w:r>
          </w:p>
        </w:tc>
      </w:tr>
      <w:tr>
        <w:trPr>
          <w:trHeight w:val="420"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0"/>
              <w:jc w:val="center"/>
              <w:rPr>
                <w:rFonts w:ascii="Times New Roman" w:hAnsi="Times New Roman" w:cs="Times New Roman" w:eastAsia="Times New Roman" w:hint="default"/>
                <w:sz w:val="19"/>
                <w:szCs w:val="19"/>
              </w:rPr>
            </w:pPr>
            <w:r>
              <w:rPr>
                <w:rFonts w:ascii="Times New Roman"/>
                <w:spacing w:val="-8"/>
                <w:w w:val="105"/>
                <w:sz w:val="19"/>
              </w:rPr>
              <w:t>61</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一种蓝牙通讯方法和通讯装置</w:t>
            </w:r>
            <w:r>
              <w:rPr>
                <w:rFonts w:ascii="宋体" w:hAnsi="宋体" w:cs="宋体" w:eastAsia="宋体" w:hint="default"/>
                <w:spacing w:val="3"/>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4"/>
              <w:jc w:val="center"/>
              <w:rPr>
                <w:rFonts w:ascii="Times New Roman" w:hAnsi="Times New Roman" w:cs="Times New Roman" w:eastAsia="Times New Roman" w:hint="default"/>
                <w:sz w:val="19"/>
                <w:szCs w:val="19"/>
              </w:rPr>
            </w:pPr>
            <w:r>
              <w:rPr>
                <w:rFonts w:ascii="Times New Roman"/>
                <w:w w:val="105"/>
                <w:sz w:val="19"/>
              </w:rPr>
              <w:t>ZL201510666316.9</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8"/>
              <w:jc w:val="center"/>
              <w:rPr>
                <w:rFonts w:ascii="Times New Roman" w:hAnsi="Times New Roman" w:cs="Times New Roman" w:eastAsia="Times New Roman" w:hint="default"/>
                <w:sz w:val="19"/>
                <w:szCs w:val="19"/>
              </w:rPr>
            </w:pPr>
            <w:r>
              <w:rPr>
                <w:rFonts w:ascii="Times New Roman"/>
                <w:w w:val="105"/>
                <w:sz w:val="19"/>
              </w:rPr>
              <w:t>2015/10/15</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95" w:right="0"/>
              <w:jc w:val="left"/>
              <w:rPr>
                <w:rFonts w:ascii="Times New Roman" w:hAnsi="Times New Roman" w:cs="Times New Roman" w:eastAsia="Times New Roman" w:hint="default"/>
                <w:sz w:val="19"/>
                <w:szCs w:val="19"/>
              </w:rPr>
            </w:pPr>
            <w:r>
              <w:rPr>
                <w:rFonts w:ascii="Times New Roman"/>
                <w:w w:val="105"/>
                <w:sz w:val="19"/>
              </w:rPr>
              <w:t>2019/7/26</w:t>
            </w:r>
            <w:r>
              <w:rPr>
                <w:rFonts w:ascii="Times New Roman"/>
                <w:sz w:val="19"/>
              </w:rPr>
            </w:r>
          </w:p>
        </w:tc>
      </w:tr>
      <w:tr>
        <w:trPr>
          <w:trHeight w:val="435"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9"/>
                <w:szCs w:val="19"/>
              </w:rPr>
            </w:pPr>
            <w:r>
              <w:rPr>
                <w:rFonts w:ascii="Times New Roman"/>
                <w:spacing w:val="-8"/>
                <w:w w:val="105"/>
                <w:sz w:val="19"/>
              </w:rPr>
              <w:t>62</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一种移动平台支持已有</w:t>
            </w:r>
            <w:r>
              <w:rPr>
                <w:rFonts w:ascii="Times New Roman" w:hAnsi="Times New Roman" w:cs="Times New Roman" w:eastAsia="Times New Roman" w:hint="default"/>
                <w:spacing w:val="3"/>
                <w:w w:val="105"/>
                <w:sz w:val="19"/>
                <w:szCs w:val="19"/>
              </w:rPr>
              <w:t>Web</w:t>
            </w:r>
            <w:r>
              <w:rPr>
                <w:rFonts w:ascii="宋体" w:hAnsi="宋体" w:cs="宋体" w:eastAsia="宋体" w:hint="default"/>
                <w:spacing w:val="3"/>
                <w:w w:val="105"/>
                <w:sz w:val="19"/>
                <w:szCs w:val="19"/>
              </w:rPr>
              <w:t>应用的方法及装置</w:t>
            </w:r>
            <w:r>
              <w:rPr>
                <w:rFonts w:ascii="宋体" w:hAnsi="宋体" w:cs="宋体" w:eastAsia="宋体" w:hint="default"/>
                <w:spacing w:val="3"/>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24"/>
              <w:jc w:val="center"/>
              <w:rPr>
                <w:rFonts w:ascii="Times New Roman" w:hAnsi="Times New Roman" w:cs="Times New Roman" w:eastAsia="Times New Roman" w:hint="default"/>
                <w:sz w:val="19"/>
                <w:szCs w:val="19"/>
              </w:rPr>
            </w:pPr>
            <w:r>
              <w:rPr>
                <w:rFonts w:ascii="Times New Roman"/>
                <w:w w:val="105"/>
                <w:sz w:val="19"/>
              </w:rPr>
              <w:t>ZL201610744425.2</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21"/>
              <w:jc w:val="center"/>
              <w:rPr>
                <w:rFonts w:ascii="Times New Roman" w:hAnsi="Times New Roman" w:cs="Times New Roman" w:eastAsia="Times New Roman" w:hint="default"/>
                <w:sz w:val="19"/>
                <w:szCs w:val="19"/>
              </w:rPr>
            </w:pPr>
            <w:r>
              <w:rPr>
                <w:rFonts w:ascii="Times New Roman"/>
                <w:w w:val="105"/>
                <w:sz w:val="19"/>
              </w:rPr>
              <w:t>2016/8/27</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5" w:right="0"/>
              <w:jc w:val="left"/>
              <w:rPr>
                <w:rFonts w:ascii="Times New Roman" w:hAnsi="Times New Roman" w:cs="Times New Roman" w:eastAsia="Times New Roman" w:hint="default"/>
                <w:sz w:val="19"/>
                <w:szCs w:val="19"/>
              </w:rPr>
            </w:pPr>
            <w:r>
              <w:rPr>
                <w:rFonts w:ascii="Times New Roman"/>
                <w:w w:val="105"/>
                <w:sz w:val="19"/>
              </w:rPr>
              <w:t>2019/7/26</w:t>
            </w:r>
            <w:r>
              <w:rPr>
                <w:rFonts w:ascii="Times New Roman"/>
                <w:sz w:val="19"/>
              </w:rPr>
            </w:r>
          </w:p>
        </w:tc>
      </w:tr>
      <w:tr>
        <w:trPr>
          <w:trHeight w:val="421"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19"/>
                <w:szCs w:val="19"/>
              </w:rPr>
            </w:pPr>
            <w:r>
              <w:rPr>
                <w:rFonts w:ascii="Times New Roman"/>
                <w:spacing w:val="-8"/>
                <w:w w:val="105"/>
                <w:sz w:val="19"/>
              </w:rPr>
              <w:t>63</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一种检查持卡人身份的终端及其工作方法</w:t>
            </w:r>
            <w:r>
              <w:rPr>
                <w:rFonts w:ascii="宋体" w:hAnsi="宋体" w:cs="宋体" w:eastAsia="宋体" w:hint="default"/>
                <w:spacing w:val="3"/>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24"/>
              <w:jc w:val="center"/>
              <w:rPr>
                <w:rFonts w:ascii="Times New Roman" w:hAnsi="Times New Roman" w:cs="Times New Roman" w:eastAsia="Times New Roman" w:hint="default"/>
                <w:sz w:val="19"/>
                <w:szCs w:val="19"/>
              </w:rPr>
            </w:pPr>
            <w:r>
              <w:rPr>
                <w:rFonts w:ascii="Times New Roman"/>
                <w:w w:val="105"/>
                <w:sz w:val="19"/>
              </w:rPr>
              <w:t>ZL201511000921.9</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8"/>
              <w:jc w:val="center"/>
              <w:rPr>
                <w:rFonts w:ascii="Times New Roman" w:hAnsi="Times New Roman" w:cs="Times New Roman" w:eastAsia="Times New Roman" w:hint="default"/>
                <w:sz w:val="19"/>
                <w:szCs w:val="19"/>
              </w:rPr>
            </w:pPr>
            <w:r>
              <w:rPr>
                <w:rFonts w:ascii="Times New Roman"/>
                <w:w w:val="105"/>
                <w:sz w:val="19"/>
              </w:rPr>
              <w:t>2015/12/28</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95" w:right="0"/>
              <w:jc w:val="left"/>
              <w:rPr>
                <w:rFonts w:ascii="Times New Roman" w:hAnsi="Times New Roman" w:cs="Times New Roman" w:eastAsia="Times New Roman" w:hint="default"/>
                <w:sz w:val="19"/>
                <w:szCs w:val="19"/>
              </w:rPr>
            </w:pPr>
            <w:r>
              <w:rPr>
                <w:rFonts w:ascii="Times New Roman"/>
                <w:w w:val="105"/>
                <w:sz w:val="19"/>
              </w:rPr>
              <w:t>2019/7/26</w:t>
            </w:r>
            <w:r>
              <w:rPr>
                <w:rFonts w:ascii="Times New Roman"/>
                <w:sz w:val="19"/>
              </w:rPr>
            </w:r>
          </w:p>
        </w:tc>
      </w:tr>
      <w:tr>
        <w:trPr>
          <w:trHeight w:val="420"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9"/>
                <w:szCs w:val="19"/>
              </w:rPr>
            </w:pPr>
            <w:r>
              <w:rPr>
                <w:rFonts w:ascii="Times New Roman"/>
                <w:spacing w:val="-8"/>
                <w:w w:val="105"/>
                <w:sz w:val="19"/>
              </w:rPr>
              <w:t>64</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4"/>
                <w:w w:val="105"/>
                <w:sz w:val="19"/>
                <w:szCs w:val="19"/>
              </w:rPr>
              <w:t>一种数据记录的存储、查询和检索的方法及装置</w:t>
            </w:r>
            <w:r>
              <w:rPr>
                <w:rFonts w:ascii="宋体" w:hAnsi="宋体" w:cs="宋体" w:eastAsia="宋体" w:hint="default"/>
                <w:spacing w:val="4"/>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4"/>
              <w:jc w:val="center"/>
              <w:rPr>
                <w:rFonts w:ascii="Times New Roman" w:hAnsi="Times New Roman" w:cs="Times New Roman" w:eastAsia="Times New Roman" w:hint="default"/>
                <w:sz w:val="19"/>
                <w:szCs w:val="19"/>
              </w:rPr>
            </w:pPr>
            <w:r>
              <w:rPr>
                <w:rFonts w:ascii="Times New Roman"/>
                <w:w w:val="105"/>
                <w:sz w:val="19"/>
              </w:rPr>
              <w:t>ZL201610843242.6</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1"/>
              <w:jc w:val="center"/>
              <w:rPr>
                <w:rFonts w:ascii="Times New Roman" w:hAnsi="Times New Roman" w:cs="Times New Roman" w:eastAsia="Times New Roman" w:hint="default"/>
                <w:sz w:val="19"/>
                <w:szCs w:val="19"/>
              </w:rPr>
            </w:pPr>
            <w:r>
              <w:rPr>
                <w:rFonts w:ascii="Times New Roman"/>
                <w:w w:val="105"/>
                <w:sz w:val="19"/>
              </w:rPr>
              <w:t>2016/9/22</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40" w:right="0"/>
              <w:jc w:val="left"/>
              <w:rPr>
                <w:rFonts w:ascii="Times New Roman" w:hAnsi="Times New Roman" w:cs="Times New Roman" w:eastAsia="Times New Roman" w:hint="default"/>
                <w:sz w:val="19"/>
                <w:szCs w:val="19"/>
              </w:rPr>
            </w:pPr>
            <w:r>
              <w:rPr>
                <w:rFonts w:ascii="Times New Roman"/>
                <w:w w:val="105"/>
                <w:sz w:val="19"/>
              </w:rPr>
              <w:t>2019/8/9</w:t>
            </w:r>
            <w:r>
              <w:rPr>
                <w:rFonts w:ascii="Times New Roman"/>
                <w:sz w:val="19"/>
              </w:rPr>
            </w:r>
          </w:p>
        </w:tc>
      </w:tr>
      <w:tr>
        <w:trPr>
          <w:trHeight w:val="436"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9"/>
                <w:szCs w:val="19"/>
              </w:rPr>
            </w:pPr>
            <w:r>
              <w:rPr>
                <w:rFonts w:ascii="Times New Roman"/>
                <w:spacing w:val="-8"/>
                <w:w w:val="105"/>
                <w:sz w:val="19"/>
              </w:rPr>
              <w:t>65</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一种利用硬件实现数字货币钱包的方法及硬件钱包</w:t>
            </w:r>
            <w:r>
              <w:rPr>
                <w:rFonts w:ascii="宋体" w:hAnsi="宋体" w:cs="宋体" w:eastAsia="宋体" w:hint="default"/>
                <w:spacing w:val="3"/>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24"/>
              <w:jc w:val="center"/>
              <w:rPr>
                <w:rFonts w:ascii="Times New Roman" w:hAnsi="Times New Roman" w:cs="Times New Roman" w:eastAsia="Times New Roman" w:hint="default"/>
                <w:sz w:val="19"/>
                <w:szCs w:val="19"/>
              </w:rPr>
            </w:pPr>
            <w:r>
              <w:rPr>
                <w:rFonts w:ascii="Times New Roman"/>
                <w:w w:val="105"/>
                <w:sz w:val="19"/>
              </w:rPr>
              <w:t>ZL201710690690.1</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21"/>
              <w:jc w:val="center"/>
              <w:rPr>
                <w:rFonts w:ascii="Times New Roman" w:hAnsi="Times New Roman" w:cs="Times New Roman" w:eastAsia="Times New Roman" w:hint="default"/>
                <w:sz w:val="19"/>
                <w:szCs w:val="19"/>
              </w:rPr>
            </w:pPr>
            <w:r>
              <w:rPr>
                <w:rFonts w:ascii="Times New Roman"/>
                <w:w w:val="105"/>
                <w:sz w:val="19"/>
              </w:rPr>
              <w:t>2017/8/14</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40" w:right="0"/>
              <w:jc w:val="left"/>
              <w:rPr>
                <w:rFonts w:ascii="Times New Roman" w:hAnsi="Times New Roman" w:cs="Times New Roman" w:eastAsia="Times New Roman" w:hint="default"/>
                <w:sz w:val="19"/>
                <w:szCs w:val="19"/>
              </w:rPr>
            </w:pPr>
            <w:r>
              <w:rPr>
                <w:rFonts w:ascii="Times New Roman"/>
                <w:w w:val="105"/>
                <w:sz w:val="19"/>
              </w:rPr>
              <w:t>2019/8/9</w:t>
            </w:r>
            <w:r>
              <w:rPr>
                <w:rFonts w:ascii="Times New Roman"/>
                <w:sz w:val="19"/>
              </w:rPr>
            </w:r>
          </w:p>
        </w:tc>
      </w:tr>
      <w:tr>
        <w:trPr>
          <w:trHeight w:val="420"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9"/>
                <w:szCs w:val="19"/>
              </w:rPr>
            </w:pPr>
            <w:r>
              <w:rPr>
                <w:rFonts w:ascii="Times New Roman"/>
                <w:spacing w:val="-8"/>
                <w:w w:val="105"/>
                <w:sz w:val="19"/>
              </w:rPr>
              <w:t>66</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4"/>
                <w:w w:val="105"/>
                <w:sz w:val="19"/>
                <w:szCs w:val="19"/>
              </w:rPr>
              <w:t>一种运维监控数据的采集方法及服务器</w:t>
            </w:r>
            <w:r>
              <w:rPr>
                <w:rFonts w:ascii="宋体" w:hAnsi="宋体" w:cs="宋体" w:eastAsia="宋体" w:hint="default"/>
                <w:spacing w:val="4"/>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24"/>
              <w:jc w:val="center"/>
              <w:rPr>
                <w:rFonts w:ascii="Times New Roman" w:hAnsi="Times New Roman" w:cs="Times New Roman" w:eastAsia="Times New Roman" w:hint="default"/>
                <w:sz w:val="19"/>
                <w:szCs w:val="19"/>
              </w:rPr>
            </w:pPr>
            <w:r>
              <w:rPr>
                <w:rFonts w:ascii="Times New Roman"/>
                <w:w w:val="105"/>
                <w:sz w:val="19"/>
              </w:rPr>
              <w:t>ZL201610014809.9</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21"/>
              <w:jc w:val="center"/>
              <w:rPr>
                <w:rFonts w:ascii="Times New Roman" w:hAnsi="Times New Roman" w:cs="Times New Roman" w:eastAsia="Times New Roman" w:hint="default"/>
                <w:sz w:val="19"/>
                <w:szCs w:val="19"/>
              </w:rPr>
            </w:pPr>
            <w:r>
              <w:rPr>
                <w:rFonts w:ascii="Times New Roman"/>
                <w:w w:val="105"/>
                <w:sz w:val="19"/>
              </w:rPr>
              <w:t>2016/1/11</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40" w:right="0"/>
              <w:jc w:val="left"/>
              <w:rPr>
                <w:rFonts w:ascii="Times New Roman" w:hAnsi="Times New Roman" w:cs="Times New Roman" w:eastAsia="Times New Roman" w:hint="default"/>
                <w:sz w:val="19"/>
                <w:szCs w:val="19"/>
              </w:rPr>
            </w:pPr>
            <w:r>
              <w:rPr>
                <w:rFonts w:ascii="Times New Roman"/>
                <w:w w:val="105"/>
                <w:sz w:val="19"/>
              </w:rPr>
              <w:t>2019/8/9</w:t>
            </w:r>
            <w:r>
              <w:rPr>
                <w:rFonts w:ascii="Times New Roman"/>
                <w:sz w:val="19"/>
              </w:rPr>
            </w:r>
          </w:p>
        </w:tc>
      </w:tr>
      <w:tr>
        <w:trPr>
          <w:trHeight w:val="435"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9"/>
                <w:szCs w:val="19"/>
              </w:rPr>
            </w:pPr>
            <w:r>
              <w:rPr>
                <w:rFonts w:ascii="Times New Roman"/>
                <w:spacing w:val="-8"/>
                <w:w w:val="105"/>
                <w:sz w:val="19"/>
              </w:rPr>
              <w:t>67</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一种增加第二因素的认证方法及装置</w:t>
            </w:r>
            <w:r>
              <w:rPr>
                <w:rFonts w:ascii="宋体" w:hAnsi="宋体" w:cs="宋体" w:eastAsia="宋体" w:hint="default"/>
                <w:spacing w:val="3"/>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4"/>
              <w:jc w:val="center"/>
              <w:rPr>
                <w:rFonts w:ascii="Times New Roman" w:hAnsi="Times New Roman" w:cs="Times New Roman" w:eastAsia="Times New Roman" w:hint="default"/>
                <w:sz w:val="19"/>
                <w:szCs w:val="19"/>
              </w:rPr>
            </w:pPr>
            <w:r>
              <w:rPr>
                <w:rFonts w:ascii="Times New Roman"/>
                <w:w w:val="105"/>
                <w:sz w:val="19"/>
              </w:rPr>
              <w:t>ZL201710188716.2</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1"/>
              <w:jc w:val="center"/>
              <w:rPr>
                <w:rFonts w:ascii="Times New Roman" w:hAnsi="Times New Roman" w:cs="Times New Roman" w:eastAsia="Times New Roman" w:hint="default"/>
                <w:sz w:val="19"/>
                <w:szCs w:val="19"/>
              </w:rPr>
            </w:pPr>
            <w:r>
              <w:rPr>
                <w:rFonts w:ascii="Times New Roman"/>
                <w:w w:val="105"/>
                <w:sz w:val="19"/>
              </w:rPr>
              <w:t>2017/3/27</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240" w:right="0"/>
              <w:jc w:val="left"/>
              <w:rPr>
                <w:rFonts w:ascii="Times New Roman" w:hAnsi="Times New Roman" w:cs="Times New Roman" w:eastAsia="Times New Roman" w:hint="default"/>
                <w:sz w:val="19"/>
                <w:szCs w:val="19"/>
              </w:rPr>
            </w:pPr>
            <w:r>
              <w:rPr>
                <w:rFonts w:ascii="Times New Roman"/>
                <w:w w:val="105"/>
                <w:sz w:val="19"/>
              </w:rPr>
              <w:t>2019/8/9</w:t>
            </w:r>
            <w:r>
              <w:rPr>
                <w:rFonts w:ascii="Times New Roman"/>
                <w:sz w:val="19"/>
              </w:rPr>
            </w:r>
          </w:p>
        </w:tc>
      </w:tr>
      <w:tr>
        <w:trPr>
          <w:trHeight w:val="736"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9"/>
                <w:szCs w:val="19"/>
              </w:rPr>
            </w:pPr>
            <w:r>
              <w:rPr>
                <w:rFonts w:ascii="Times New Roman"/>
                <w:spacing w:val="-8"/>
                <w:w w:val="105"/>
                <w:sz w:val="19"/>
              </w:rPr>
              <w:t>68</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63"/>
              <w:ind w:right="30"/>
              <w:jc w:val="left"/>
              <w:rPr>
                <w:rFonts w:ascii="宋体" w:hAnsi="宋体" w:cs="宋体" w:eastAsia="宋体" w:hint="default"/>
                <w:sz w:val="19"/>
                <w:szCs w:val="19"/>
              </w:rPr>
            </w:pPr>
            <w:r>
              <w:rPr>
                <w:rFonts w:ascii="宋体" w:hAnsi="宋体" w:cs="宋体" w:eastAsia="宋体" w:hint="default"/>
                <w:spacing w:val="9"/>
                <w:sz w:val="19"/>
                <w:szCs w:val="19"/>
              </w:rPr>
              <w:t>一种具有显示功能的电池以及包含该电池的电子设</w:t>
            </w:r>
            <w:r>
              <w:rPr>
                <w:rFonts w:ascii="宋体" w:hAnsi="宋体" w:cs="宋体" w:eastAsia="宋体" w:hint="default"/>
                <w:spacing w:val="41"/>
                <w:sz w:val="19"/>
                <w:szCs w:val="19"/>
              </w:rPr>
              <w:t> </w:t>
            </w:r>
            <w:r>
              <w:rPr>
                <w:rFonts w:ascii="宋体" w:hAnsi="宋体" w:cs="宋体" w:eastAsia="宋体" w:hint="default"/>
                <w:spacing w:val="41"/>
                <w:sz w:val="19"/>
                <w:szCs w:val="19"/>
              </w:rPr>
            </w:r>
            <w:r>
              <w:rPr>
                <w:rFonts w:ascii="宋体" w:hAnsi="宋体" w:cs="宋体" w:eastAsia="宋体" w:hint="default"/>
                <w:w w:val="105"/>
                <w:sz w:val="19"/>
                <w:szCs w:val="19"/>
              </w:rPr>
              <w:t>备</w:t>
            </w:r>
            <w:r>
              <w:rPr>
                <w:rFonts w:ascii="宋体" w:hAnsi="宋体" w:cs="宋体" w:eastAsia="宋体" w:hint="default"/>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4"/>
              <w:jc w:val="center"/>
              <w:rPr>
                <w:rFonts w:ascii="Times New Roman" w:hAnsi="Times New Roman" w:cs="Times New Roman" w:eastAsia="Times New Roman" w:hint="default"/>
                <w:sz w:val="19"/>
                <w:szCs w:val="19"/>
              </w:rPr>
            </w:pPr>
            <w:r>
              <w:rPr>
                <w:rFonts w:ascii="Times New Roman"/>
                <w:w w:val="105"/>
                <w:sz w:val="19"/>
              </w:rPr>
              <w:t>ZL201610065446.1</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1"/>
              <w:jc w:val="center"/>
              <w:rPr>
                <w:rFonts w:ascii="Times New Roman" w:hAnsi="Times New Roman" w:cs="Times New Roman" w:eastAsia="Times New Roman" w:hint="default"/>
                <w:sz w:val="19"/>
                <w:szCs w:val="19"/>
              </w:rPr>
            </w:pPr>
            <w:r>
              <w:rPr>
                <w:rFonts w:ascii="Times New Roman"/>
                <w:w w:val="105"/>
                <w:sz w:val="19"/>
              </w:rPr>
              <w:t>2016/1/29</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195" w:right="0"/>
              <w:jc w:val="left"/>
              <w:rPr>
                <w:rFonts w:ascii="Times New Roman" w:hAnsi="Times New Roman" w:cs="Times New Roman" w:eastAsia="Times New Roman" w:hint="default"/>
                <w:sz w:val="19"/>
                <w:szCs w:val="19"/>
              </w:rPr>
            </w:pPr>
            <w:r>
              <w:rPr>
                <w:rFonts w:ascii="Times New Roman"/>
                <w:w w:val="105"/>
                <w:sz w:val="19"/>
              </w:rPr>
              <w:t>2019/8/30</w:t>
            </w:r>
            <w:r>
              <w:rPr>
                <w:rFonts w:ascii="Times New Roman"/>
                <w:sz w:val="19"/>
              </w:rPr>
            </w:r>
          </w:p>
        </w:tc>
      </w:tr>
      <w:tr>
        <w:trPr>
          <w:trHeight w:val="435"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9"/>
                <w:szCs w:val="19"/>
              </w:rPr>
            </w:pPr>
            <w:r>
              <w:rPr>
                <w:rFonts w:ascii="Times New Roman"/>
                <w:spacing w:val="-8"/>
                <w:w w:val="105"/>
                <w:sz w:val="19"/>
              </w:rPr>
              <w:t>69</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一种使用指纹</w:t>
            </w:r>
            <w:r>
              <w:rPr>
                <w:rFonts w:ascii="Times New Roman" w:hAnsi="Times New Roman" w:cs="Times New Roman" w:eastAsia="Times New Roman" w:hint="default"/>
                <w:spacing w:val="3"/>
                <w:w w:val="105"/>
                <w:sz w:val="19"/>
                <w:szCs w:val="19"/>
              </w:rPr>
              <w:t>key</w:t>
            </w:r>
            <w:r>
              <w:rPr>
                <w:rFonts w:ascii="宋体" w:hAnsi="宋体" w:cs="宋体" w:eastAsia="宋体" w:hint="default"/>
                <w:spacing w:val="3"/>
                <w:w w:val="105"/>
                <w:sz w:val="19"/>
                <w:szCs w:val="19"/>
              </w:rPr>
              <w:t>进行登录的方法及装置</w:t>
            </w:r>
            <w:r>
              <w:rPr>
                <w:rFonts w:ascii="宋体" w:hAnsi="宋体" w:cs="宋体" w:eastAsia="宋体" w:hint="default"/>
                <w:spacing w:val="3"/>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4"/>
              <w:jc w:val="center"/>
              <w:rPr>
                <w:rFonts w:ascii="Times New Roman" w:hAnsi="Times New Roman" w:cs="Times New Roman" w:eastAsia="Times New Roman" w:hint="default"/>
                <w:sz w:val="19"/>
                <w:szCs w:val="19"/>
              </w:rPr>
            </w:pPr>
            <w:r>
              <w:rPr>
                <w:rFonts w:ascii="Times New Roman"/>
                <w:w w:val="105"/>
                <w:sz w:val="19"/>
              </w:rPr>
              <w:t>ZL201710389097.3</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1"/>
              <w:jc w:val="center"/>
              <w:rPr>
                <w:rFonts w:ascii="Times New Roman" w:hAnsi="Times New Roman" w:cs="Times New Roman" w:eastAsia="Times New Roman" w:hint="default"/>
                <w:sz w:val="19"/>
                <w:szCs w:val="19"/>
              </w:rPr>
            </w:pPr>
            <w:r>
              <w:rPr>
                <w:rFonts w:ascii="Times New Roman"/>
                <w:w w:val="105"/>
                <w:sz w:val="19"/>
              </w:rPr>
              <w:t>2017/5/27</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195" w:right="0"/>
              <w:jc w:val="left"/>
              <w:rPr>
                <w:rFonts w:ascii="Times New Roman" w:hAnsi="Times New Roman" w:cs="Times New Roman" w:eastAsia="Times New Roman" w:hint="default"/>
                <w:sz w:val="19"/>
                <w:szCs w:val="19"/>
              </w:rPr>
            </w:pPr>
            <w:r>
              <w:rPr>
                <w:rFonts w:ascii="Times New Roman"/>
                <w:w w:val="105"/>
                <w:sz w:val="19"/>
              </w:rPr>
              <w:t>2019/8/30</w:t>
            </w:r>
            <w:r>
              <w:rPr>
                <w:rFonts w:ascii="Times New Roman"/>
                <w:sz w:val="19"/>
              </w:rPr>
            </w:r>
          </w:p>
        </w:tc>
      </w:tr>
      <w:tr>
        <w:trPr>
          <w:trHeight w:val="420"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19"/>
                <w:szCs w:val="19"/>
              </w:rPr>
            </w:pPr>
            <w:r>
              <w:rPr>
                <w:rFonts w:ascii="Times New Roman"/>
                <w:spacing w:val="-8"/>
                <w:w w:val="105"/>
                <w:sz w:val="19"/>
              </w:rPr>
              <w:t>70</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left"/>
              <w:rPr>
                <w:rFonts w:ascii="宋体" w:hAnsi="宋体" w:cs="宋体" w:eastAsia="宋体" w:hint="default"/>
                <w:sz w:val="19"/>
                <w:szCs w:val="19"/>
              </w:rPr>
            </w:pPr>
            <w:r>
              <w:rPr>
                <w:rFonts w:ascii="宋体" w:hAnsi="宋体" w:cs="宋体" w:eastAsia="宋体" w:hint="default"/>
                <w:sz w:val="19"/>
                <w:szCs w:val="19"/>
              </w:rPr>
              <w:t>一种支持长期验证签名的签名方法、签署服务器及系</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24"/>
              <w:jc w:val="center"/>
              <w:rPr>
                <w:rFonts w:ascii="Times New Roman" w:hAnsi="Times New Roman" w:cs="Times New Roman" w:eastAsia="Times New Roman" w:hint="default"/>
                <w:sz w:val="19"/>
                <w:szCs w:val="19"/>
              </w:rPr>
            </w:pPr>
            <w:r>
              <w:rPr>
                <w:rFonts w:ascii="Times New Roman"/>
                <w:w w:val="105"/>
                <w:sz w:val="19"/>
              </w:rPr>
              <w:t>ZL201710433142.0</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6"/>
              <w:jc w:val="center"/>
              <w:rPr>
                <w:rFonts w:ascii="Times New Roman" w:hAnsi="Times New Roman" w:cs="Times New Roman" w:eastAsia="Times New Roman" w:hint="default"/>
                <w:sz w:val="19"/>
                <w:szCs w:val="19"/>
              </w:rPr>
            </w:pPr>
            <w:r>
              <w:rPr>
                <w:rFonts w:ascii="Times New Roman"/>
                <w:w w:val="105"/>
                <w:sz w:val="19"/>
              </w:rPr>
              <w:t>2017/6/9</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195" w:right="0"/>
              <w:jc w:val="left"/>
              <w:rPr>
                <w:rFonts w:ascii="Times New Roman" w:hAnsi="Times New Roman" w:cs="Times New Roman" w:eastAsia="Times New Roman" w:hint="default"/>
                <w:sz w:val="19"/>
                <w:szCs w:val="19"/>
              </w:rPr>
            </w:pPr>
            <w:r>
              <w:rPr>
                <w:rFonts w:ascii="Times New Roman"/>
                <w:w w:val="105"/>
                <w:sz w:val="19"/>
              </w:rPr>
              <w:t>2019/8/30</w:t>
            </w:r>
            <w:r>
              <w:rPr>
                <w:rFonts w:ascii="Times New Roman"/>
                <w:sz w:val="19"/>
              </w:rPr>
            </w:r>
          </w:p>
        </w:tc>
      </w:tr>
    </w:tbl>
    <w:p>
      <w:pPr>
        <w:spacing w:after="0" w:line="240" w:lineRule="auto"/>
        <w:jc w:val="left"/>
        <w:rPr>
          <w:rFonts w:ascii="Times New Roman" w:hAnsi="Times New Roman" w:cs="Times New Roman" w:eastAsia="Times New Roman" w:hint="default"/>
          <w:sz w:val="19"/>
          <w:szCs w:val="19"/>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676"/>
        <w:gridCol w:w="4566"/>
        <w:gridCol w:w="2132"/>
        <w:gridCol w:w="1082"/>
        <w:gridCol w:w="1216"/>
      </w:tblGrid>
      <w:tr>
        <w:trPr>
          <w:trHeight w:val="390" w:hRule="exact"/>
        </w:trPr>
        <w:tc>
          <w:tcPr>
            <w:tcW w:w="676" w:type="dxa"/>
            <w:tcBorders>
              <w:top w:val="single" w:sz="6" w:space="0" w:color="000000"/>
              <w:left w:val="single" w:sz="6" w:space="0" w:color="000000"/>
              <w:bottom w:val="single" w:sz="6" w:space="0" w:color="000000"/>
              <w:right w:val="single" w:sz="6" w:space="0" w:color="000000"/>
            </w:tcBorders>
          </w:tcPr>
          <w:p>
            <w:pP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left"/>
              <w:rPr>
                <w:rFonts w:ascii="宋体" w:hAnsi="宋体" w:cs="宋体" w:eastAsia="宋体" w:hint="default"/>
                <w:sz w:val="19"/>
                <w:szCs w:val="19"/>
              </w:rPr>
            </w:pPr>
            <w:r>
              <w:rPr>
                <w:rFonts w:ascii="宋体" w:hAnsi="宋体" w:cs="宋体" w:eastAsia="宋体" w:hint="default"/>
                <w:w w:val="102"/>
                <w:sz w:val="19"/>
                <w:szCs w:val="19"/>
              </w:rPr>
              <w:t>统</w:t>
            </w:r>
            <w:r>
              <w:rPr>
                <w:rFonts w:ascii="宋体" w:hAnsi="宋体" w:cs="宋体" w:eastAsia="宋体" w:hint="default"/>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
        </w:tc>
        <w:tc>
          <w:tcPr>
            <w:tcW w:w="1082"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420"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19"/>
                <w:szCs w:val="19"/>
              </w:rPr>
            </w:pPr>
            <w:r>
              <w:rPr>
                <w:rFonts w:ascii="Times New Roman"/>
                <w:spacing w:val="-8"/>
                <w:w w:val="105"/>
                <w:sz w:val="19"/>
              </w:rPr>
              <w:t>71</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left"/>
              <w:rPr>
                <w:rFonts w:ascii="宋体" w:hAnsi="宋体" w:cs="宋体" w:eastAsia="宋体" w:hint="default"/>
                <w:sz w:val="19"/>
                <w:szCs w:val="19"/>
              </w:rPr>
            </w:pPr>
            <w:r>
              <w:rPr>
                <w:rFonts w:ascii="宋体" w:hAnsi="宋体" w:cs="宋体" w:eastAsia="宋体" w:hint="default"/>
                <w:spacing w:val="4"/>
                <w:w w:val="105"/>
                <w:sz w:val="19"/>
                <w:szCs w:val="19"/>
              </w:rPr>
              <w:t>一种支持多应用的安全输入方法及装置</w:t>
            </w:r>
            <w:r>
              <w:rPr>
                <w:rFonts w:ascii="宋体" w:hAnsi="宋体" w:cs="宋体" w:eastAsia="宋体" w:hint="default"/>
                <w:spacing w:val="4"/>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24"/>
              <w:jc w:val="center"/>
              <w:rPr>
                <w:rFonts w:ascii="Times New Roman" w:hAnsi="Times New Roman" w:cs="Times New Roman" w:eastAsia="Times New Roman" w:hint="default"/>
                <w:sz w:val="19"/>
                <w:szCs w:val="19"/>
              </w:rPr>
            </w:pPr>
            <w:r>
              <w:rPr>
                <w:rFonts w:ascii="Times New Roman"/>
                <w:w w:val="105"/>
                <w:sz w:val="19"/>
              </w:rPr>
              <w:t>ZL201710120335.0</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6"/>
              <w:jc w:val="center"/>
              <w:rPr>
                <w:rFonts w:ascii="Times New Roman" w:hAnsi="Times New Roman" w:cs="Times New Roman" w:eastAsia="Times New Roman" w:hint="default"/>
                <w:sz w:val="19"/>
                <w:szCs w:val="19"/>
              </w:rPr>
            </w:pPr>
            <w:r>
              <w:rPr>
                <w:rFonts w:ascii="Times New Roman"/>
                <w:w w:val="105"/>
                <w:sz w:val="19"/>
              </w:rPr>
              <w:t>2017/3/2</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202"/>
              <w:jc w:val="right"/>
              <w:rPr>
                <w:rFonts w:ascii="Times New Roman" w:hAnsi="Times New Roman" w:cs="Times New Roman" w:eastAsia="Times New Roman" w:hint="default"/>
                <w:sz w:val="19"/>
                <w:szCs w:val="19"/>
              </w:rPr>
            </w:pPr>
            <w:r>
              <w:rPr>
                <w:rFonts w:ascii="Times New Roman"/>
                <w:sz w:val="19"/>
              </w:rPr>
              <w:t>2019/8/30</w:t>
            </w:r>
          </w:p>
        </w:tc>
      </w:tr>
      <w:tr>
        <w:trPr>
          <w:trHeight w:val="435"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9"/>
                <w:szCs w:val="19"/>
              </w:rPr>
            </w:pPr>
            <w:r>
              <w:rPr>
                <w:rFonts w:ascii="Times New Roman"/>
                <w:spacing w:val="-8"/>
                <w:w w:val="105"/>
                <w:sz w:val="19"/>
              </w:rPr>
              <w:t>72</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一种多协议区块链的工作方法及装置</w:t>
            </w:r>
            <w:r>
              <w:rPr>
                <w:rFonts w:ascii="宋体" w:hAnsi="宋体" w:cs="宋体" w:eastAsia="宋体" w:hint="default"/>
                <w:spacing w:val="3"/>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24"/>
              <w:jc w:val="center"/>
              <w:rPr>
                <w:rFonts w:ascii="Times New Roman" w:hAnsi="Times New Roman" w:cs="Times New Roman" w:eastAsia="Times New Roman" w:hint="default"/>
                <w:sz w:val="19"/>
                <w:szCs w:val="19"/>
              </w:rPr>
            </w:pPr>
            <w:r>
              <w:rPr>
                <w:rFonts w:ascii="Times New Roman"/>
                <w:w w:val="105"/>
                <w:sz w:val="19"/>
              </w:rPr>
              <w:t>ZL201710318169.5</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6"/>
              <w:jc w:val="center"/>
              <w:rPr>
                <w:rFonts w:ascii="Times New Roman" w:hAnsi="Times New Roman" w:cs="Times New Roman" w:eastAsia="Times New Roman" w:hint="default"/>
                <w:sz w:val="19"/>
                <w:szCs w:val="19"/>
              </w:rPr>
            </w:pPr>
            <w:r>
              <w:rPr>
                <w:rFonts w:ascii="Times New Roman"/>
                <w:w w:val="105"/>
                <w:sz w:val="19"/>
              </w:rPr>
              <w:t>2017/5/8</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202"/>
              <w:jc w:val="right"/>
              <w:rPr>
                <w:rFonts w:ascii="Times New Roman" w:hAnsi="Times New Roman" w:cs="Times New Roman" w:eastAsia="Times New Roman" w:hint="default"/>
                <w:sz w:val="19"/>
                <w:szCs w:val="19"/>
              </w:rPr>
            </w:pPr>
            <w:r>
              <w:rPr>
                <w:rFonts w:ascii="Times New Roman"/>
                <w:sz w:val="19"/>
              </w:rPr>
              <w:t>2019/8/30</w:t>
            </w:r>
          </w:p>
        </w:tc>
      </w:tr>
      <w:tr>
        <w:trPr>
          <w:trHeight w:val="420"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0"/>
              <w:jc w:val="center"/>
              <w:rPr>
                <w:rFonts w:ascii="Times New Roman" w:hAnsi="Times New Roman" w:cs="Times New Roman" w:eastAsia="Times New Roman" w:hint="default"/>
                <w:sz w:val="19"/>
                <w:szCs w:val="19"/>
              </w:rPr>
            </w:pPr>
            <w:r>
              <w:rPr>
                <w:rFonts w:ascii="Times New Roman"/>
                <w:spacing w:val="-8"/>
                <w:w w:val="105"/>
                <w:sz w:val="19"/>
              </w:rPr>
              <w:t>73</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left"/>
              <w:rPr>
                <w:rFonts w:ascii="宋体" w:hAnsi="宋体" w:cs="宋体" w:eastAsia="宋体" w:hint="default"/>
                <w:sz w:val="19"/>
                <w:szCs w:val="19"/>
              </w:rPr>
            </w:pPr>
            <w:r>
              <w:rPr>
                <w:rFonts w:ascii="宋体" w:hAnsi="宋体" w:cs="宋体" w:eastAsia="宋体" w:hint="default"/>
                <w:spacing w:val="4"/>
                <w:w w:val="105"/>
                <w:sz w:val="19"/>
                <w:szCs w:val="19"/>
              </w:rPr>
              <w:t>一种移动设备与蓝牙设备配对同步的方法及装置</w:t>
            </w:r>
            <w:r>
              <w:rPr>
                <w:rFonts w:ascii="宋体" w:hAnsi="宋体" w:cs="宋体" w:eastAsia="宋体" w:hint="default"/>
                <w:spacing w:val="4"/>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1"/>
              <w:jc w:val="center"/>
              <w:rPr>
                <w:rFonts w:ascii="Times New Roman" w:hAnsi="Times New Roman" w:cs="Times New Roman" w:eastAsia="Times New Roman" w:hint="default"/>
                <w:sz w:val="19"/>
                <w:szCs w:val="19"/>
              </w:rPr>
            </w:pPr>
            <w:r>
              <w:rPr>
                <w:rFonts w:ascii="Times New Roman"/>
                <w:w w:val="105"/>
                <w:sz w:val="19"/>
              </w:rPr>
              <w:t>ZL201611115029.X</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1"/>
              <w:jc w:val="center"/>
              <w:rPr>
                <w:rFonts w:ascii="Times New Roman" w:hAnsi="Times New Roman" w:cs="Times New Roman" w:eastAsia="Times New Roman" w:hint="default"/>
                <w:sz w:val="19"/>
                <w:szCs w:val="19"/>
              </w:rPr>
            </w:pPr>
            <w:r>
              <w:rPr>
                <w:rFonts w:ascii="Times New Roman"/>
                <w:w w:val="105"/>
                <w:sz w:val="19"/>
              </w:rPr>
              <w:t>2016/12/7</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02"/>
              <w:jc w:val="right"/>
              <w:rPr>
                <w:rFonts w:ascii="Times New Roman" w:hAnsi="Times New Roman" w:cs="Times New Roman" w:eastAsia="Times New Roman" w:hint="default"/>
                <w:sz w:val="19"/>
                <w:szCs w:val="19"/>
              </w:rPr>
            </w:pPr>
            <w:r>
              <w:rPr>
                <w:rFonts w:ascii="Times New Roman"/>
                <w:sz w:val="19"/>
              </w:rPr>
              <w:t>2019/8/30</w:t>
            </w:r>
          </w:p>
        </w:tc>
      </w:tr>
      <w:tr>
        <w:trPr>
          <w:trHeight w:val="436"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9"/>
                <w:szCs w:val="19"/>
              </w:rPr>
            </w:pPr>
            <w:r>
              <w:rPr>
                <w:rFonts w:ascii="Times New Roman"/>
                <w:spacing w:val="-8"/>
                <w:w w:val="105"/>
                <w:sz w:val="19"/>
              </w:rPr>
              <w:t>74</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4"/>
                <w:w w:val="105"/>
                <w:sz w:val="19"/>
                <w:szCs w:val="19"/>
              </w:rPr>
              <w:t>一种安全的数据传输方法及装置</w:t>
            </w:r>
            <w:r>
              <w:rPr>
                <w:rFonts w:ascii="宋体" w:hAnsi="宋体" w:cs="宋体" w:eastAsia="宋体" w:hint="default"/>
                <w:spacing w:val="4"/>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4"/>
              <w:jc w:val="center"/>
              <w:rPr>
                <w:rFonts w:ascii="Times New Roman" w:hAnsi="Times New Roman" w:cs="Times New Roman" w:eastAsia="Times New Roman" w:hint="default"/>
                <w:sz w:val="19"/>
                <w:szCs w:val="19"/>
              </w:rPr>
            </w:pPr>
            <w:r>
              <w:rPr>
                <w:rFonts w:ascii="Times New Roman"/>
                <w:w w:val="105"/>
                <w:sz w:val="19"/>
              </w:rPr>
              <w:t>ZL201610744373.9</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1"/>
              <w:jc w:val="center"/>
              <w:rPr>
                <w:rFonts w:ascii="Times New Roman" w:hAnsi="Times New Roman" w:cs="Times New Roman" w:eastAsia="Times New Roman" w:hint="default"/>
                <w:sz w:val="19"/>
                <w:szCs w:val="19"/>
              </w:rPr>
            </w:pPr>
            <w:r>
              <w:rPr>
                <w:rFonts w:ascii="Times New Roman"/>
                <w:w w:val="105"/>
                <w:sz w:val="19"/>
              </w:rPr>
              <w:t>2016/8/27</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02"/>
              <w:jc w:val="right"/>
              <w:rPr>
                <w:rFonts w:ascii="Times New Roman" w:hAnsi="Times New Roman" w:cs="Times New Roman" w:eastAsia="Times New Roman" w:hint="default"/>
                <w:sz w:val="19"/>
                <w:szCs w:val="19"/>
              </w:rPr>
            </w:pPr>
            <w:r>
              <w:rPr>
                <w:rFonts w:ascii="Times New Roman"/>
                <w:sz w:val="19"/>
              </w:rPr>
              <w:t>2019/9/13</w:t>
            </w:r>
          </w:p>
        </w:tc>
      </w:tr>
      <w:tr>
        <w:trPr>
          <w:trHeight w:val="420"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19"/>
                <w:szCs w:val="19"/>
              </w:rPr>
            </w:pPr>
            <w:r>
              <w:rPr>
                <w:rFonts w:ascii="Times New Roman"/>
                <w:spacing w:val="-8"/>
                <w:w w:val="105"/>
                <w:sz w:val="19"/>
              </w:rPr>
              <w:t>75</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一种密钥下发、动态口令生成及认证的方法和装置</w:t>
            </w:r>
            <w:r>
              <w:rPr>
                <w:rFonts w:ascii="宋体" w:hAnsi="宋体" w:cs="宋体" w:eastAsia="宋体" w:hint="default"/>
                <w:spacing w:val="3"/>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24"/>
              <w:jc w:val="center"/>
              <w:rPr>
                <w:rFonts w:ascii="Times New Roman" w:hAnsi="Times New Roman" w:cs="Times New Roman" w:eastAsia="Times New Roman" w:hint="default"/>
                <w:sz w:val="19"/>
                <w:szCs w:val="19"/>
              </w:rPr>
            </w:pPr>
            <w:r>
              <w:rPr>
                <w:rFonts w:ascii="Times New Roman"/>
                <w:w w:val="105"/>
                <w:sz w:val="19"/>
              </w:rPr>
              <w:t>ZL201610510997.4</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21"/>
              <w:jc w:val="center"/>
              <w:rPr>
                <w:rFonts w:ascii="Times New Roman" w:hAnsi="Times New Roman" w:cs="Times New Roman" w:eastAsia="Times New Roman" w:hint="default"/>
                <w:sz w:val="19"/>
                <w:szCs w:val="19"/>
              </w:rPr>
            </w:pPr>
            <w:r>
              <w:rPr>
                <w:rFonts w:ascii="Times New Roman"/>
                <w:w w:val="105"/>
                <w:sz w:val="19"/>
              </w:rPr>
              <w:t>2016/6/30</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202"/>
              <w:jc w:val="right"/>
              <w:rPr>
                <w:rFonts w:ascii="Times New Roman" w:hAnsi="Times New Roman" w:cs="Times New Roman" w:eastAsia="Times New Roman" w:hint="default"/>
                <w:sz w:val="19"/>
                <w:szCs w:val="19"/>
              </w:rPr>
            </w:pPr>
            <w:r>
              <w:rPr>
                <w:rFonts w:ascii="Times New Roman"/>
                <w:sz w:val="19"/>
              </w:rPr>
              <w:t>2019/9/13</w:t>
            </w:r>
          </w:p>
        </w:tc>
      </w:tr>
      <w:tr>
        <w:trPr>
          <w:trHeight w:val="436"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9"/>
                <w:szCs w:val="19"/>
              </w:rPr>
            </w:pPr>
            <w:r>
              <w:rPr>
                <w:rFonts w:ascii="Times New Roman"/>
                <w:spacing w:val="-8"/>
                <w:w w:val="105"/>
                <w:sz w:val="19"/>
              </w:rPr>
              <w:t>76</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4"/>
                <w:w w:val="105"/>
                <w:sz w:val="19"/>
                <w:szCs w:val="19"/>
              </w:rPr>
              <w:t>一种测试智能卡的方法及读卡器</w:t>
            </w:r>
            <w:r>
              <w:rPr>
                <w:rFonts w:ascii="宋体" w:hAnsi="宋体" w:cs="宋体" w:eastAsia="宋体" w:hint="default"/>
                <w:spacing w:val="4"/>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4"/>
              <w:jc w:val="center"/>
              <w:rPr>
                <w:rFonts w:ascii="Times New Roman" w:hAnsi="Times New Roman" w:cs="Times New Roman" w:eastAsia="Times New Roman" w:hint="default"/>
                <w:sz w:val="19"/>
                <w:szCs w:val="19"/>
              </w:rPr>
            </w:pPr>
            <w:r>
              <w:rPr>
                <w:rFonts w:ascii="Times New Roman"/>
                <w:w w:val="105"/>
                <w:sz w:val="19"/>
              </w:rPr>
              <w:t>ZL201710101618.0</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1"/>
              <w:jc w:val="center"/>
              <w:rPr>
                <w:rFonts w:ascii="Times New Roman" w:hAnsi="Times New Roman" w:cs="Times New Roman" w:eastAsia="Times New Roman" w:hint="default"/>
                <w:sz w:val="19"/>
                <w:szCs w:val="19"/>
              </w:rPr>
            </w:pPr>
            <w:r>
              <w:rPr>
                <w:rFonts w:ascii="Times New Roman"/>
                <w:w w:val="105"/>
                <w:sz w:val="19"/>
              </w:rPr>
              <w:t>2017/2/24</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02"/>
              <w:jc w:val="right"/>
              <w:rPr>
                <w:rFonts w:ascii="Times New Roman" w:hAnsi="Times New Roman" w:cs="Times New Roman" w:eastAsia="Times New Roman" w:hint="default"/>
                <w:sz w:val="19"/>
                <w:szCs w:val="19"/>
              </w:rPr>
            </w:pPr>
            <w:r>
              <w:rPr>
                <w:rFonts w:ascii="Times New Roman"/>
                <w:sz w:val="19"/>
              </w:rPr>
              <w:t>2019/9/13</w:t>
            </w:r>
          </w:p>
        </w:tc>
      </w:tr>
      <w:tr>
        <w:trPr>
          <w:trHeight w:val="420"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0"/>
              <w:jc w:val="center"/>
              <w:rPr>
                <w:rFonts w:ascii="Times New Roman" w:hAnsi="Times New Roman" w:cs="Times New Roman" w:eastAsia="Times New Roman" w:hint="default"/>
                <w:sz w:val="19"/>
                <w:szCs w:val="19"/>
              </w:rPr>
            </w:pPr>
            <w:r>
              <w:rPr>
                <w:rFonts w:ascii="Times New Roman"/>
                <w:spacing w:val="-8"/>
                <w:w w:val="105"/>
                <w:sz w:val="19"/>
              </w:rPr>
              <w:t>77</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left"/>
              <w:rPr>
                <w:rFonts w:ascii="宋体" w:hAnsi="宋体" w:cs="宋体" w:eastAsia="宋体" w:hint="default"/>
                <w:sz w:val="19"/>
                <w:szCs w:val="19"/>
              </w:rPr>
            </w:pPr>
            <w:r>
              <w:rPr>
                <w:rFonts w:ascii="宋体" w:hAnsi="宋体" w:cs="宋体" w:eastAsia="宋体" w:hint="default"/>
                <w:spacing w:val="4"/>
                <w:w w:val="105"/>
                <w:sz w:val="19"/>
                <w:szCs w:val="19"/>
              </w:rPr>
              <w:t>一种基于区块链的信息授权方法及装置</w:t>
            </w:r>
            <w:r>
              <w:rPr>
                <w:rFonts w:ascii="宋体" w:hAnsi="宋体" w:cs="宋体" w:eastAsia="宋体" w:hint="default"/>
                <w:spacing w:val="4"/>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4"/>
              <w:jc w:val="center"/>
              <w:rPr>
                <w:rFonts w:ascii="Times New Roman" w:hAnsi="Times New Roman" w:cs="Times New Roman" w:eastAsia="Times New Roman" w:hint="default"/>
                <w:sz w:val="19"/>
                <w:szCs w:val="19"/>
              </w:rPr>
            </w:pPr>
            <w:r>
              <w:rPr>
                <w:rFonts w:ascii="Times New Roman"/>
                <w:w w:val="105"/>
                <w:sz w:val="19"/>
              </w:rPr>
              <w:t>ZL201710318364.8</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6"/>
              <w:jc w:val="center"/>
              <w:rPr>
                <w:rFonts w:ascii="Times New Roman" w:hAnsi="Times New Roman" w:cs="Times New Roman" w:eastAsia="Times New Roman" w:hint="default"/>
                <w:sz w:val="19"/>
                <w:szCs w:val="19"/>
              </w:rPr>
            </w:pPr>
            <w:r>
              <w:rPr>
                <w:rFonts w:ascii="Times New Roman"/>
                <w:w w:val="105"/>
                <w:sz w:val="19"/>
              </w:rPr>
              <w:t>2017/5/8</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02"/>
              <w:jc w:val="right"/>
              <w:rPr>
                <w:rFonts w:ascii="Times New Roman" w:hAnsi="Times New Roman" w:cs="Times New Roman" w:eastAsia="Times New Roman" w:hint="default"/>
                <w:sz w:val="19"/>
                <w:szCs w:val="19"/>
              </w:rPr>
            </w:pPr>
            <w:r>
              <w:rPr>
                <w:rFonts w:ascii="Times New Roman"/>
                <w:sz w:val="19"/>
              </w:rPr>
              <w:t>2019/9/13</w:t>
            </w:r>
          </w:p>
        </w:tc>
      </w:tr>
      <w:tr>
        <w:trPr>
          <w:trHeight w:val="435"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9"/>
                <w:szCs w:val="19"/>
              </w:rPr>
            </w:pPr>
            <w:r>
              <w:rPr>
                <w:rFonts w:ascii="Times New Roman"/>
                <w:spacing w:val="-8"/>
                <w:w w:val="105"/>
                <w:sz w:val="19"/>
              </w:rPr>
              <w:t>78</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一种服务器数据存储空间共享的方法及装置</w:t>
            </w:r>
            <w:r>
              <w:rPr>
                <w:rFonts w:ascii="宋体" w:hAnsi="宋体" w:cs="宋体" w:eastAsia="宋体" w:hint="default"/>
                <w:spacing w:val="3"/>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24"/>
              <w:jc w:val="center"/>
              <w:rPr>
                <w:rFonts w:ascii="Times New Roman" w:hAnsi="Times New Roman" w:cs="Times New Roman" w:eastAsia="Times New Roman" w:hint="default"/>
                <w:sz w:val="19"/>
                <w:szCs w:val="19"/>
              </w:rPr>
            </w:pPr>
            <w:r>
              <w:rPr>
                <w:rFonts w:ascii="Times New Roman"/>
                <w:w w:val="105"/>
                <w:sz w:val="19"/>
              </w:rPr>
              <w:t>ZL201710304801.0</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6"/>
              <w:jc w:val="center"/>
              <w:rPr>
                <w:rFonts w:ascii="Times New Roman" w:hAnsi="Times New Roman" w:cs="Times New Roman" w:eastAsia="Times New Roman" w:hint="default"/>
                <w:sz w:val="19"/>
                <w:szCs w:val="19"/>
              </w:rPr>
            </w:pPr>
            <w:r>
              <w:rPr>
                <w:rFonts w:ascii="Times New Roman"/>
                <w:w w:val="105"/>
                <w:sz w:val="19"/>
              </w:rPr>
              <w:t>2017/5/3</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202"/>
              <w:jc w:val="right"/>
              <w:rPr>
                <w:rFonts w:ascii="Times New Roman" w:hAnsi="Times New Roman" w:cs="Times New Roman" w:eastAsia="Times New Roman" w:hint="default"/>
                <w:sz w:val="19"/>
                <w:szCs w:val="19"/>
              </w:rPr>
            </w:pPr>
            <w:r>
              <w:rPr>
                <w:rFonts w:ascii="Times New Roman"/>
                <w:sz w:val="19"/>
              </w:rPr>
              <w:t>2019/10/8</w:t>
            </w:r>
          </w:p>
        </w:tc>
      </w:tr>
      <w:tr>
        <w:trPr>
          <w:trHeight w:val="421"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19"/>
                <w:szCs w:val="19"/>
              </w:rPr>
            </w:pPr>
            <w:r>
              <w:rPr>
                <w:rFonts w:ascii="Times New Roman"/>
                <w:spacing w:val="-8"/>
                <w:w w:val="105"/>
                <w:sz w:val="19"/>
              </w:rPr>
              <w:t>79</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w:t>
            </w:r>
            <w:r>
              <w:rPr>
                <w:rFonts w:ascii="Times New Roman" w:hAnsi="Times New Roman" w:cs="Times New Roman" w:eastAsia="Times New Roman" w:hint="default"/>
                <w:spacing w:val="3"/>
                <w:w w:val="105"/>
                <w:sz w:val="19"/>
                <w:szCs w:val="19"/>
              </w:rPr>
              <w:t>NFC</w:t>
            </w:r>
            <w:r>
              <w:rPr>
                <w:rFonts w:ascii="宋体" w:hAnsi="宋体" w:cs="宋体" w:eastAsia="宋体" w:hint="default"/>
                <w:spacing w:val="3"/>
                <w:w w:val="105"/>
                <w:sz w:val="19"/>
                <w:szCs w:val="19"/>
              </w:rPr>
              <w:t>动态令牌及其工作方法</w:t>
            </w:r>
            <w:r>
              <w:rPr>
                <w:rFonts w:ascii="宋体" w:hAnsi="宋体" w:cs="宋体" w:eastAsia="宋体" w:hint="default"/>
                <w:spacing w:val="3"/>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24"/>
              <w:jc w:val="center"/>
              <w:rPr>
                <w:rFonts w:ascii="Times New Roman" w:hAnsi="Times New Roman" w:cs="Times New Roman" w:eastAsia="Times New Roman" w:hint="default"/>
                <w:sz w:val="19"/>
                <w:szCs w:val="19"/>
              </w:rPr>
            </w:pPr>
            <w:r>
              <w:rPr>
                <w:rFonts w:ascii="Times New Roman"/>
                <w:w w:val="105"/>
                <w:sz w:val="19"/>
              </w:rPr>
              <w:t>ZL201610349991.3</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21"/>
              <w:jc w:val="center"/>
              <w:rPr>
                <w:rFonts w:ascii="Times New Roman" w:hAnsi="Times New Roman" w:cs="Times New Roman" w:eastAsia="Times New Roman" w:hint="default"/>
                <w:sz w:val="19"/>
                <w:szCs w:val="19"/>
              </w:rPr>
            </w:pPr>
            <w:r>
              <w:rPr>
                <w:rFonts w:ascii="Times New Roman"/>
                <w:w w:val="105"/>
                <w:sz w:val="19"/>
              </w:rPr>
              <w:t>2016/5/24</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202"/>
              <w:jc w:val="right"/>
              <w:rPr>
                <w:rFonts w:ascii="Times New Roman" w:hAnsi="Times New Roman" w:cs="Times New Roman" w:eastAsia="Times New Roman" w:hint="default"/>
                <w:sz w:val="19"/>
                <w:szCs w:val="19"/>
              </w:rPr>
            </w:pPr>
            <w:r>
              <w:rPr>
                <w:rFonts w:ascii="Times New Roman"/>
                <w:sz w:val="19"/>
              </w:rPr>
              <w:t>2019/10/8</w:t>
            </w:r>
          </w:p>
        </w:tc>
      </w:tr>
      <w:tr>
        <w:trPr>
          <w:trHeight w:val="421"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9"/>
                <w:szCs w:val="19"/>
              </w:rPr>
            </w:pPr>
            <w:r>
              <w:rPr>
                <w:rFonts w:ascii="Times New Roman"/>
                <w:spacing w:val="-8"/>
                <w:w w:val="105"/>
                <w:sz w:val="19"/>
              </w:rPr>
              <w:t>80</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4"/>
                <w:w w:val="105"/>
                <w:sz w:val="19"/>
                <w:szCs w:val="19"/>
              </w:rPr>
              <w:t>一种脱机认证数据的个人化方法及个人化设备</w:t>
            </w:r>
            <w:r>
              <w:rPr>
                <w:rFonts w:ascii="宋体" w:hAnsi="宋体" w:cs="宋体" w:eastAsia="宋体" w:hint="default"/>
                <w:spacing w:val="4"/>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4"/>
              <w:jc w:val="center"/>
              <w:rPr>
                <w:rFonts w:ascii="Times New Roman" w:hAnsi="Times New Roman" w:cs="Times New Roman" w:eastAsia="Times New Roman" w:hint="default"/>
                <w:sz w:val="19"/>
                <w:szCs w:val="19"/>
              </w:rPr>
            </w:pPr>
            <w:r>
              <w:rPr>
                <w:rFonts w:ascii="Times New Roman"/>
                <w:w w:val="105"/>
                <w:sz w:val="19"/>
              </w:rPr>
              <w:t>ZL201710637779.1</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1"/>
              <w:jc w:val="center"/>
              <w:rPr>
                <w:rFonts w:ascii="Times New Roman" w:hAnsi="Times New Roman" w:cs="Times New Roman" w:eastAsia="Times New Roman" w:hint="default"/>
                <w:sz w:val="19"/>
                <w:szCs w:val="19"/>
              </w:rPr>
            </w:pPr>
            <w:r>
              <w:rPr>
                <w:rFonts w:ascii="Times New Roman"/>
                <w:w w:val="105"/>
                <w:sz w:val="19"/>
              </w:rPr>
              <w:t>2017/7/31</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02"/>
              <w:jc w:val="right"/>
              <w:rPr>
                <w:rFonts w:ascii="Times New Roman" w:hAnsi="Times New Roman" w:cs="Times New Roman" w:eastAsia="Times New Roman" w:hint="default"/>
                <w:sz w:val="19"/>
                <w:szCs w:val="19"/>
              </w:rPr>
            </w:pPr>
            <w:r>
              <w:rPr>
                <w:rFonts w:ascii="Times New Roman"/>
                <w:sz w:val="19"/>
              </w:rPr>
              <w:t>2019/10/8</w:t>
            </w:r>
          </w:p>
        </w:tc>
      </w:tr>
      <w:tr>
        <w:trPr>
          <w:trHeight w:val="435"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9"/>
                <w:szCs w:val="19"/>
              </w:rPr>
            </w:pPr>
            <w:r>
              <w:rPr>
                <w:rFonts w:ascii="Times New Roman"/>
                <w:spacing w:val="-8"/>
                <w:w w:val="105"/>
                <w:sz w:val="19"/>
              </w:rPr>
              <w:t>81</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一种颁发身份认证凭据的方法、系统及认证服务器</w:t>
            </w:r>
            <w:r>
              <w:rPr>
                <w:rFonts w:ascii="宋体" w:hAnsi="宋体" w:cs="宋体" w:eastAsia="宋体" w:hint="default"/>
                <w:spacing w:val="3"/>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24"/>
              <w:jc w:val="center"/>
              <w:rPr>
                <w:rFonts w:ascii="Times New Roman" w:hAnsi="Times New Roman" w:cs="Times New Roman" w:eastAsia="Times New Roman" w:hint="default"/>
                <w:sz w:val="19"/>
                <w:szCs w:val="19"/>
              </w:rPr>
            </w:pPr>
            <w:r>
              <w:rPr>
                <w:rFonts w:ascii="Times New Roman"/>
                <w:w w:val="105"/>
                <w:sz w:val="19"/>
              </w:rPr>
              <w:t>ZL201710121273.5</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6"/>
              <w:jc w:val="center"/>
              <w:rPr>
                <w:rFonts w:ascii="Times New Roman" w:hAnsi="Times New Roman" w:cs="Times New Roman" w:eastAsia="Times New Roman" w:hint="default"/>
                <w:sz w:val="19"/>
                <w:szCs w:val="19"/>
              </w:rPr>
            </w:pPr>
            <w:r>
              <w:rPr>
                <w:rFonts w:ascii="Times New Roman"/>
                <w:w w:val="105"/>
                <w:sz w:val="19"/>
              </w:rPr>
              <w:t>2017/3/2</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202"/>
              <w:jc w:val="right"/>
              <w:rPr>
                <w:rFonts w:ascii="Times New Roman" w:hAnsi="Times New Roman" w:cs="Times New Roman" w:eastAsia="Times New Roman" w:hint="default"/>
                <w:sz w:val="19"/>
                <w:szCs w:val="19"/>
              </w:rPr>
            </w:pPr>
            <w:r>
              <w:rPr>
                <w:rFonts w:ascii="Times New Roman"/>
                <w:sz w:val="19"/>
              </w:rPr>
              <w:t>2019/10/8</w:t>
            </w:r>
          </w:p>
        </w:tc>
      </w:tr>
      <w:tr>
        <w:trPr>
          <w:trHeight w:val="420"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9"/>
                <w:szCs w:val="19"/>
              </w:rPr>
            </w:pPr>
            <w:r>
              <w:rPr>
                <w:rFonts w:ascii="Times New Roman"/>
                <w:spacing w:val="-8"/>
                <w:w w:val="105"/>
                <w:sz w:val="19"/>
              </w:rPr>
              <w:t>82</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一种保护主密钥的工具及其工作方法</w:t>
            </w:r>
            <w:r>
              <w:rPr>
                <w:rFonts w:ascii="宋体" w:hAnsi="宋体" w:cs="宋体" w:eastAsia="宋体" w:hint="default"/>
                <w:spacing w:val="3"/>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24"/>
              <w:jc w:val="center"/>
              <w:rPr>
                <w:rFonts w:ascii="Times New Roman" w:hAnsi="Times New Roman" w:cs="Times New Roman" w:eastAsia="Times New Roman" w:hint="default"/>
                <w:sz w:val="19"/>
                <w:szCs w:val="19"/>
              </w:rPr>
            </w:pPr>
            <w:r>
              <w:rPr>
                <w:rFonts w:ascii="Times New Roman"/>
                <w:w w:val="105"/>
                <w:sz w:val="19"/>
              </w:rPr>
              <w:t>ZL201710217752.7</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6"/>
              <w:jc w:val="center"/>
              <w:rPr>
                <w:rFonts w:ascii="Times New Roman" w:hAnsi="Times New Roman" w:cs="Times New Roman" w:eastAsia="Times New Roman" w:hint="default"/>
                <w:sz w:val="19"/>
                <w:szCs w:val="19"/>
              </w:rPr>
            </w:pPr>
            <w:r>
              <w:rPr>
                <w:rFonts w:ascii="Times New Roman"/>
                <w:w w:val="105"/>
                <w:sz w:val="19"/>
              </w:rPr>
              <w:t>2017/4/5</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202"/>
              <w:jc w:val="right"/>
              <w:rPr>
                <w:rFonts w:ascii="Times New Roman" w:hAnsi="Times New Roman" w:cs="Times New Roman" w:eastAsia="Times New Roman" w:hint="default"/>
                <w:sz w:val="19"/>
                <w:szCs w:val="19"/>
              </w:rPr>
            </w:pPr>
            <w:r>
              <w:rPr>
                <w:rFonts w:ascii="Times New Roman"/>
                <w:sz w:val="19"/>
              </w:rPr>
              <w:t>2019/10/8</w:t>
            </w:r>
          </w:p>
        </w:tc>
      </w:tr>
      <w:tr>
        <w:trPr>
          <w:trHeight w:val="436"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9"/>
                <w:szCs w:val="19"/>
              </w:rPr>
            </w:pPr>
            <w:r>
              <w:rPr>
                <w:rFonts w:ascii="Times New Roman"/>
                <w:spacing w:val="-8"/>
                <w:w w:val="105"/>
                <w:sz w:val="19"/>
              </w:rPr>
              <w:t>83</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4"/>
                <w:w w:val="105"/>
                <w:sz w:val="19"/>
                <w:szCs w:val="19"/>
              </w:rPr>
              <w:t>一种兼顾通信速度和功耗的蓝牙通信方法及终端</w:t>
            </w:r>
            <w:r>
              <w:rPr>
                <w:rFonts w:ascii="宋体" w:hAnsi="宋体" w:cs="宋体" w:eastAsia="宋体" w:hint="default"/>
                <w:spacing w:val="4"/>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4"/>
              <w:jc w:val="center"/>
              <w:rPr>
                <w:rFonts w:ascii="Times New Roman" w:hAnsi="Times New Roman" w:cs="Times New Roman" w:eastAsia="Times New Roman" w:hint="default"/>
                <w:sz w:val="19"/>
                <w:szCs w:val="19"/>
              </w:rPr>
            </w:pPr>
            <w:r>
              <w:rPr>
                <w:rFonts w:ascii="Times New Roman"/>
                <w:w w:val="105"/>
                <w:sz w:val="19"/>
              </w:rPr>
              <w:t>ZL201610943369.5</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1"/>
              <w:jc w:val="center"/>
              <w:rPr>
                <w:rFonts w:ascii="Times New Roman" w:hAnsi="Times New Roman" w:cs="Times New Roman" w:eastAsia="Times New Roman" w:hint="default"/>
                <w:sz w:val="19"/>
                <w:szCs w:val="19"/>
              </w:rPr>
            </w:pPr>
            <w:r>
              <w:rPr>
                <w:rFonts w:ascii="Times New Roman"/>
                <w:w w:val="105"/>
                <w:sz w:val="19"/>
              </w:rPr>
              <w:t>2016/11/1</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02"/>
              <w:jc w:val="right"/>
              <w:rPr>
                <w:rFonts w:ascii="Times New Roman" w:hAnsi="Times New Roman" w:cs="Times New Roman" w:eastAsia="Times New Roman" w:hint="default"/>
                <w:sz w:val="19"/>
                <w:szCs w:val="19"/>
              </w:rPr>
            </w:pPr>
            <w:r>
              <w:rPr>
                <w:rFonts w:ascii="Times New Roman"/>
                <w:sz w:val="19"/>
              </w:rPr>
              <w:t>2019/10/8</w:t>
            </w:r>
          </w:p>
        </w:tc>
      </w:tr>
      <w:tr>
        <w:trPr>
          <w:trHeight w:val="420"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9"/>
                <w:szCs w:val="19"/>
              </w:rPr>
            </w:pPr>
            <w:r>
              <w:rPr>
                <w:rFonts w:ascii="Times New Roman"/>
                <w:spacing w:val="-8"/>
                <w:w w:val="105"/>
                <w:sz w:val="19"/>
              </w:rPr>
              <w:t>84</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一种降低金融交易风险的方法和装置</w:t>
            </w:r>
            <w:r>
              <w:rPr>
                <w:rFonts w:ascii="宋体" w:hAnsi="宋体" w:cs="宋体" w:eastAsia="宋体" w:hint="default"/>
                <w:spacing w:val="3"/>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4"/>
              <w:jc w:val="center"/>
              <w:rPr>
                <w:rFonts w:ascii="Times New Roman" w:hAnsi="Times New Roman" w:cs="Times New Roman" w:eastAsia="Times New Roman" w:hint="default"/>
                <w:sz w:val="19"/>
                <w:szCs w:val="19"/>
              </w:rPr>
            </w:pPr>
            <w:r>
              <w:rPr>
                <w:rFonts w:ascii="Times New Roman"/>
                <w:w w:val="105"/>
                <w:sz w:val="19"/>
              </w:rPr>
              <w:t>ZL201810038078.0</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1"/>
              <w:jc w:val="center"/>
              <w:rPr>
                <w:rFonts w:ascii="Times New Roman" w:hAnsi="Times New Roman" w:cs="Times New Roman" w:eastAsia="Times New Roman" w:hint="default"/>
                <w:sz w:val="19"/>
                <w:szCs w:val="19"/>
              </w:rPr>
            </w:pPr>
            <w:r>
              <w:rPr>
                <w:rFonts w:ascii="Times New Roman"/>
                <w:w w:val="105"/>
                <w:sz w:val="19"/>
              </w:rPr>
              <w:t>2018/1/16</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02"/>
              <w:jc w:val="right"/>
              <w:rPr>
                <w:rFonts w:ascii="Times New Roman" w:hAnsi="Times New Roman" w:cs="Times New Roman" w:eastAsia="Times New Roman" w:hint="default"/>
                <w:sz w:val="19"/>
                <w:szCs w:val="19"/>
              </w:rPr>
            </w:pPr>
            <w:r>
              <w:rPr>
                <w:rFonts w:ascii="Times New Roman"/>
                <w:sz w:val="19"/>
              </w:rPr>
              <w:t>2019/10/8</w:t>
            </w:r>
          </w:p>
        </w:tc>
      </w:tr>
      <w:tr>
        <w:trPr>
          <w:trHeight w:val="435"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9"/>
                <w:szCs w:val="19"/>
              </w:rPr>
            </w:pPr>
            <w:r>
              <w:rPr>
                <w:rFonts w:ascii="Times New Roman"/>
                <w:spacing w:val="-8"/>
                <w:w w:val="105"/>
                <w:sz w:val="19"/>
              </w:rPr>
              <w:t>85</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4"/>
                <w:w w:val="105"/>
                <w:sz w:val="19"/>
                <w:szCs w:val="19"/>
              </w:rPr>
              <w:t>一种智能密钥设备及其工作方法</w:t>
            </w:r>
            <w:r>
              <w:rPr>
                <w:rFonts w:ascii="宋体" w:hAnsi="宋体" w:cs="宋体" w:eastAsia="宋体" w:hint="default"/>
                <w:spacing w:val="4"/>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11"/>
              <w:jc w:val="center"/>
              <w:rPr>
                <w:rFonts w:ascii="Times New Roman" w:hAnsi="Times New Roman" w:cs="Times New Roman" w:eastAsia="Times New Roman" w:hint="default"/>
                <w:sz w:val="19"/>
                <w:szCs w:val="19"/>
              </w:rPr>
            </w:pPr>
            <w:r>
              <w:rPr>
                <w:rFonts w:ascii="Times New Roman"/>
                <w:w w:val="105"/>
                <w:sz w:val="19"/>
              </w:rPr>
              <w:t>ZL201710470325.X</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21"/>
              <w:jc w:val="center"/>
              <w:rPr>
                <w:rFonts w:ascii="Times New Roman" w:hAnsi="Times New Roman" w:cs="Times New Roman" w:eastAsia="Times New Roman" w:hint="default"/>
                <w:sz w:val="19"/>
                <w:szCs w:val="19"/>
              </w:rPr>
            </w:pPr>
            <w:r>
              <w:rPr>
                <w:rFonts w:ascii="Times New Roman"/>
                <w:w w:val="105"/>
                <w:sz w:val="19"/>
              </w:rPr>
              <w:t>2017/6/20</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202"/>
              <w:jc w:val="right"/>
              <w:rPr>
                <w:rFonts w:ascii="Times New Roman" w:hAnsi="Times New Roman" w:cs="Times New Roman" w:eastAsia="Times New Roman" w:hint="default"/>
                <w:sz w:val="19"/>
                <w:szCs w:val="19"/>
              </w:rPr>
            </w:pPr>
            <w:r>
              <w:rPr>
                <w:rFonts w:ascii="Times New Roman"/>
                <w:sz w:val="19"/>
              </w:rPr>
              <w:t>2019/10/8</w:t>
            </w:r>
          </w:p>
        </w:tc>
      </w:tr>
      <w:tr>
        <w:trPr>
          <w:trHeight w:val="420"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0"/>
              <w:jc w:val="center"/>
              <w:rPr>
                <w:rFonts w:ascii="Times New Roman" w:hAnsi="Times New Roman" w:cs="Times New Roman" w:eastAsia="Times New Roman" w:hint="default"/>
                <w:sz w:val="19"/>
                <w:szCs w:val="19"/>
              </w:rPr>
            </w:pPr>
            <w:r>
              <w:rPr>
                <w:rFonts w:ascii="Times New Roman"/>
                <w:spacing w:val="-8"/>
                <w:w w:val="105"/>
                <w:sz w:val="19"/>
              </w:rPr>
              <w:t>86</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left"/>
              <w:rPr>
                <w:rFonts w:ascii="宋体" w:hAnsi="宋体" w:cs="宋体" w:eastAsia="宋体" w:hint="default"/>
                <w:sz w:val="19"/>
                <w:szCs w:val="19"/>
              </w:rPr>
            </w:pPr>
            <w:r>
              <w:rPr>
                <w:rFonts w:ascii="宋体" w:hAnsi="宋体" w:cs="宋体" w:eastAsia="宋体" w:hint="default"/>
                <w:spacing w:val="4"/>
                <w:w w:val="105"/>
                <w:sz w:val="19"/>
                <w:szCs w:val="19"/>
              </w:rPr>
              <w:t>一种蓝牙配对的实现方法及装置</w:t>
            </w:r>
            <w:r>
              <w:rPr>
                <w:rFonts w:ascii="宋体" w:hAnsi="宋体" w:cs="宋体" w:eastAsia="宋体" w:hint="default"/>
                <w:spacing w:val="4"/>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4"/>
              <w:jc w:val="center"/>
              <w:rPr>
                <w:rFonts w:ascii="Times New Roman" w:hAnsi="Times New Roman" w:cs="Times New Roman" w:eastAsia="Times New Roman" w:hint="default"/>
                <w:sz w:val="19"/>
                <w:szCs w:val="19"/>
              </w:rPr>
            </w:pPr>
            <w:r>
              <w:rPr>
                <w:rFonts w:ascii="Times New Roman"/>
                <w:w w:val="105"/>
                <w:sz w:val="19"/>
              </w:rPr>
              <w:t>ZL201710069320.6</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6"/>
              <w:jc w:val="center"/>
              <w:rPr>
                <w:rFonts w:ascii="Times New Roman" w:hAnsi="Times New Roman" w:cs="Times New Roman" w:eastAsia="Times New Roman" w:hint="default"/>
                <w:sz w:val="19"/>
                <w:szCs w:val="19"/>
              </w:rPr>
            </w:pPr>
            <w:r>
              <w:rPr>
                <w:rFonts w:ascii="Times New Roman"/>
                <w:w w:val="105"/>
                <w:sz w:val="19"/>
              </w:rPr>
              <w:t>2017/2/8</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58"/>
              <w:jc w:val="right"/>
              <w:rPr>
                <w:rFonts w:ascii="Times New Roman" w:hAnsi="Times New Roman" w:cs="Times New Roman" w:eastAsia="Times New Roman" w:hint="default"/>
                <w:sz w:val="19"/>
                <w:szCs w:val="19"/>
              </w:rPr>
            </w:pPr>
            <w:r>
              <w:rPr>
                <w:rFonts w:ascii="Times New Roman"/>
                <w:sz w:val="19"/>
              </w:rPr>
              <w:t>2019/11/15</w:t>
            </w:r>
          </w:p>
        </w:tc>
      </w:tr>
      <w:tr>
        <w:trPr>
          <w:trHeight w:val="751"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9"/>
                <w:szCs w:val="19"/>
              </w:rPr>
            </w:pPr>
            <w:r>
              <w:rPr>
                <w:rFonts w:ascii="Times New Roman"/>
                <w:spacing w:val="-8"/>
                <w:w w:val="105"/>
                <w:sz w:val="19"/>
              </w:rPr>
              <w:t>87</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63"/>
              <w:ind w:right="30"/>
              <w:jc w:val="left"/>
              <w:rPr>
                <w:rFonts w:ascii="宋体" w:hAnsi="宋体" w:cs="宋体" w:eastAsia="宋体" w:hint="default"/>
                <w:sz w:val="19"/>
                <w:szCs w:val="19"/>
              </w:rPr>
            </w:pPr>
            <w:r>
              <w:rPr>
                <w:rFonts w:ascii="宋体" w:hAnsi="宋体" w:cs="宋体" w:eastAsia="宋体" w:hint="default"/>
                <w:spacing w:val="9"/>
                <w:sz w:val="19"/>
                <w:szCs w:val="19"/>
              </w:rPr>
              <w:t>一种实现用于苹果移动终端的多接口设备的方法和</w:t>
            </w:r>
            <w:r>
              <w:rPr>
                <w:rFonts w:ascii="宋体" w:hAnsi="宋体" w:cs="宋体" w:eastAsia="宋体" w:hint="default"/>
                <w:spacing w:val="41"/>
                <w:sz w:val="19"/>
                <w:szCs w:val="19"/>
              </w:rPr>
              <w:t> </w:t>
            </w:r>
            <w:r>
              <w:rPr>
                <w:rFonts w:ascii="宋体" w:hAnsi="宋体" w:cs="宋体" w:eastAsia="宋体" w:hint="default"/>
                <w:spacing w:val="41"/>
                <w:sz w:val="19"/>
                <w:szCs w:val="19"/>
              </w:rPr>
            </w:r>
            <w:r>
              <w:rPr>
                <w:rFonts w:ascii="宋体" w:hAnsi="宋体" w:cs="宋体" w:eastAsia="宋体" w:hint="default"/>
                <w:w w:val="105"/>
                <w:sz w:val="19"/>
                <w:szCs w:val="19"/>
              </w:rPr>
              <w:t>装置</w:t>
            </w:r>
            <w:r>
              <w:rPr>
                <w:rFonts w:ascii="宋体" w:hAnsi="宋体" w:cs="宋体" w:eastAsia="宋体" w:hint="default"/>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4"/>
              <w:jc w:val="center"/>
              <w:rPr>
                <w:rFonts w:ascii="Times New Roman" w:hAnsi="Times New Roman" w:cs="Times New Roman" w:eastAsia="Times New Roman" w:hint="default"/>
                <w:sz w:val="19"/>
                <w:szCs w:val="19"/>
              </w:rPr>
            </w:pPr>
            <w:r>
              <w:rPr>
                <w:rFonts w:ascii="Times New Roman"/>
                <w:w w:val="105"/>
                <w:sz w:val="19"/>
              </w:rPr>
              <w:t>ZL201711473413.1</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8"/>
              <w:jc w:val="center"/>
              <w:rPr>
                <w:rFonts w:ascii="Times New Roman" w:hAnsi="Times New Roman" w:cs="Times New Roman" w:eastAsia="Times New Roman" w:hint="default"/>
                <w:sz w:val="19"/>
                <w:szCs w:val="19"/>
              </w:rPr>
            </w:pPr>
            <w:r>
              <w:rPr>
                <w:rFonts w:ascii="Times New Roman"/>
                <w:w w:val="105"/>
                <w:sz w:val="19"/>
              </w:rPr>
              <w:t>2017/12/29</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58"/>
              <w:jc w:val="right"/>
              <w:rPr>
                <w:rFonts w:ascii="Times New Roman" w:hAnsi="Times New Roman" w:cs="Times New Roman" w:eastAsia="Times New Roman" w:hint="default"/>
                <w:sz w:val="19"/>
                <w:szCs w:val="19"/>
              </w:rPr>
            </w:pPr>
            <w:r>
              <w:rPr>
                <w:rFonts w:ascii="Times New Roman"/>
                <w:sz w:val="19"/>
              </w:rPr>
              <w:t>2019/11/15</w:t>
            </w:r>
          </w:p>
        </w:tc>
      </w:tr>
      <w:tr>
        <w:trPr>
          <w:trHeight w:val="420"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0"/>
              <w:jc w:val="center"/>
              <w:rPr>
                <w:rFonts w:ascii="Times New Roman" w:hAnsi="Times New Roman" w:cs="Times New Roman" w:eastAsia="Times New Roman" w:hint="default"/>
                <w:sz w:val="19"/>
                <w:szCs w:val="19"/>
              </w:rPr>
            </w:pPr>
            <w:r>
              <w:rPr>
                <w:rFonts w:ascii="Times New Roman"/>
                <w:spacing w:val="-8"/>
                <w:w w:val="105"/>
                <w:sz w:val="19"/>
              </w:rPr>
              <w:t>88</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一种蓝牙智能密钥设备及其工作方法</w:t>
            </w:r>
            <w:r>
              <w:rPr>
                <w:rFonts w:ascii="宋体" w:hAnsi="宋体" w:cs="宋体" w:eastAsia="宋体" w:hint="default"/>
                <w:spacing w:val="3"/>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4"/>
              <w:jc w:val="center"/>
              <w:rPr>
                <w:rFonts w:ascii="Times New Roman" w:hAnsi="Times New Roman" w:cs="Times New Roman" w:eastAsia="Times New Roman" w:hint="default"/>
                <w:sz w:val="19"/>
                <w:szCs w:val="19"/>
              </w:rPr>
            </w:pPr>
            <w:r>
              <w:rPr>
                <w:rFonts w:ascii="Times New Roman"/>
                <w:w w:val="105"/>
                <w:sz w:val="19"/>
              </w:rPr>
              <w:t>ZL201610453114.0</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1"/>
              <w:jc w:val="center"/>
              <w:rPr>
                <w:rFonts w:ascii="Times New Roman" w:hAnsi="Times New Roman" w:cs="Times New Roman" w:eastAsia="Times New Roman" w:hint="default"/>
                <w:sz w:val="19"/>
                <w:szCs w:val="19"/>
              </w:rPr>
            </w:pPr>
            <w:r>
              <w:rPr>
                <w:rFonts w:ascii="Times New Roman"/>
                <w:w w:val="105"/>
                <w:sz w:val="19"/>
              </w:rPr>
              <w:t>2016/6/21</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58"/>
              <w:jc w:val="right"/>
              <w:rPr>
                <w:rFonts w:ascii="Times New Roman" w:hAnsi="Times New Roman" w:cs="Times New Roman" w:eastAsia="Times New Roman" w:hint="default"/>
                <w:sz w:val="19"/>
                <w:szCs w:val="19"/>
              </w:rPr>
            </w:pPr>
            <w:r>
              <w:rPr>
                <w:rFonts w:ascii="Times New Roman"/>
                <w:sz w:val="19"/>
              </w:rPr>
              <w:t>2019/11/15</w:t>
            </w:r>
          </w:p>
        </w:tc>
      </w:tr>
      <w:tr>
        <w:trPr>
          <w:trHeight w:val="420"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9"/>
                <w:szCs w:val="19"/>
              </w:rPr>
            </w:pPr>
            <w:r>
              <w:rPr>
                <w:rFonts w:ascii="Times New Roman"/>
                <w:spacing w:val="-8"/>
                <w:w w:val="105"/>
                <w:sz w:val="19"/>
              </w:rPr>
              <w:t>89</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一种授权方法及系统</w:t>
            </w:r>
            <w:r>
              <w:rPr>
                <w:rFonts w:ascii="宋体" w:hAnsi="宋体" w:cs="宋体" w:eastAsia="宋体" w:hint="default"/>
                <w:spacing w:val="3"/>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4"/>
              <w:jc w:val="center"/>
              <w:rPr>
                <w:rFonts w:ascii="Times New Roman" w:hAnsi="Times New Roman" w:cs="Times New Roman" w:eastAsia="Times New Roman" w:hint="default"/>
                <w:sz w:val="19"/>
                <w:szCs w:val="19"/>
              </w:rPr>
            </w:pPr>
            <w:r>
              <w:rPr>
                <w:rFonts w:ascii="Times New Roman"/>
                <w:w w:val="105"/>
                <w:sz w:val="19"/>
              </w:rPr>
              <w:t>ZL201710069609.8</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6"/>
              <w:jc w:val="center"/>
              <w:rPr>
                <w:rFonts w:ascii="Times New Roman" w:hAnsi="Times New Roman" w:cs="Times New Roman" w:eastAsia="Times New Roman" w:hint="default"/>
                <w:sz w:val="19"/>
                <w:szCs w:val="19"/>
              </w:rPr>
            </w:pPr>
            <w:r>
              <w:rPr>
                <w:rFonts w:ascii="Times New Roman"/>
                <w:w w:val="105"/>
                <w:sz w:val="19"/>
              </w:rPr>
              <w:t>2017/2/8</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58"/>
              <w:jc w:val="right"/>
              <w:rPr>
                <w:rFonts w:ascii="Times New Roman" w:hAnsi="Times New Roman" w:cs="Times New Roman" w:eastAsia="Times New Roman" w:hint="default"/>
                <w:sz w:val="19"/>
                <w:szCs w:val="19"/>
              </w:rPr>
            </w:pPr>
            <w:r>
              <w:rPr>
                <w:rFonts w:ascii="Times New Roman"/>
                <w:sz w:val="19"/>
              </w:rPr>
              <w:t>2019/11/15</w:t>
            </w:r>
          </w:p>
        </w:tc>
      </w:tr>
      <w:tr>
        <w:trPr>
          <w:trHeight w:val="436"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9"/>
                <w:szCs w:val="19"/>
              </w:rPr>
            </w:pPr>
            <w:r>
              <w:rPr>
                <w:rFonts w:ascii="Times New Roman"/>
                <w:spacing w:val="-8"/>
                <w:w w:val="105"/>
                <w:sz w:val="19"/>
              </w:rPr>
              <w:t>90</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一种基于数字货币的电子交易方法及系统</w:t>
            </w:r>
            <w:r>
              <w:rPr>
                <w:rFonts w:ascii="宋体" w:hAnsi="宋体" w:cs="宋体" w:eastAsia="宋体" w:hint="default"/>
                <w:spacing w:val="3"/>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4"/>
              <w:jc w:val="center"/>
              <w:rPr>
                <w:rFonts w:ascii="Times New Roman" w:hAnsi="Times New Roman" w:cs="Times New Roman" w:eastAsia="Times New Roman" w:hint="default"/>
                <w:sz w:val="19"/>
                <w:szCs w:val="19"/>
              </w:rPr>
            </w:pPr>
            <w:r>
              <w:rPr>
                <w:rFonts w:ascii="Times New Roman"/>
                <w:w w:val="105"/>
                <w:sz w:val="19"/>
              </w:rPr>
              <w:t>ZL201611198313.8</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8"/>
              <w:jc w:val="center"/>
              <w:rPr>
                <w:rFonts w:ascii="Times New Roman" w:hAnsi="Times New Roman" w:cs="Times New Roman" w:eastAsia="Times New Roman" w:hint="default"/>
                <w:sz w:val="19"/>
                <w:szCs w:val="19"/>
              </w:rPr>
            </w:pPr>
            <w:r>
              <w:rPr>
                <w:rFonts w:ascii="Times New Roman"/>
                <w:w w:val="105"/>
                <w:sz w:val="19"/>
              </w:rPr>
              <w:t>2016/12/22</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58"/>
              <w:jc w:val="right"/>
              <w:rPr>
                <w:rFonts w:ascii="Times New Roman" w:hAnsi="Times New Roman" w:cs="Times New Roman" w:eastAsia="Times New Roman" w:hint="default"/>
                <w:sz w:val="19"/>
                <w:szCs w:val="19"/>
              </w:rPr>
            </w:pPr>
            <w:r>
              <w:rPr>
                <w:rFonts w:ascii="Times New Roman"/>
                <w:sz w:val="19"/>
              </w:rPr>
              <w:t>2019/11/29</w:t>
            </w:r>
          </w:p>
        </w:tc>
      </w:tr>
      <w:tr>
        <w:trPr>
          <w:trHeight w:val="420"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9"/>
                <w:szCs w:val="19"/>
              </w:rPr>
            </w:pPr>
            <w:r>
              <w:rPr>
                <w:rFonts w:ascii="Times New Roman"/>
                <w:spacing w:val="-8"/>
                <w:w w:val="105"/>
                <w:sz w:val="19"/>
              </w:rPr>
              <w:t>91</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4"/>
                <w:w w:val="105"/>
                <w:sz w:val="19"/>
                <w:szCs w:val="19"/>
              </w:rPr>
              <w:t>一种认证设备与网站的集成方法、系统及装置</w:t>
            </w:r>
            <w:r>
              <w:rPr>
                <w:rFonts w:ascii="宋体" w:hAnsi="宋体" w:cs="宋体" w:eastAsia="宋体" w:hint="default"/>
                <w:spacing w:val="4"/>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24"/>
              <w:jc w:val="center"/>
              <w:rPr>
                <w:rFonts w:ascii="Times New Roman" w:hAnsi="Times New Roman" w:cs="Times New Roman" w:eastAsia="Times New Roman" w:hint="default"/>
                <w:sz w:val="19"/>
                <w:szCs w:val="19"/>
              </w:rPr>
            </w:pPr>
            <w:r>
              <w:rPr>
                <w:rFonts w:ascii="Times New Roman"/>
                <w:w w:val="105"/>
                <w:sz w:val="19"/>
              </w:rPr>
              <w:t>ZL201710068729.6</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6"/>
              <w:jc w:val="center"/>
              <w:rPr>
                <w:rFonts w:ascii="Times New Roman" w:hAnsi="Times New Roman" w:cs="Times New Roman" w:eastAsia="Times New Roman" w:hint="default"/>
                <w:sz w:val="19"/>
                <w:szCs w:val="19"/>
              </w:rPr>
            </w:pPr>
            <w:r>
              <w:rPr>
                <w:rFonts w:ascii="Times New Roman"/>
                <w:w w:val="105"/>
                <w:sz w:val="19"/>
              </w:rPr>
              <w:t>2017/2/8</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158"/>
              <w:jc w:val="right"/>
              <w:rPr>
                <w:rFonts w:ascii="Times New Roman" w:hAnsi="Times New Roman" w:cs="Times New Roman" w:eastAsia="Times New Roman" w:hint="default"/>
                <w:sz w:val="19"/>
                <w:szCs w:val="19"/>
              </w:rPr>
            </w:pPr>
            <w:r>
              <w:rPr>
                <w:rFonts w:ascii="Times New Roman"/>
                <w:sz w:val="19"/>
              </w:rPr>
              <w:t>2019/11/29</w:t>
            </w:r>
          </w:p>
        </w:tc>
      </w:tr>
      <w:tr>
        <w:trPr>
          <w:trHeight w:val="435"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9"/>
                <w:szCs w:val="19"/>
              </w:rPr>
            </w:pPr>
            <w:r>
              <w:rPr>
                <w:rFonts w:ascii="Times New Roman"/>
                <w:spacing w:val="-8"/>
                <w:w w:val="105"/>
                <w:sz w:val="19"/>
              </w:rPr>
              <w:t>92</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4"/>
                <w:w w:val="105"/>
                <w:sz w:val="19"/>
                <w:szCs w:val="19"/>
              </w:rPr>
              <w:t>一种控制数据交互的设备、系统及其工作方法</w:t>
            </w:r>
            <w:r>
              <w:rPr>
                <w:rFonts w:ascii="宋体" w:hAnsi="宋体" w:cs="宋体" w:eastAsia="宋体" w:hint="default"/>
                <w:spacing w:val="4"/>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24"/>
              <w:jc w:val="center"/>
              <w:rPr>
                <w:rFonts w:ascii="Times New Roman" w:hAnsi="Times New Roman" w:cs="Times New Roman" w:eastAsia="Times New Roman" w:hint="default"/>
                <w:sz w:val="19"/>
                <w:szCs w:val="19"/>
              </w:rPr>
            </w:pPr>
            <w:r>
              <w:rPr>
                <w:rFonts w:ascii="Times New Roman"/>
                <w:w w:val="105"/>
                <w:sz w:val="19"/>
              </w:rPr>
              <w:t>ZL201610423079.8</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21"/>
              <w:jc w:val="center"/>
              <w:rPr>
                <w:rFonts w:ascii="Times New Roman" w:hAnsi="Times New Roman" w:cs="Times New Roman" w:eastAsia="Times New Roman" w:hint="default"/>
                <w:sz w:val="19"/>
                <w:szCs w:val="19"/>
              </w:rPr>
            </w:pPr>
            <w:r>
              <w:rPr>
                <w:rFonts w:ascii="Times New Roman"/>
                <w:w w:val="105"/>
                <w:sz w:val="19"/>
              </w:rPr>
              <w:t>2016/6/15</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58"/>
              <w:jc w:val="right"/>
              <w:rPr>
                <w:rFonts w:ascii="Times New Roman" w:hAnsi="Times New Roman" w:cs="Times New Roman" w:eastAsia="Times New Roman" w:hint="default"/>
                <w:sz w:val="19"/>
                <w:szCs w:val="19"/>
              </w:rPr>
            </w:pPr>
            <w:r>
              <w:rPr>
                <w:rFonts w:ascii="Times New Roman"/>
                <w:sz w:val="19"/>
              </w:rPr>
              <w:t>2019/12/20</w:t>
            </w:r>
          </w:p>
        </w:tc>
      </w:tr>
      <w:tr>
        <w:trPr>
          <w:trHeight w:val="421"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9"/>
                <w:szCs w:val="19"/>
              </w:rPr>
            </w:pPr>
            <w:r>
              <w:rPr>
                <w:rFonts w:ascii="Times New Roman"/>
                <w:spacing w:val="-8"/>
                <w:w w:val="105"/>
                <w:sz w:val="19"/>
              </w:rPr>
              <w:t>93</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一种多方位防侧信道攻击的签名方法</w:t>
            </w:r>
            <w:r>
              <w:rPr>
                <w:rFonts w:ascii="宋体" w:hAnsi="宋体" w:cs="宋体" w:eastAsia="宋体" w:hint="default"/>
                <w:spacing w:val="3"/>
                <w:sz w:val="19"/>
                <w:szCs w:val="19"/>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3"/>
              <w:jc w:val="center"/>
              <w:rPr>
                <w:rFonts w:ascii="Times New Roman" w:hAnsi="Times New Roman" w:cs="Times New Roman" w:eastAsia="Times New Roman" w:hint="default"/>
                <w:sz w:val="19"/>
                <w:szCs w:val="19"/>
              </w:rPr>
            </w:pPr>
            <w:r>
              <w:rPr>
                <w:rFonts w:ascii="Times New Roman"/>
                <w:w w:val="105"/>
                <w:sz w:val="19"/>
              </w:rPr>
              <w:t>201610943335.6</w:t>
            </w:r>
            <w:r>
              <w:rPr>
                <w:rFonts w:ascii="Times New Roman"/>
                <w:sz w:val="19"/>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1"/>
              <w:jc w:val="center"/>
              <w:rPr>
                <w:rFonts w:ascii="Times New Roman" w:hAnsi="Times New Roman" w:cs="Times New Roman" w:eastAsia="Times New Roman" w:hint="default"/>
                <w:sz w:val="19"/>
                <w:szCs w:val="19"/>
              </w:rPr>
            </w:pPr>
            <w:r>
              <w:rPr>
                <w:rFonts w:ascii="Times New Roman"/>
                <w:w w:val="105"/>
                <w:sz w:val="19"/>
              </w:rPr>
              <w:t>2016/11/2</w:t>
            </w:r>
            <w:r>
              <w:rPr>
                <w:rFonts w:ascii="Times New Roman"/>
                <w:sz w:val="19"/>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02"/>
              <w:jc w:val="right"/>
              <w:rPr>
                <w:rFonts w:ascii="Times New Roman" w:hAnsi="Times New Roman" w:cs="Times New Roman" w:eastAsia="Times New Roman" w:hint="default"/>
                <w:sz w:val="19"/>
                <w:szCs w:val="19"/>
              </w:rPr>
            </w:pPr>
            <w:r>
              <w:rPr>
                <w:rFonts w:ascii="Times New Roman"/>
                <w:sz w:val="19"/>
              </w:rPr>
              <w:t>2019/6/18</w:t>
            </w:r>
          </w:p>
        </w:tc>
      </w:tr>
    </w:tbl>
    <w:p>
      <w:pPr>
        <w:spacing w:line="240" w:lineRule="auto" w:before="10"/>
        <w:rPr>
          <w:rFonts w:ascii="Times New Roman" w:hAnsi="Times New Roman" w:cs="Times New Roman" w:eastAsia="Times New Roman" w:hint="default"/>
          <w:sz w:val="24"/>
          <w:szCs w:val="24"/>
        </w:rPr>
      </w:pPr>
    </w:p>
    <w:p>
      <w:pPr>
        <w:pStyle w:val="Heading6"/>
        <w:spacing w:line="240" w:lineRule="auto"/>
        <w:ind w:left="591" w:right="1100"/>
        <w:jc w:val="left"/>
        <w:rPr>
          <w:b w:val="0"/>
          <w:bCs w:val="0"/>
        </w:rPr>
      </w:pPr>
      <w:r>
        <w:rPr/>
        <w:t>（</w:t>
      </w:r>
      <w:r>
        <w:rPr>
          <w:rFonts w:ascii="Times New Roman" w:hAnsi="Times New Roman" w:cs="Times New Roman" w:eastAsia="Times New Roman" w:hint="default"/>
        </w:rPr>
        <w:t>2</w:t>
      </w:r>
      <w:r>
        <w:rPr/>
        <w:t>）实用新型</w:t>
      </w:r>
      <w:r>
        <w:rPr>
          <w:b w:val="0"/>
          <w:bCs w:val="0"/>
        </w:rPr>
      </w:r>
    </w:p>
    <w:p>
      <w:pPr>
        <w:spacing w:line="240" w:lineRule="auto" w:before="12"/>
        <w:rPr>
          <w:rFonts w:ascii="宋体" w:hAnsi="宋体" w:cs="宋体" w:eastAsia="宋体" w:hint="default"/>
          <w:b/>
          <w:bCs/>
          <w:sz w:val="3"/>
          <w:szCs w:val="3"/>
        </w:rPr>
      </w:pPr>
    </w:p>
    <w:tbl>
      <w:tblPr>
        <w:tblW w:w="0" w:type="auto"/>
        <w:jc w:val="left"/>
        <w:tblInd w:w="111" w:type="dxa"/>
        <w:tblLayout w:type="fixed"/>
        <w:tblCellMar>
          <w:top w:w="0" w:type="dxa"/>
          <w:left w:w="0" w:type="dxa"/>
          <w:bottom w:w="0" w:type="dxa"/>
          <w:right w:w="0" w:type="dxa"/>
        </w:tblCellMar>
        <w:tblLook w:val="01E0"/>
      </w:tblPr>
      <w:tblGrid>
        <w:gridCol w:w="826"/>
        <w:gridCol w:w="4461"/>
        <w:gridCol w:w="1982"/>
        <w:gridCol w:w="1142"/>
        <w:gridCol w:w="1261"/>
      </w:tblGrid>
      <w:tr>
        <w:trPr>
          <w:trHeight w:val="346"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3"/>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300"/>
              <w:jc w:val="right"/>
              <w:rPr>
                <w:rFonts w:ascii="宋体" w:hAnsi="宋体" w:cs="宋体" w:eastAsia="宋体" w:hint="default"/>
                <w:sz w:val="18"/>
                <w:szCs w:val="18"/>
              </w:rPr>
            </w:pPr>
            <w:r>
              <w:rPr>
                <w:rFonts w:ascii="宋体" w:hAnsi="宋体" w:cs="宋体" w:eastAsia="宋体" w:hint="default"/>
                <w:b/>
                <w:bCs/>
                <w:w w:val="95"/>
                <w:sz w:val="18"/>
                <w:szCs w:val="18"/>
              </w:rPr>
              <w:t>申请日</w:t>
            </w:r>
            <w:r>
              <w:rPr>
                <w:rFonts w:ascii="宋体" w:hAnsi="宋体" w:cs="宋体" w:eastAsia="宋体" w:hint="default"/>
                <w:sz w:val="18"/>
                <w:szCs w:val="18"/>
              </w:rPr>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80" w:right="0"/>
              <w:jc w:val="left"/>
              <w:rPr>
                <w:rFonts w:ascii="宋体" w:hAnsi="宋体" w:cs="宋体" w:eastAsia="宋体" w:hint="default"/>
                <w:sz w:val="18"/>
                <w:szCs w:val="18"/>
              </w:rPr>
            </w:pPr>
            <w:r>
              <w:rPr>
                <w:rFonts w:ascii="宋体" w:hAnsi="宋体" w:cs="宋体" w:eastAsia="宋体" w:hint="default"/>
                <w:b/>
                <w:bCs/>
                <w:sz w:val="18"/>
                <w:szCs w:val="18"/>
              </w:rPr>
              <w:t>授权公告日</w:t>
            </w:r>
            <w:r>
              <w:rPr>
                <w:rFonts w:ascii="宋体" w:hAnsi="宋体" w:cs="宋体" w:eastAsia="宋体" w:hint="default"/>
                <w:sz w:val="18"/>
                <w:szCs w:val="18"/>
              </w:rPr>
            </w:r>
          </w:p>
        </w:tc>
      </w:tr>
      <w:tr>
        <w:trPr>
          <w:trHeight w:val="435"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 w:right="0"/>
              <w:jc w:val="center"/>
              <w:rPr>
                <w:rFonts w:ascii="Times New Roman" w:hAnsi="Times New Roman" w:cs="Times New Roman" w:eastAsia="Times New Roman" w:hint="default"/>
                <w:sz w:val="19"/>
                <w:szCs w:val="19"/>
              </w:rPr>
            </w:pPr>
            <w:r>
              <w:rPr>
                <w:rFonts w:ascii="Times New Roman"/>
                <w:w w:val="102"/>
                <w:sz w:val="19"/>
              </w:rPr>
              <w:t>1</w:t>
            </w:r>
            <w:r>
              <w:rPr>
                <w:rFonts w:ascii="Times New Roman"/>
                <w:sz w:val="19"/>
              </w:rPr>
            </w:r>
          </w:p>
        </w:tc>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w w:val="105"/>
                <w:sz w:val="19"/>
                <w:szCs w:val="19"/>
              </w:rPr>
              <w:t>一种</w:t>
            </w:r>
            <w:r>
              <w:rPr>
                <w:rFonts w:ascii="Times New Roman" w:hAnsi="Times New Roman" w:cs="Times New Roman" w:eastAsia="Times New Roman" w:hint="default"/>
                <w:w w:val="105"/>
                <w:sz w:val="19"/>
                <w:szCs w:val="19"/>
              </w:rPr>
              <w:t>USB</w:t>
            </w:r>
            <w:r>
              <w:rPr>
                <w:rFonts w:ascii="宋体" w:hAnsi="宋体" w:cs="宋体" w:eastAsia="宋体" w:hint="default"/>
                <w:w w:val="105"/>
                <w:sz w:val="19"/>
                <w:szCs w:val="19"/>
              </w:rPr>
              <w:t>设备</w:t>
            </w:r>
            <w:r>
              <w:rPr>
                <w:rFonts w:ascii="宋体" w:hAnsi="宋体" w:cs="宋体" w:eastAsia="宋体" w:hint="default"/>
                <w:sz w:val="19"/>
                <w:szCs w:val="19"/>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0"/>
              <w:jc w:val="left"/>
              <w:rPr>
                <w:rFonts w:ascii="Times New Roman" w:hAnsi="Times New Roman" w:cs="Times New Roman" w:eastAsia="Times New Roman" w:hint="default"/>
                <w:sz w:val="19"/>
                <w:szCs w:val="19"/>
              </w:rPr>
            </w:pPr>
            <w:r>
              <w:rPr>
                <w:rFonts w:ascii="Times New Roman"/>
                <w:w w:val="105"/>
                <w:sz w:val="19"/>
              </w:rPr>
              <w:t>ZL201821326026.5</w:t>
            </w:r>
            <w:r>
              <w:rPr>
                <w:rFonts w:ascii="Times New Roman"/>
                <w:sz w:val="19"/>
              </w:rPr>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322"/>
              <w:jc w:val="right"/>
              <w:rPr>
                <w:rFonts w:ascii="Times New Roman" w:hAnsi="Times New Roman" w:cs="Times New Roman" w:eastAsia="Times New Roman" w:hint="default"/>
                <w:sz w:val="19"/>
                <w:szCs w:val="19"/>
              </w:rPr>
            </w:pPr>
            <w:r>
              <w:rPr>
                <w:rFonts w:ascii="Times New Roman"/>
                <w:sz w:val="19"/>
              </w:rPr>
              <w:t>2018/8/16</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15" w:right="0"/>
              <w:jc w:val="left"/>
              <w:rPr>
                <w:rFonts w:ascii="Times New Roman" w:hAnsi="Times New Roman" w:cs="Times New Roman" w:eastAsia="Times New Roman" w:hint="default"/>
                <w:sz w:val="19"/>
                <w:szCs w:val="19"/>
              </w:rPr>
            </w:pPr>
            <w:r>
              <w:rPr>
                <w:rFonts w:ascii="Times New Roman"/>
                <w:w w:val="105"/>
                <w:sz w:val="19"/>
              </w:rPr>
              <w:t>2019/3/15</w:t>
            </w:r>
            <w:r>
              <w:rPr>
                <w:rFonts w:ascii="Times New Roman"/>
                <w:sz w:val="19"/>
              </w:rPr>
            </w:r>
          </w:p>
        </w:tc>
      </w:tr>
      <w:tr>
        <w:trPr>
          <w:trHeight w:val="735"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7" w:right="0"/>
              <w:jc w:val="center"/>
              <w:rPr>
                <w:rFonts w:ascii="Times New Roman" w:hAnsi="Times New Roman" w:cs="Times New Roman" w:eastAsia="Times New Roman" w:hint="default"/>
                <w:sz w:val="19"/>
                <w:szCs w:val="19"/>
              </w:rPr>
            </w:pPr>
            <w:r>
              <w:rPr>
                <w:rFonts w:ascii="Times New Roman"/>
                <w:w w:val="102"/>
                <w:sz w:val="19"/>
              </w:rPr>
              <w:t>2</w:t>
            </w:r>
            <w:r>
              <w:rPr>
                <w:rFonts w:ascii="Times New Roman"/>
                <w:sz w:val="19"/>
              </w:rPr>
            </w:r>
          </w:p>
        </w:tc>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8"/>
              <w:ind w:right="16"/>
              <w:jc w:val="left"/>
              <w:rPr>
                <w:rFonts w:ascii="宋体" w:hAnsi="宋体" w:cs="宋体" w:eastAsia="宋体" w:hint="default"/>
                <w:sz w:val="19"/>
                <w:szCs w:val="19"/>
              </w:rPr>
            </w:pPr>
            <w:r>
              <w:rPr>
                <w:rFonts w:ascii="宋体" w:hAnsi="宋体" w:cs="宋体" w:eastAsia="宋体" w:hint="default"/>
                <w:spacing w:val="5"/>
                <w:sz w:val="19"/>
                <w:szCs w:val="19"/>
              </w:rPr>
              <w:t>一种双重控制电路和具有双重控制电路的智能密钥</w:t>
            </w:r>
            <w:r>
              <w:rPr>
                <w:rFonts w:ascii="宋体" w:hAnsi="宋体" w:cs="宋体" w:eastAsia="宋体" w:hint="default"/>
                <w:spacing w:val="39"/>
                <w:sz w:val="19"/>
                <w:szCs w:val="19"/>
              </w:rPr>
              <w:t> </w:t>
            </w:r>
            <w:r>
              <w:rPr>
                <w:rFonts w:ascii="宋体" w:hAnsi="宋体" w:cs="宋体" w:eastAsia="宋体" w:hint="default"/>
                <w:spacing w:val="39"/>
                <w:sz w:val="19"/>
                <w:szCs w:val="19"/>
              </w:rPr>
            </w:r>
            <w:r>
              <w:rPr>
                <w:rFonts w:ascii="宋体" w:hAnsi="宋体" w:cs="宋体" w:eastAsia="宋体" w:hint="default"/>
                <w:w w:val="105"/>
                <w:sz w:val="19"/>
                <w:szCs w:val="19"/>
              </w:rPr>
              <w:t>设备</w:t>
            </w:r>
            <w:r>
              <w:rPr>
                <w:rFonts w:ascii="宋体" w:hAnsi="宋体" w:cs="宋体" w:eastAsia="宋体" w:hint="default"/>
                <w:sz w:val="19"/>
                <w:szCs w:val="19"/>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0"/>
              <w:jc w:val="left"/>
              <w:rPr>
                <w:rFonts w:ascii="Times New Roman" w:hAnsi="Times New Roman" w:cs="Times New Roman" w:eastAsia="Times New Roman" w:hint="default"/>
                <w:sz w:val="19"/>
                <w:szCs w:val="19"/>
              </w:rPr>
            </w:pPr>
            <w:r>
              <w:rPr>
                <w:rFonts w:ascii="Times New Roman"/>
                <w:w w:val="105"/>
                <w:sz w:val="19"/>
              </w:rPr>
              <w:t>ZL201821040059.3</w:t>
            </w:r>
            <w:r>
              <w:rPr>
                <w:rFonts w:ascii="Times New Roman"/>
                <w:sz w:val="19"/>
              </w:rPr>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322"/>
              <w:jc w:val="right"/>
              <w:rPr>
                <w:rFonts w:ascii="Times New Roman" w:hAnsi="Times New Roman" w:cs="Times New Roman" w:eastAsia="Times New Roman" w:hint="default"/>
                <w:sz w:val="19"/>
                <w:szCs w:val="19"/>
              </w:rPr>
            </w:pPr>
            <w:r>
              <w:rPr>
                <w:rFonts w:ascii="Times New Roman"/>
                <w:sz w:val="19"/>
              </w:rPr>
              <w:t>2018/6/29</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5" w:right="0"/>
              <w:jc w:val="left"/>
              <w:rPr>
                <w:rFonts w:ascii="Times New Roman" w:hAnsi="Times New Roman" w:cs="Times New Roman" w:eastAsia="Times New Roman" w:hint="default"/>
                <w:sz w:val="19"/>
                <w:szCs w:val="19"/>
              </w:rPr>
            </w:pPr>
            <w:r>
              <w:rPr>
                <w:rFonts w:ascii="Times New Roman"/>
                <w:w w:val="105"/>
                <w:sz w:val="19"/>
              </w:rPr>
              <w:t>2019/3/15</w:t>
            </w:r>
            <w:r>
              <w:rPr>
                <w:rFonts w:ascii="Times New Roman"/>
                <w:sz w:val="19"/>
              </w:rPr>
            </w:r>
          </w:p>
        </w:tc>
      </w:tr>
      <w:tr>
        <w:trPr>
          <w:trHeight w:val="421"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7" w:right="0"/>
              <w:jc w:val="center"/>
              <w:rPr>
                <w:rFonts w:ascii="Times New Roman" w:hAnsi="Times New Roman" w:cs="Times New Roman" w:eastAsia="Times New Roman" w:hint="default"/>
                <w:sz w:val="19"/>
                <w:szCs w:val="19"/>
              </w:rPr>
            </w:pPr>
            <w:r>
              <w:rPr>
                <w:rFonts w:ascii="Times New Roman"/>
                <w:w w:val="102"/>
                <w:sz w:val="19"/>
              </w:rPr>
              <w:t>3</w:t>
            </w:r>
            <w:r>
              <w:rPr>
                <w:rFonts w:ascii="Times New Roman"/>
                <w:sz w:val="19"/>
              </w:rPr>
            </w:r>
          </w:p>
        </w:tc>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一种非接取电电路</w:t>
            </w:r>
            <w:r>
              <w:rPr>
                <w:rFonts w:ascii="宋体" w:hAnsi="宋体" w:cs="宋体" w:eastAsia="宋体" w:hint="default"/>
                <w:spacing w:val="3"/>
                <w:sz w:val="19"/>
                <w:szCs w:val="19"/>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0"/>
              <w:jc w:val="left"/>
              <w:rPr>
                <w:rFonts w:ascii="Times New Roman" w:hAnsi="Times New Roman" w:cs="Times New Roman" w:eastAsia="Times New Roman" w:hint="default"/>
                <w:sz w:val="19"/>
                <w:szCs w:val="19"/>
              </w:rPr>
            </w:pPr>
            <w:r>
              <w:rPr>
                <w:rFonts w:ascii="Times New Roman"/>
                <w:w w:val="105"/>
                <w:sz w:val="19"/>
              </w:rPr>
              <w:t>ZL201821610361.8</w:t>
            </w:r>
            <w:r>
              <w:rPr>
                <w:rFonts w:ascii="Times New Roman"/>
                <w:sz w:val="19"/>
              </w:rPr>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322"/>
              <w:jc w:val="right"/>
              <w:rPr>
                <w:rFonts w:ascii="Times New Roman" w:hAnsi="Times New Roman" w:cs="Times New Roman" w:eastAsia="Times New Roman" w:hint="default"/>
                <w:sz w:val="19"/>
                <w:szCs w:val="19"/>
              </w:rPr>
            </w:pPr>
            <w:r>
              <w:rPr>
                <w:rFonts w:ascii="Times New Roman"/>
                <w:sz w:val="19"/>
              </w:rPr>
              <w:t>2018/9/29</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15" w:right="0"/>
              <w:jc w:val="left"/>
              <w:rPr>
                <w:rFonts w:ascii="Times New Roman" w:hAnsi="Times New Roman" w:cs="Times New Roman" w:eastAsia="Times New Roman" w:hint="default"/>
                <w:sz w:val="19"/>
                <w:szCs w:val="19"/>
              </w:rPr>
            </w:pPr>
            <w:r>
              <w:rPr>
                <w:rFonts w:ascii="Times New Roman"/>
                <w:w w:val="105"/>
                <w:sz w:val="19"/>
              </w:rPr>
              <w:t>2019/4/12</w:t>
            </w:r>
            <w:r>
              <w:rPr>
                <w:rFonts w:ascii="Times New Roman"/>
                <w:sz w:val="19"/>
              </w:rPr>
            </w:r>
          </w:p>
        </w:tc>
      </w:tr>
      <w:tr>
        <w:trPr>
          <w:trHeight w:val="435"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 w:right="0"/>
              <w:jc w:val="center"/>
              <w:rPr>
                <w:rFonts w:ascii="Times New Roman" w:hAnsi="Times New Roman" w:cs="Times New Roman" w:eastAsia="Times New Roman" w:hint="default"/>
                <w:sz w:val="19"/>
                <w:szCs w:val="19"/>
              </w:rPr>
            </w:pPr>
            <w:r>
              <w:rPr>
                <w:rFonts w:ascii="Times New Roman"/>
                <w:w w:val="102"/>
                <w:sz w:val="19"/>
              </w:rPr>
              <w:t>4</w:t>
            </w:r>
            <w:r>
              <w:rPr>
                <w:rFonts w:ascii="Times New Roman"/>
                <w:sz w:val="19"/>
              </w:rPr>
            </w:r>
          </w:p>
        </w:tc>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一种检测负载电流的装置</w:t>
            </w:r>
            <w:r>
              <w:rPr>
                <w:rFonts w:ascii="宋体" w:hAnsi="宋体" w:cs="宋体" w:eastAsia="宋体" w:hint="default"/>
                <w:spacing w:val="3"/>
                <w:sz w:val="19"/>
                <w:szCs w:val="19"/>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0"/>
              <w:jc w:val="left"/>
              <w:rPr>
                <w:rFonts w:ascii="Times New Roman" w:hAnsi="Times New Roman" w:cs="Times New Roman" w:eastAsia="Times New Roman" w:hint="default"/>
                <w:sz w:val="19"/>
                <w:szCs w:val="19"/>
              </w:rPr>
            </w:pPr>
            <w:r>
              <w:rPr>
                <w:rFonts w:ascii="Times New Roman"/>
                <w:w w:val="105"/>
                <w:sz w:val="19"/>
              </w:rPr>
              <w:t>ZL201821610363.7</w:t>
            </w:r>
            <w:r>
              <w:rPr>
                <w:rFonts w:ascii="Times New Roman"/>
                <w:sz w:val="19"/>
              </w:rPr>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322"/>
              <w:jc w:val="right"/>
              <w:rPr>
                <w:rFonts w:ascii="Times New Roman" w:hAnsi="Times New Roman" w:cs="Times New Roman" w:eastAsia="Times New Roman" w:hint="default"/>
                <w:sz w:val="19"/>
                <w:szCs w:val="19"/>
              </w:rPr>
            </w:pPr>
            <w:r>
              <w:rPr>
                <w:rFonts w:ascii="Times New Roman"/>
                <w:sz w:val="19"/>
              </w:rPr>
              <w:t>2018/9/29</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15" w:right="0"/>
              <w:jc w:val="left"/>
              <w:rPr>
                <w:rFonts w:ascii="Times New Roman" w:hAnsi="Times New Roman" w:cs="Times New Roman" w:eastAsia="Times New Roman" w:hint="default"/>
                <w:sz w:val="19"/>
                <w:szCs w:val="19"/>
              </w:rPr>
            </w:pPr>
            <w:r>
              <w:rPr>
                <w:rFonts w:ascii="Times New Roman"/>
                <w:w w:val="105"/>
                <w:sz w:val="19"/>
              </w:rPr>
              <w:t>2019/5/24</w:t>
            </w:r>
            <w:r>
              <w:rPr>
                <w:rFonts w:ascii="Times New Roman"/>
                <w:sz w:val="19"/>
              </w:rPr>
            </w:r>
          </w:p>
        </w:tc>
      </w:tr>
    </w:tbl>
    <w:p>
      <w:pPr>
        <w:spacing w:after="0" w:line="240" w:lineRule="auto"/>
        <w:jc w:val="left"/>
        <w:rPr>
          <w:rFonts w:ascii="Times New Roman" w:hAnsi="Times New Roman" w:cs="Times New Roman" w:eastAsia="Times New Roman" w:hint="default"/>
          <w:sz w:val="19"/>
          <w:szCs w:val="19"/>
        </w:rPr>
        <w:sectPr>
          <w:pgSz w:w="11910" w:h="16850"/>
          <w:pgMar w:header="731" w:footer="981" w:top="1040" w:bottom="1180" w:left="1000" w:right="0"/>
        </w:sectPr>
      </w:pPr>
    </w:p>
    <w:p>
      <w:pPr>
        <w:spacing w:line="240" w:lineRule="auto" w:before="6"/>
        <w:rPr>
          <w:rFonts w:ascii="宋体" w:hAnsi="宋体" w:cs="宋体" w:eastAsia="宋体" w:hint="default"/>
          <w:b/>
          <w:bCs/>
          <w:sz w:val="29"/>
          <w:szCs w:val="29"/>
        </w:rPr>
      </w:pPr>
    </w:p>
    <w:tbl>
      <w:tblPr>
        <w:tblW w:w="0" w:type="auto"/>
        <w:jc w:val="left"/>
        <w:tblInd w:w="111" w:type="dxa"/>
        <w:tblLayout w:type="fixed"/>
        <w:tblCellMar>
          <w:top w:w="0" w:type="dxa"/>
          <w:left w:w="0" w:type="dxa"/>
          <w:bottom w:w="0" w:type="dxa"/>
          <w:right w:w="0" w:type="dxa"/>
        </w:tblCellMar>
        <w:tblLook w:val="01E0"/>
      </w:tblPr>
      <w:tblGrid>
        <w:gridCol w:w="826"/>
        <w:gridCol w:w="4461"/>
        <w:gridCol w:w="1982"/>
        <w:gridCol w:w="1142"/>
        <w:gridCol w:w="1261"/>
      </w:tblGrid>
      <w:tr>
        <w:trPr>
          <w:trHeight w:val="420"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52"/>
              <w:jc w:val="right"/>
              <w:rPr>
                <w:rFonts w:ascii="Times New Roman" w:hAnsi="Times New Roman" w:cs="Times New Roman" w:eastAsia="Times New Roman" w:hint="default"/>
                <w:sz w:val="19"/>
                <w:szCs w:val="19"/>
              </w:rPr>
            </w:pPr>
            <w:r>
              <w:rPr>
                <w:rFonts w:ascii="Times New Roman"/>
                <w:w w:val="102"/>
                <w:sz w:val="19"/>
              </w:rPr>
              <w:t>5</w:t>
            </w:r>
            <w:r>
              <w:rPr>
                <w:rFonts w:ascii="Times New Roman"/>
                <w:sz w:val="19"/>
              </w:rPr>
            </w:r>
          </w:p>
        </w:tc>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一种按键测试装置</w:t>
            </w:r>
            <w:r>
              <w:rPr>
                <w:rFonts w:ascii="宋体" w:hAnsi="宋体" w:cs="宋体" w:eastAsia="宋体" w:hint="default"/>
                <w:spacing w:val="3"/>
                <w:sz w:val="19"/>
                <w:szCs w:val="19"/>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0"/>
              <w:jc w:val="left"/>
              <w:rPr>
                <w:rFonts w:ascii="Times New Roman" w:hAnsi="Times New Roman" w:cs="Times New Roman" w:eastAsia="Times New Roman" w:hint="default"/>
                <w:sz w:val="19"/>
                <w:szCs w:val="19"/>
              </w:rPr>
            </w:pPr>
            <w:r>
              <w:rPr>
                <w:rFonts w:ascii="Times New Roman"/>
                <w:w w:val="105"/>
                <w:sz w:val="19"/>
              </w:rPr>
              <w:t>ZL201821849182.X</w:t>
            </w:r>
            <w:r>
              <w:rPr>
                <w:rFonts w:ascii="Times New Roman"/>
                <w:sz w:val="19"/>
              </w:rPr>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0"/>
              <w:jc w:val="left"/>
              <w:rPr>
                <w:rFonts w:ascii="Times New Roman" w:hAnsi="Times New Roman" w:cs="Times New Roman" w:eastAsia="Times New Roman" w:hint="default"/>
                <w:sz w:val="19"/>
                <w:szCs w:val="19"/>
              </w:rPr>
            </w:pPr>
            <w:r>
              <w:rPr>
                <w:rFonts w:ascii="Times New Roman"/>
                <w:w w:val="105"/>
                <w:sz w:val="19"/>
              </w:rPr>
              <w:t>2018/11/9</w:t>
            </w:r>
            <w:r>
              <w:rPr>
                <w:rFonts w:ascii="Times New Roman"/>
                <w:sz w:val="19"/>
              </w:rPr>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15" w:right="0"/>
              <w:jc w:val="left"/>
              <w:rPr>
                <w:rFonts w:ascii="Times New Roman" w:hAnsi="Times New Roman" w:cs="Times New Roman" w:eastAsia="Times New Roman" w:hint="default"/>
                <w:sz w:val="19"/>
                <w:szCs w:val="19"/>
              </w:rPr>
            </w:pPr>
            <w:r>
              <w:rPr>
                <w:rFonts w:ascii="Times New Roman"/>
                <w:w w:val="105"/>
                <w:sz w:val="19"/>
              </w:rPr>
              <w:t>2019/7/12</w:t>
            </w:r>
            <w:r>
              <w:rPr>
                <w:rFonts w:ascii="Times New Roman"/>
                <w:sz w:val="19"/>
              </w:rPr>
            </w:r>
          </w:p>
        </w:tc>
      </w:tr>
      <w:tr>
        <w:trPr>
          <w:trHeight w:val="435"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352"/>
              <w:jc w:val="right"/>
              <w:rPr>
                <w:rFonts w:ascii="Times New Roman" w:hAnsi="Times New Roman" w:cs="Times New Roman" w:eastAsia="Times New Roman" w:hint="default"/>
                <w:sz w:val="19"/>
                <w:szCs w:val="19"/>
              </w:rPr>
            </w:pPr>
            <w:r>
              <w:rPr>
                <w:rFonts w:ascii="Times New Roman"/>
                <w:w w:val="102"/>
                <w:sz w:val="19"/>
              </w:rPr>
              <w:t>6</w:t>
            </w:r>
            <w:r>
              <w:rPr>
                <w:rFonts w:ascii="Times New Roman"/>
                <w:sz w:val="19"/>
              </w:rPr>
            </w:r>
          </w:p>
        </w:tc>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2"/>
                <w:w w:val="105"/>
                <w:sz w:val="19"/>
                <w:szCs w:val="19"/>
              </w:rPr>
              <w:t>蓝牙硬件钱包</w:t>
            </w:r>
            <w:r>
              <w:rPr>
                <w:rFonts w:ascii="宋体" w:hAnsi="宋体" w:cs="宋体" w:eastAsia="宋体" w:hint="default"/>
                <w:spacing w:val="2"/>
                <w:sz w:val="19"/>
                <w:szCs w:val="19"/>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0"/>
              <w:jc w:val="left"/>
              <w:rPr>
                <w:rFonts w:ascii="Times New Roman" w:hAnsi="Times New Roman" w:cs="Times New Roman" w:eastAsia="Times New Roman" w:hint="default"/>
                <w:sz w:val="19"/>
                <w:szCs w:val="19"/>
              </w:rPr>
            </w:pPr>
            <w:r>
              <w:rPr>
                <w:rFonts w:ascii="Times New Roman"/>
                <w:w w:val="105"/>
                <w:sz w:val="19"/>
              </w:rPr>
              <w:t>ZL201822242977.0</w:t>
            </w:r>
            <w:r>
              <w:rPr>
                <w:rFonts w:ascii="Times New Roman"/>
                <w:sz w:val="19"/>
              </w:rPr>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0"/>
              <w:jc w:val="left"/>
              <w:rPr>
                <w:rFonts w:ascii="Times New Roman" w:hAnsi="Times New Roman" w:cs="Times New Roman" w:eastAsia="Times New Roman" w:hint="default"/>
                <w:sz w:val="19"/>
                <w:szCs w:val="19"/>
              </w:rPr>
            </w:pPr>
            <w:r>
              <w:rPr>
                <w:rFonts w:ascii="Times New Roman"/>
                <w:w w:val="105"/>
                <w:sz w:val="19"/>
              </w:rPr>
              <w:t>2018/12/29</w:t>
            </w:r>
            <w:r>
              <w:rPr>
                <w:rFonts w:ascii="Times New Roman"/>
                <w:sz w:val="19"/>
              </w:rPr>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15" w:right="0"/>
              <w:jc w:val="left"/>
              <w:rPr>
                <w:rFonts w:ascii="Times New Roman" w:hAnsi="Times New Roman" w:cs="Times New Roman" w:eastAsia="Times New Roman" w:hint="default"/>
                <w:sz w:val="19"/>
                <w:szCs w:val="19"/>
              </w:rPr>
            </w:pPr>
            <w:r>
              <w:rPr>
                <w:rFonts w:ascii="Times New Roman"/>
                <w:w w:val="105"/>
                <w:sz w:val="19"/>
              </w:rPr>
              <w:t>2019/7/12</w:t>
            </w:r>
            <w:r>
              <w:rPr>
                <w:rFonts w:ascii="Times New Roman"/>
                <w:sz w:val="19"/>
              </w:rPr>
            </w:r>
          </w:p>
        </w:tc>
      </w:tr>
      <w:tr>
        <w:trPr>
          <w:trHeight w:val="420"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52"/>
              <w:jc w:val="right"/>
              <w:rPr>
                <w:rFonts w:ascii="Times New Roman" w:hAnsi="Times New Roman" w:cs="Times New Roman" w:eastAsia="Times New Roman" w:hint="default"/>
                <w:sz w:val="19"/>
                <w:szCs w:val="19"/>
              </w:rPr>
            </w:pPr>
            <w:r>
              <w:rPr>
                <w:rFonts w:ascii="Times New Roman"/>
                <w:w w:val="102"/>
                <w:sz w:val="19"/>
              </w:rPr>
              <w:t>7</w:t>
            </w:r>
            <w:r>
              <w:rPr>
                <w:rFonts w:ascii="Times New Roman"/>
                <w:sz w:val="19"/>
              </w:rPr>
            </w:r>
          </w:p>
        </w:tc>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w w:val="105"/>
                <w:sz w:val="19"/>
                <w:szCs w:val="19"/>
              </w:rPr>
              <w:t>一种</w:t>
            </w:r>
            <w:r>
              <w:rPr>
                <w:rFonts w:ascii="Times New Roman" w:hAnsi="Times New Roman" w:cs="Times New Roman" w:eastAsia="Times New Roman" w:hint="default"/>
                <w:w w:val="105"/>
                <w:sz w:val="19"/>
                <w:szCs w:val="19"/>
              </w:rPr>
              <w:t>IC</w:t>
            </w:r>
            <w:r>
              <w:rPr>
                <w:rFonts w:ascii="宋体" w:hAnsi="宋体" w:cs="宋体" w:eastAsia="宋体" w:hint="default"/>
                <w:w w:val="105"/>
                <w:sz w:val="19"/>
                <w:szCs w:val="19"/>
              </w:rPr>
              <w:t>卡天线</w:t>
            </w:r>
            <w:r>
              <w:rPr>
                <w:rFonts w:ascii="宋体" w:hAnsi="宋体" w:cs="宋体" w:eastAsia="宋体" w:hint="default"/>
                <w:sz w:val="19"/>
                <w:szCs w:val="19"/>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0"/>
              <w:jc w:val="left"/>
              <w:rPr>
                <w:rFonts w:ascii="Times New Roman" w:hAnsi="Times New Roman" w:cs="Times New Roman" w:eastAsia="Times New Roman" w:hint="default"/>
                <w:sz w:val="19"/>
                <w:szCs w:val="19"/>
              </w:rPr>
            </w:pPr>
            <w:r>
              <w:rPr>
                <w:rFonts w:ascii="Times New Roman"/>
                <w:w w:val="105"/>
                <w:sz w:val="19"/>
              </w:rPr>
              <w:t>ZL201920476052.4</w:t>
            </w:r>
            <w:r>
              <w:rPr>
                <w:rFonts w:ascii="Times New Roman"/>
                <w:sz w:val="19"/>
              </w:rPr>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0"/>
              <w:jc w:val="left"/>
              <w:rPr>
                <w:rFonts w:ascii="Times New Roman" w:hAnsi="Times New Roman" w:cs="Times New Roman" w:eastAsia="Times New Roman" w:hint="default"/>
                <w:sz w:val="19"/>
                <w:szCs w:val="19"/>
              </w:rPr>
            </w:pPr>
            <w:r>
              <w:rPr>
                <w:rFonts w:ascii="Times New Roman"/>
                <w:w w:val="105"/>
                <w:sz w:val="19"/>
              </w:rPr>
              <w:t>2019/4/9</w:t>
            </w:r>
            <w:r>
              <w:rPr>
                <w:rFonts w:ascii="Times New Roman"/>
                <w:sz w:val="19"/>
              </w:rPr>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15" w:right="0"/>
              <w:jc w:val="left"/>
              <w:rPr>
                <w:rFonts w:ascii="Times New Roman" w:hAnsi="Times New Roman" w:cs="Times New Roman" w:eastAsia="Times New Roman" w:hint="default"/>
                <w:sz w:val="19"/>
                <w:szCs w:val="19"/>
              </w:rPr>
            </w:pPr>
            <w:r>
              <w:rPr>
                <w:rFonts w:ascii="Times New Roman"/>
                <w:w w:val="105"/>
                <w:sz w:val="19"/>
              </w:rPr>
              <w:t>2019/10/8</w:t>
            </w:r>
            <w:r>
              <w:rPr>
                <w:rFonts w:ascii="Times New Roman"/>
                <w:sz w:val="19"/>
              </w:rPr>
            </w:r>
          </w:p>
        </w:tc>
      </w:tr>
      <w:tr>
        <w:trPr>
          <w:trHeight w:val="436"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52"/>
              <w:jc w:val="right"/>
              <w:rPr>
                <w:rFonts w:ascii="Times New Roman" w:hAnsi="Times New Roman" w:cs="Times New Roman" w:eastAsia="Times New Roman" w:hint="default"/>
                <w:sz w:val="19"/>
                <w:szCs w:val="19"/>
              </w:rPr>
            </w:pPr>
            <w:r>
              <w:rPr>
                <w:rFonts w:ascii="Times New Roman"/>
                <w:w w:val="102"/>
                <w:sz w:val="19"/>
              </w:rPr>
              <w:t>8</w:t>
            </w:r>
            <w:r>
              <w:rPr>
                <w:rFonts w:ascii="Times New Roman"/>
                <w:sz w:val="19"/>
              </w:rPr>
            </w:r>
          </w:p>
        </w:tc>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2"/>
                <w:w w:val="105"/>
                <w:sz w:val="19"/>
                <w:szCs w:val="19"/>
              </w:rPr>
              <w:t>一种双</w:t>
            </w:r>
            <w:r>
              <w:rPr>
                <w:rFonts w:ascii="Times New Roman" w:hAnsi="Times New Roman" w:cs="Times New Roman" w:eastAsia="Times New Roman" w:hint="default"/>
                <w:spacing w:val="2"/>
                <w:w w:val="105"/>
                <w:sz w:val="19"/>
                <w:szCs w:val="19"/>
              </w:rPr>
              <w:t>PCB</w:t>
            </w:r>
            <w:r>
              <w:rPr>
                <w:rFonts w:ascii="宋体" w:hAnsi="宋体" w:cs="宋体" w:eastAsia="宋体" w:hint="default"/>
                <w:spacing w:val="2"/>
                <w:w w:val="105"/>
                <w:sz w:val="19"/>
                <w:szCs w:val="19"/>
              </w:rPr>
              <w:t>板的散热结构</w:t>
            </w:r>
            <w:r>
              <w:rPr>
                <w:rFonts w:ascii="宋体" w:hAnsi="宋体" w:cs="宋体" w:eastAsia="宋体" w:hint="default"/>
                <w:spacing w:val="2"/>
                <w:sz w:val="19"/>
                <w:szCs w:val="19"/>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0"/>
              <w:jc w:val="left"/>
              <w:rPr>
                <w:rFonts w:ascii="Times New Roman" w:hAnsi="Times New Roman" w:cs="Times New Roman" w:eastAsia="Times New Roman" w:hint="default"/>
                <w:sz w:val="19"/>
                <w:szCs w:val="19"/>
              </w:rPr>
            </w:pPr>
            <w:r>
              <w:rPr>
                <w:rFonts w:ascii="Times New Roman"/>
                <w:w w:val="105"/>
                <w:sz w:val="19"/>
              </w:rPr>
              <w:t>ZL201920057990.0</w:t>
            </w:r>
            <w:r>
              <w:rPr>
                <w:rFonts w:ascii="Times New Roman"/>
                <w:sz w:val="19"/>
              </w:rPr>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0"/>
              <w:jc w:val="left"/>
              <w:rPr>
                <w:rFonts w:ascii="Times New Roman" w:hAnsi="Times New Roman" w:cs="Times New Roman" w:eastAsia="Times New Roman" w:hint="default"/>
                <w:sz w:val="19"/>
                <w:szCs w:val="19"/>
              </w:rPr>
            </w:pPr>
            <w:r>
              <w:rPr>
                <w:rFonts w:ascii="Times New Roman"/>
                <w:w w:val="105"/>
                <w:sz w:val="19"/>
              </w:rPr>
              <w:t>2019/1/14</w:t>
            </w:r>
            <w:r>
              <w:rPr>
                <w:rFonts w:ascii="Times New Roman"/>
                <w:sz w:val="19"/>
              </w:rPr>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15" w:right="0"/>
              <w:jc w:val="left"/>
              <w:rPr>
                <w:rFonts w:ascii="Times New Roman" w:hAnsi="Times New Roman" w:cs="Times New Roman" w:eastAsia="Times New Roman" w:hint="default"/>
                <w:sz w:val="19"/>
                <w:szCs w:val="19"/>
              </w:rPr>
            </w:pPr>
            <w:r>
              <w:rPr>
                <w:rFonts w:ascii="Times New Roman"/>
                <w:w w:val="105"/>
                <w:sz w:val="19"/>
              </w:rPr>
              <w:t>2019/11/15</w:t>
            </w:r>
            <w:r>
              <w:rPr>
                <w:rFonts w:ascii="Times New Roman"/>
                <w:sz w:val="19"/>
              </w:rPr>
            </w:r>
          </w:p>
        </w:tc>
      </w:tr>
      <w:tr>
        <w:trPr>
          <w:trHeight w:val="420"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52"/>
              <w:jc w:val="right"/>
              <w:rPr>
                <w:rFonts w:ascii="Times New Roman" w:hAnsi="Times New Roman" w:cs="Times New Roman" w:eastAsia="Times New Roman" w:hint="default"/>
                <w:sz w:val="19"/>
                <w:szCs w:val="19"/>
              </w:rPr>
            </w:pPr>
            <w:r>
              <w:rPr>
                <w:rFonts w:ascii="Times New Roman"/>
                <w:w w:val="102"/>
                <w:sz w:val="19"/>
              </w:rPr>
              <w:t>9</w:t>
            </w:r>
            <w:r>
              <w:rPr>
                <w:rFonts w:ascii="Times New Roman"/>
                <w:sz w:val="19"/>
              </w:rPr>
            </w:r>
          </w:p>
        </w:tc>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2"/>
                <w:w w:val="105"/>
                <w:sz w:val="19"/>
                <w:szCs w:val="19"/>
              </w:rPr>
              <w:t>一种读卡器</w:t>
            </w:r>
            <w:r>
              <w:rPr>
                <w:rFonts w:ascii="宋体" w:hAnsi="宋体" w:cs="宋体" w:eastAsia="宋体" w:hint="default"/>
                <w:spacing w:val="2"/>
                <w:sz w:val="19"/>
                <w:szCs w:val="19"/>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0"/>
              <w:jc w:val="left"/>
              <w:rPr>
                <w:rFonts w:ascii="Times New Roman" w:hAnsi="Times New Roman" w:cs="Times New Roman" w:eastAsia="Times New Roman" w:hint="default"/>
                <w:sz w:val="19"/>
                <w:szCs w:val="19"/>
              </w:rPr>
            </w:pPr>
            <w:r>
              <w:rPr>
                <w:rFonts w:ascii="Times New Roman"/>
                <w:w w:val="105"/>
                <w:sz w:val="19"/>
              </w:rPr>
              <w:t>ZL201920992486.X</w:t>
            </w:r>
            <w:r>
              <w:rPr>
                <w:rFonts w:ascii="Times New Roman"/>
                <w:sz w:val="19"/>
              </w:rPr>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0"/>
              <w:jc w:val="left"/>
              <w:rPr>
                <w:rFonts w:ascii="Times New Roman" w:hAnsi="Times New Roman" w:cs="Times New Roman" w:eastAsia="Times New Roman" w:hint="default"/>
                <w:sz w:val="19"/>
                <w:szCs w:val="19"/>
              </w:rPr>
            </w:pPr>
            <w:r>
              <w:rPr>
                <w:rFonts w:ascii="Times New Roman"/>
                <w:w w:val="105"/>
                <w:sz w:val="19"/>
              </w:rPr>
              <w:t>2019/6/27</w:t>
            </w:r>
            <w:r>
              <w:rPr>
                <w:rFonts w:ascii="Times New Roman"/>
                <w:sz w:val="19"/>
              </w:rPr>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15" w:right="0"/>
              <w:jc w:val="left"/>
              <w:rPr>
                <w:rFonts w:ascii="Times New Roman" w:hAnsi="Times New Roman" w:cs="Times New Roman" w:eastAsia="Times New Roman" w:hint="default"/>
                <w:sz w:val="19"/>
                <w:szCs w:val="19"/>
              </w:rPr>
            </w:pPr>
            <w:r>
              <w:rPr>
                <w:rFonts w:ascii="Times New Roman"/>
                <w:w w:val="105"/>
                <w:sz w:val="19"/>
              </w:rPr>
              <w:t>2019/12/20</w:t>
            </w:r>
            <w:r>
              <w:rPr>
                <w:rFonts w:ascii="Times New Roman"/>
                <w:sz w:val="19"/>
              </w:rPr>
            </w:r>
          </w:p>
        </w:tc>
      </w:tr>
    </w:tbl>
    <w:p>
      <w:pPr>
        <w:spacing w:line="240" w:lineRule="auto" w:before="7"/>
        <w:rPr>
          <w:rFonts w:ascii="宋体" w:hAnsi="宋体" w:cs="宋体" w:eastAsia="宋体" w:hint="default"/>
          <w:b/>
          <w:bCs/>
          <w:sz w:val="27"/>
          <w:szCs w:val="27"/>
        </w:rPr>
      </w:pPr>
    </w:p>
    <w:p>
      <w:pPr>
        <w:pStyle w:val="Heading6"/>
        <w:spacing w:line="240" w:lineRule="auto"/>
        <w:ind w:left="862" w:right="1100"/>
        <w:jc w:val="left"/>
        <w:rPr>
          <w:b w:val="0"/>
          <w:bCs w:val="0"/>
        </w:rPr>
      </w:pPr>
      <w:r>
        <w:rPr/>
        <w:t>（</w:t>
      </w:r>
      <w:r>
        <w:rPr>
          <w:rFonts w:ascii="Times New Roman" w:hAnsi="Times New Roman" w:cs="Times New Roman" w:eastAsia="Times New Roman" w:hint="default"/>
        </w:rPr>
        <w:t>3</w:t>
      </w:r>
      <w:r>
        <w:rPr/>
        <w:t>）外观设计</w:t>
      </w:r>
      <w:r>
        <w:rPr>
          <w:b w:val="0"/>
          <w:bCs w:val="0"/>
        </w:rPr>
      </w:r>
    </w:p>
    <w:p>
      <w:pPr>
        <w:spacing w:line="240" w:lineRule="auto" w:before="5"/>
        <w:rPr>
          <w:rFonts w:ascii="宋体" w:hAnsi="宋体" w:cs="宋体" w:eastAsia="宋体" w:hint="default"/>
          <w:b/>
          <w:bCs/>
          <w:sz w:val="7"/>
          <w:szCs w:val="7"/>
        </w:rPr>
      </w:pPr>
    </w:p>
    <w:tbl>
      <w:tblPr>
        <w:tblW w:w="0" w:type="auto"/>
        <w:jc w:val="left"/>
        <w:tblInd w:w="111" w:type="dxa"/>
        <w:tblLayout w:type="fixed"/>
        <w:tblCellMar>
          <w:top w:w="0" w:type="dxa"/>
          <w:left w:w="0" w:type="dxa"/>
          <w:bottom w:w="0" w:type="dxa"/>
          <w:right w:w="0" w:type="dxa"/>
        </w:tblCellMar>
        <w:tblLook w:val="01E0"/>
      </w:tblPr>
      <w:tblGrid>
        <w:gridCol w:w="811"/>
        <w:gridCol w:w="4461"/>
        <w:gridCol w:w="1982"/>
        <w:gridCol w:w="1142"/>
        <w:gridCol w:w="1276"/>
      </w:tblGrid>
      <w:tr>
        <w:trPr>
          <w:trHeight w:val="345" w:hRule="exact"/>
        </w:trPr>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4"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3"/>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85" w:right="0"/>
              <w:jc w:val="left"/>
              <w:rPr>
                <w:rFonts w:ascii="宋体" w:hAnsi="宋体" w:cs="宋体" w:eastAsia="宋体" w:hint="default"/>
                <w:sz w:val="18"/>
                <w:szCs w:val="18"/>
              </w:rPr>
            </w:pPr>
            <w:r>
              <w:rPr>
                <w:rFonts w:ascii="宋体" w:hAnsi="宋体" w:cs="宋体" w:eastAsia="宋体" w:hint="default"/>
                <w:b/>
                <w:bCs/>
                <w:sz w:val="18"/>
                <w:szCs w:val="18"/>
              </w:rPr>
              <w:t>申请日</w:t>
            </w:r>
            <w:r>
              <w:rPr>
                <w:rFonts w:ascii="宋体" w:hAnsi="宋体" w:cs="宋体" w:eastAsia="宋体" w:hint="default"/>
                <w:sz w:val="18"/>
                <w:szCs w:val="18"/>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b/>
                <w:bCs/>
                <w:sz w:val="18"/>
                <w:szCs w:val="18"/>
              </w:rPr>
              <w:t>授权公告日</w:t>
            </w:r>
            <w:r>
              <w:rPr>
                <w:rFonts w:ascii="宋体" w:hAnsi="宋体" w:cs="宋体" w:eastAsia="宋体" w:hint="default"/>
                <w:sz w:val="18"/>
                <w:szCs w:val="18"/>
              </w:rPr>
            </w:r>
          </w:p>
        </w:tc>
      </w:tr>
      <w:tr>
        <w:trPr>
          <w:trHeight w:val="435" w:hRule="exact"/>
        </w:trPr>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2" w:right="0"/>
              <w:jc w:val="center"/>
              <w:rPr>
                <w:rFonts w:ascii="Times New Roman" w:hAnsi="Times New Roman" w:cs="Times New Roman" w:eastAsia="Times New Roman" w:hint="default"/>
                <w:sz w:val="19"/>
                <w:szCs w:val="19"/>
              </w:rPr>
            </w:pPr>
            <w:r>
              <w:rPr>
                <w:rFonts w:ascii="Times New Roman"/>
                <w:w w:val="102"/>
                <w:sz w:val="19"/>
              </w:rPr>
              <w:t>1</w:t>
            </w:r>
            <w:r>
              <w:rPr>
                <w:rFonts w:ascii="Times New Roman"/>
                <w:sz w:val="19"/>
              </w:rPr>
            </w:r>
          </w:p>
        </w:tc>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5" w:right="0"/>
              <w:jc w:val="left"/>
              <w:rPr>
                <w:rFonts w:ascii="宋体" w:hAnsi="宋体" w:cs="宋体" w:eastAsia="宋体" w:hint="default"/>
                <w:sz w:val="19"/>
                <w:szCs w:val="19"/>
              </w:rPr>
            </w:pPr>
            <w:r>
              <w:rPr>
                <w:rFonts w:ascii="宋体" w:hAnsi="宋体" w:cs="宋体" w:eastAsia="宋体" w:hint="default"/>
                <w:w w:val="105"/>
                <w:sz w:val="19"/>
                <w:szCs w:val="19"/>
              </w:rPr>
              <w:t>密钥设备（</w:t>
            </w:r>
            <w:r>
              <w:rPr>
                <w:rFonts w:ascii="Times New Roman" w:hAnsi="Times New Roman" w:cs="Times New Roman" w:eastAsia="Times New Roman" w:hint="default"/>
                <w:w w:val="105"/>
                <w:sz w:val="19"/>
                <w:szCs w:val="19"/>
              </w:rPr>
              <w:t>K32</w:t>
            </w:r>
            <w:r>
              <w:rPr>
                <w:rFonts w:ascii="宋体" w:hAnsi="宋体" w:cs="宋体" w:eastAsia="宋体" w:hint="default"/>
                <w:w w:val="105"/>
                <w:sz w:val="19"/>
                <w:szCs w:val="19"/>
              </w:rPr>
              <w:t>型）</w:t>
            </w:r>
            <w:r>
              <w:rPr>
                <w:rFonts w:ascii="宋体" w:hAnsi="宋体" w:cs="宋体" w:eastAsia="宋体" w:hint="default"/>
                <w:sz w:val="19"/>
                <w:szCs w:val="19"/>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5"/>
              <w:jc w:val="center"/>
              <w:rPr>
                <w:rFonts w:ascii="Times New Roman" w:hAnsi="Times New Roman" w:cs="Times New Roman" w:eastAsia="Times New Roman" w:hint="default"/>
                <w:sz w:val="19"/>
                <w:szCs w:val="19"/>
              </w:rPr>
            </w:pPr>
            <w:r>
              <w:rPr>
                <w:rFonts w:ascii="Times New Roman"/>
                <w:w w:val="105"/>
                <w:sz w:val="19"/>
              </w:rPr>
              <w:t>ZL201830214562.5</w:t>
            </w:r>
            <w:r>
              <w:rPr>
                <w:rFonts w:ascii="Times New Roman"/>
                <w:sz w:val="19"/>
              </w:rPr>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72"/>
              <w:jc w:val="right"/>
              <w:rPr>
                <w:rFonts w:ascii="Times New Roman" w:hAnsi="Times New Roman" w:cs="Times New Roman" w:eastAsia="Times New Roman" w:hint="default"/>
                <w:sz w:val="19"/>
                <w:szCs w:val="19"/>
              </w:rPr>
            </w:pPr>
            <w:r>
              <w:rPr>
                <w:rFonts w:ascii="Times New Roman"/>
                <w:sz w:val="19"/>
              </w:rPr>
              <w:t>2018/5/11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7"/>
              <w:jc w:val="center"/>
              <w:rPr>
                <w:rFonts w:ascii="Times New Roman" w:hAnsi="Times New Roman" w:cs="Times New Roman" w:eastAsia="Times New Roman" w:hint="default"/>
                <w:sz w:val="19"/>
                <w:szCs w:val="19"/>
              </w:rPr>
            </w:pPr>
            <w:r>
              <w:rPr>
                <w:rFonts w:ascii="Times New Roman"/>
                <w:w w:val="105"/>
                <w:sz w:val="19"/>
              </w:rPr>
              <w:t>2019/1/18</w:t>
            </w:r>
            <w:r>
              <w:rPr>
                <w:rFonts w:ascii="Times New Roman"/>
                <w:sz w:val="19"/>
              </w:rPr>
            </w:r>
          </w:p>
        </w:tc>
      </w:tr>
      <w:tr>
        <w:trPr>
          <w:trHeight w:val="421" w:hRule="exact"/>
        </w:trPr>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22" w:right="0"/>
              <w:jc w:val="center"/>
              <w:rPr>
                <w:rFonts w:ascii="Times New Roman" w:hAnsi="Times New Roman" w:cs="Times New Roman" w:eastAsia="Times New Roman" w:hint="default"/>
                <w:sz w:val="19"/>
                <w:szCs w:val="19"/>
              </w:rPr>
            </w:pPr>
            <w:r>
              <w:rPr>
                <w:rFonts w:ascii="Times New Roman"/>
                <w:w w:val="102"/>
                <w:sz w:val="19"/>
              </w:rPr>
              <w:t>2</w:t>
            </w:r>
            <w:r>
              <w:rPr>
                <w:rFonts w:ascii="Times New Roman"/>
                <w:sz w:val="19"/>
              </w:rPr>
            </w:r>
          </w:p>
        </w:tc>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5" w:right="0"/>
              <w:jc w:val="left"/>
              <w:rPr>
                <w:rFonts w:ascii="宋体" w:hAnsi="宋体" w:cs="宋体" w:eastAsia="宋体" w:hint="default"/>
                <w:sz w:val="19"/>
                <w:szCs w:val="19"/>
              </w:rPr>
            </w:pPr>
            <w:r>
              <w:rPr>
                <w:rFonts w:ascii="宋体" w:hAnsi="宋体" w:cs="宋体" w:eastAsia="宋体" w:hint="default"/>
                <w:spacing w:val="2"/>
                <w:w w:val="105"/>
                <w:sz w:val="19"/>
                <w:szCs w:val="19"/>
              </w:rPr>
              <w:t>指纹识别卡</w:t>
            </w:r>
            <w:r>
              <w:rPr>
                <w:rFonts w:ascii="宋体" w:hAnsi="宋体" w:cs="宋体" w:eastAsia="宋体" w:hint="default"/>
                <w:spacing w:val="2"/>
                <w:sz w:val="19"/>
                <w:szCs w:val="19"/>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25"/>
              <w:jc w:val="center"/>
              <w:rPr>
                <w:rFonts w:ascii="Times New Roman" w:hAnsi="Times New Roman" w:cs="Times New Roman" w:eastAsia="Times New Roman" w:hint="default"/>
                <w:sz w:val="19"/>
                <w:szCs w:val="19"/>
              </w:rPr>
            </w:pPr>
            <w:r>
              <w:rPr>
                <w:rFonts w:ascii="Times New Roman"/>
                <w:w w:val="105"/>
                <w:sz w:val="19"/>
              </w:rPr>
              <w:t>ZL201830600039.6</w:t>
            </w:r>
            <w:r>
              <w:rPr>
                <w:rFonts w:ascii="Times New Roman"/>
                <w:sz w:val="19"/>
              </w:rPr>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28"/>
              <w:jc w:val="right"/>
              <w:rPr>
                <w:rFonts w:ascii="Times New Roman" w:hAnsi="Times New Roman" w:cs="Times New Roman" w:eastAsia="Times New Roman" w:hint="default"/>
                <w:sz w:val="19"/>
                <w:szCs w:val="19"/>
              </w:rPr>
            </w:pPr>
            <w:r>
              <w:rPr>
                <w:rFonts w:ascii="Times New Roman"/>
                <w:sz w:val="19"/>
              </w:rPr>
              <w:t>2018/10/26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7"/>
              <w:jc w:val="center"/>
              <w:rPr>
                <w:rFonts w:ascii="Times New Roman" w:hAnsi="Times New Roman" w:cs="Times New Roman" w:eastAsia="Times New Roman" w:hint="default"/>
                <w:sz w:val="19"/>
                <w:szCs w:val="19"/>
              </w:rPr>
            </w:pPr>
            <w:r>
              <w:rPr>
                <w:rFonts w:ascii="Times New Roman"/>
                <w:w w:val="105"/>
                <w:sz w:val="19"/>
              </w:rPr>
              <w:t>2019/2/26</w:t>
            </w:r>
            <w:r>
              <w:rPr>
                <w:rFonts w:ascii="Times New Roman"/>
                <w:sz w:val="19"/>
              </w:rPr>
            </w:r>
          </w:p>
        </w:tc>
      </w:tr>
      <w:tr>
        <w:trPr>
          <w:trHeight w:val="420" w:hRule="exact"/>
        </w:trPr>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2" w:right="0"/>
              <w:jc w:val="center"/>
              <w:rPr>
                <w:rFonts w:ascii="Times New Roman" w:hAnsi="Times New Roman" w:cs="Times New Roman" w:eastAsia="Times New Roman" w:hint="default"/>
                <w:sz w:val="19"/>
                <w:szCs w:val="19"/>
              </w:rPr>
            </w:pPr>
            <w:r>
              <w:rPr>
                <w:rFonts w:ascii="Times New Roman"/>
                <w:w w:val="102"/>
                <w:sz w:val="19"/>
              </w:rPr>
              <w:t>3</w:t>
            </w:r>
            <w:r>
              <w:rPr>
                <w:rFonts w:ascii="Times New Roman"/>
                <w:sz w:val="19"/>
              </w:rPr>
            </w:r>
          </w:p>
        </w:tc>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5" w:right="0"/>
              <w:jc w:val="left"/>
              <w:rPr>
                <w:rFonts w:ascii="宋体" w:hAnsi="宋体" w:cs="宋体" w:eastAsia="宋体" w:hint="default"/>
                <w:sz w:val="19"/>
                <w:szCs w:val="19"/>
              </w:rPr>
            </w:pPr>
            <w:r>
              <w:rPr>
                <w:rFonts w:ascii="宋体" w:hAnsi="宋体" w:cs="宋体" w:eastAsia="宋体" w:hint="default"/>
                <w:spacing w:val="3"/>
                <w:w w:val="105"/>
                <w:sz w:val="19"/>
                <w:szCs w:val="19"/>
              </w:rPr>
              <w:t>用于电脑的智能家居系统界面</w:t>
            </w:r>
            <w:r>
              <w:rPr>
                <w:rFonts w:ascii="宋体" w:hAnsi="宋体" w:cs="宋体" w:eastAsia="宋体" w:hint="default"/>
                <w:spacing w:val="3"/>
                <w:sz w:val="19"/>
                <w:szCs w:val="19"/>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25"/>
              <w:jc w:val="center"/>
              <w:rPr>
                <w:rFonts w:ascii="Times New Roman" w:hAnsi="Times New Roman" w:cs="Times New Roman" w:eastAsia="Times New Roman" w:hint="default"/>
                <w:sz w:val="19"/>
                <w:szCs w:val="19"/>
              </w:rPr>
            </w:pPr>
            <w:r>
              <w:rPr>
                <w:rFonts w:ascii="Times New Roman"/>
                <w:w w:val="105"/>
                <w:sz w:val="19"/>
              </w:rPr>
              <w:t>ZL201830588640.8</w:t>
            </w:r>
            <w:r>
              <w:rPr>
                <w:rFonts w:ascii="Times New Roman"/>
                <w:sz w:val="19"/>
              </w:rPr>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128"/>
              <w:jc w:val="right"/>
              <w:rPr>
                <w:rFonts w:ascii="Times New Roman" w:hAnsi="Times New Roman" w:cs="Times New Roman" w:eastAsia="Times New Roman" w:hint="default"/>
                <w:sz w:val="19"/>
                <w:szCs w:val="19"/>
              </w:rPr>
            </w:pPr>
            <w:r>
              <w:rPr>
                <w:rFonts w:ascii="Times New Roman"/>
                <w:sz w:val="19"/>
              </w:rPr>
              <w:t>2018/10/22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22"/>
              <w:jc w:val="center"/>
              <w:rPr>
                <w:rFonts w:ascii="Times New Roman" w:hAnsi="Times New Roman" w:cs="Times New Roman" w:eastAsia="Times New Roman" w:hint="default"/>
                <w:sz w:val="19"/>
                <w:szCs w:val="19"/>
              </w:rPr>
            </w:pPr>
            <w:r>
              <w:rPr>
                <w:rFonts w:ascii="Times New Roman"/>
                <w:w w:val="105"/>
                <w:sz w:val="19"/>
              </w:rPr>
              <w:t>2019/3/1</w:t>
            </w:r>
            <w:r>
              <w:rPr>
                <w:rFonts w:ascii="Times New Roman"/>
                <w:sz w:val="19"/>
              </w:rPr>
            </w:r>
          </w:p>
        </w:tc>
      </w:tr>
      <w:tr>
        <w:trPr>
          <w:trHeight w:val="435" w:hRule="exact"/>
        </w:trPr>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2" w:right="0"/>
              <w:jc w:val="center"/>
              <w:rPr>
                <w:rFonts w:ascii="Times New Roman" w:hAnsi="Times New Roman" w:cs="Times New Roman" w:eastAsia="Times New Roman" w:hint="default"/>
                <w:sz w:val="19"/>
                <w:szCs w:val="19"/>
              </w:rPr>
            </w:pPr>
            <w:r>
              <w:rPr>
                <w:rFonts w:ascii="Times New Roman"/>
                <w:w w:val="102"/>
                <w:sz w:val="19"/>
              </w:rPr>
              <w:t>4</w:t>
            </w:r>
            <w:r>
              <w:rPr>
                <w:rFonts w:ascii="Times New Roman"/>
                <w:sz w:val="19"/>
              </w:rPr>
            </w:r>
          </w:p>
        </w:tc>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5" w:right="0"/>
              <w:jc w:val="left"/>
              <w:rPr>
                <w:rFonts w:ascii="宋体" w:hAnsi="宋体" w:cs="宋体" w:eastAsia="宋体" w:hint="default"/>
                <w:sz w:val="19"/>
                <w:szCs w:val="19"/>
              </w:rPr>
            </w:pPr>
            <w:r>
              <w:rPr>
                <w:rFonts w:ascii="宋体" w:hAnsi="宋体" w:cs="宋体" w:eastAsia="宋体" w:hint="default"/>
                <w:spacing w:val="3"/>
                <w:w w:val="105"/>
                <w:sz w:val="19"/>
                <w:szCs w:val="19"/>
              </w:rPr>
              <w:t>用于电脑的云章电子合同平台界面</w:t>
            </w:r>
            <w:r>
              <w:rPr>
                <w:rFonts w:ascii="宋体" w:hAnsi="宋体" w:cs="宋体" w:eastAsia="宋体" w:hint="default"/>
                <w:spacing w:val="3"/>
                <w:sz w:val="19"/>
                <w:szCs w:val="19"/>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25"/>
              <w:jc w:val="center"/>
              <w:rPr>
                <w:rFonts w:ascii="Times New Roman" w:hAnsi="Times New Roman" w:cs="Times New Roman" w:eastAsia="Times New Roman" w:hint="default"/>
                <w:sz w:val="19"/>
                <w:szCs w:val="19"/>
              </w:rPr>
            </w:pPr>
            <w:r>
              <w:rPr>
                <w:rFonts w:ascii="Times New Roman"/>
                <w:w w:val="105"/>
                <w:sz w:val="19"/>
              </w:rPr>
              <w:t>ZL201830587948.0</w:t>
            </w:r>
            <w:r>
              <w:rPr>
                <w:rFonts w:ascii="Times New Roman"/>
                <w:sz w:val="19"/>
              </w:rPr>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128"/>
              <w:jc w:val="right"/>
              <w:rPr>
                <w:rFonts w:ascii="Times New Roman" w:hAnsi="Times New Roman" w:cs="Times New Roman" w:eastAsia="Times New Roman" w:hint="default"/>
                <w:sz w:val="19"/>
                <w:szCs w:val="19"/>
              </w:rPr>
            </w:pPr>
            <w:r>
              <w:rPr>
                <w:rFonts w:ascii="Times New Roman"/>
                <w:sz w:val="19"/>
              </w:rPr>
              <w:t>2018/10/22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22"/>
              <w:jc w:val="center"/>
              <w:rPr>
                <w:rFonts w:ascii="Times New Roman" w:hAnsi="Times New Roman" w:cs="Times New Roman" w:eastAsia="Times New Roman" w:hint="default"/>
                <w:sz w:val="19"/>
                <w:szCs w:val="19"/>
              </w:rPr>
            </w:pPr>
            <w:r>
              <w:rPr>
                <w:rFonts w:ascii="Times New Roman"/>
                <w:w w:val="105"/>
                <w:sz w:val="19"/>
              </w:rPr>
              <w:t>2019/3/1</w:t>
            </w:r>
            <w:r>
              <w:rPr>
                <w:rFonts w:ascii="Times New Roman"/>
                <w:sz w:val="19"/>
              </w:rPr>
            </w:r>
          </w:p>
        </w:tc>
      </w:tr>
      <w:tr>
        <w:trPr>
          <w:trHeight w:val="420" w:hRule="exact"/>
        </w:trPr>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2" w:right="0"/>
              <w:jc w:val="center"/>
              <w:rPr>
                <w:rFonts w:ascii="Times New Roman" w:hAnsi="Times New Roman" w:cs="Times New Roman" w:eastAsia="Times New Roman" w:hint="default"/>
                <w:sz w:val="19"/>
                <w:szCs w:val="19"/>
              </w:rPr>
            </w:pPr>
            <w:r>
              <w:rPr>
                <w:rFonts w:ascii="Times New Roman"/>
                <w:w w:val="102"/>
                <w:sz w:val="19"/>
              </w:rPr>
              <w:t>5</w:t>
            </w:r>
            <w:r>
              <w:rPr>
                <w:rFonts w:ascii="Times New Roman"/>
                <w:sz w:val="19"/>
              </w:rPr>
            </w:r>
          </w:p>
        </w:tc>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5" w:right="0"/>
              <w:jc w:val="left"/>
              <w:rPr>
                <w:rFonts w:ascii="宋体" w:hAnsi="宋体" w:cs="宋体" w:eastAsia="宋体" w:hint="default"/>
                <w:sz w:val="19"/>
                <w:szCs w:val="19"/>
              </w:rPr>
            </w:pPr>
            <w:r>
              <w:rPr>
                <w:rFonts w:ascii="宋体" w:hAnsi="宋体" w:cs="宋体" w:eastAsia="宋体" w:hint="default"/>
                <w:w w:val="105"/>
                <w:sz w:val="19"/>
                <w:szCs w:val="19"/>
              </w:rPr>
              <w:t>密钥设备（</w:t>
            </w:r>
            <w:r>
              <w:rPr>
                <w:rFonts w:ascii="Times New Roman" w:hAnsi="Times New Roman" w:cs="Times New Roman" w:eastAsia="Times New Roman" w:hint="default"/>
                <w:w w:val="105"/>
                <w:sz w:val="19"/>
                <w:szCs w:val="19"/>
              </w:rPr>
              <w:t>H83</w:t>
            </w:r>
            <w:r>
              <w:rPr>
                <w:rFonts w:ascii="宋体" w:hAnsi="宋体" w:cs="宋体" w:eastAsia="宋体" w:hint="default"/>
                <w:w w:val="105"/>
                <w:sz w:val="19"/>
                <w:szCs w:val="19"/>
              </w:rPr>
              <w:t>型）</w:t>
            </w:r>
            <w:r>
              <w:rPr>
                <w:rFonts w:ascii="宋体" w:hAnsi="宋体" w:cs="宋体" w:eastAsia="宋体" w:hint="default"/>
                <w:sz w:val="19"/>
                <w:szCs w:val="19"/>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5"/>
              <w:jc w:val="center"/>
              <w:rPr>
                <w:rFonts w:ascii="Times New Roman" w:hAnsi="Times New Roman" w:cs="Times New Roman" w:eastAsia="Times New Roman" w:hint="default"/>
                <w:sz w:val="19"/>
                <w:szCs w:val="19"/>
              </w:rPr>
            </w:pPr>
            <w:r>
              <w:rPr>
                <w:rFonts w:ascii="Times New Roman"/>
                <w:w w:val="105"/>
                <w:sz w:val="19"/>
              </w:rPr>
              <w:t>ZL201830321819.7</w:t>
            </w:r>
            <w:r>
              <w:rPr>
                <w:rFonts w:ascii="Times New Roman"/>
                <w:sz w:val="19"/>
              </w:rPr>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72"/>
              <w:jc w:val="right"/>
              <w:rPr>
                <w:rFonts w:ascii="Times New Roman" w:hAnsi="Times New Roman" w:cs="Times New Roman" w:eastAsia="Times New Roman" w:hint="default"/>
                <w:sz w:val="19"/>
                <w:szCs w:val="19"/>
              </w:rPr>
            </w:pPr>
            <w:r>
              <w:rPr>
                <w:rFonts w:ascii="Times New Roman"/>
                <w:sz w:val="19"/>
              </w:rPr>
              <w:t>2018/6/21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7"/>
              <w:jc w:val="center"/>
              <w:rPr>
                <w:rFonts w:ascii="Times New Roman" w:hAnsi="Times New Roman" w:cs="Times New Roman" w:eastAsia="Times New Roman" w:hint="default"/>
                <w:sz w:val="19"/>
                <w:szCs w:val="19"/>
              </w:rPr>
            </w:pPr>
            <w:r>
              <w:rPr>
                <w:rFonts w:ascii="Times New Roman"/>
                <w:w w:val="105"/>
                <w:sz w:val="19"/>
              </w:rPr>
              <w:t>2019/4/12</w:t>
            </w:r>
            <w:r>
              <w:rPr>
                <w:rFonts w:ascii="Times New Roman"/>
                <w:sz w:val="19"/>
              </w:rPr>
            </w:r>
          </w:p>
        </w:tc>
      </w:tr>
      <w:tr>
        <w:trPr>
          <w:trHeight w:val="436" w:hRule="exact"/>
        </w:trPr>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2" w:right="0"/>
              <w:jc w:val="center"/>
              <w:rPr>
                <w:rFonts w:ascii="Times New Roman" w:hAnsi="Times New Roman" w:cs="Times New Roman" w:eastAsia="Times New Roman" w:hint="default"/>
                <w:sz w:val="19"/>
                <w:szCs w:val="19"/>
              </w:rPr>
            </w:pPr>
            <w:r>
              <w:rPr>
                <w:rFonts w:ascii="Times New Roman"/>
                <w:w w:val="102"/>
                <w:sz w:val="19"/>
              </w:rPr>
              <w:t>6</w:t>
            </w:r>
            <w:r>
              <w:rPr>
                <w:rFonts w:ascii="Times New Roman"/>
                <w:sz w:val="19"/>
              </w:rPr>
            </w:r>
          </w:p>
        </w:tc>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5" w:right="0"/>
              <w:jc w:val="left"/>
              <w:rPr>
                <w:rFonts w:ascii="宋体" w:hAnsi="宋体" w:cs="宋体" w:eastAsia="宋体" w:hint="default"/>
                <w:sz w:val="19"/>
                <w:szCs w:val="19"/>
              </w:rPr>
            </w:pPr>
            <w:r>
              <w:rPr>
                <w:rFonts w:ascii="宋体" w:hAnsi="宋体" w:cs="宋体" w:eastAsia="宋体" w:hint="default"/>
                <w:spacing w:val="2"/>
                <w:w w:val="105"/>
                <w:sz w:val="19"/>
                <w:szCs w:val="19"/>
              </w:rPr>
              <w:t>指纹识别卡</w:t>
            </w:r>
            <w:r>
              <w:rPr>
                <w:rFonts w:ascii="宋体" w:hAnsi="宋体" w:cs="宋体" w:eastAsia="宋体" w:hint="default"/>
                <w:spacing w:val="2"/>
                <w:sz w:val="19"/>
                <w:szCs w:val="19"/>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5"/>
              <w:jc w:val="center"/>
              <w:rPr>
                <w:rFonts w:ascii="Times New Roman" w:hAnsi="Times New Roman" w:cs="Times New Roman" w:eastAsia="Times New Roman" w:hint="default"/>
                <w:sz w:val="19"/>
                <w:szCs w:val="19"/>
              </w:rPr>
            </w:pPr>
            <w:r>
              <w:rPr>
                <w:rFonts w:ascii="Times New Roman"/>
                <w:w w:val="105"/>
                <w:sz w:val="19"/>
              </w:rPr>
              <w:t>ZL201930076208.5</w:t>
            </w:r>
            <w:r>
              <w:rPr>
                <w:rFonts w:ascii="Times New Roman"/>
                <w:sz w:val="19"/>
              </w:rPr>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72"/>
              <w:jc w:val="right"/>
              <w:rPr>
                <w:rFonts w:ascii="Times New Roman" w:hAnsi="Times New Roman" w:cs="Times New Roman" w:eastAsia="Times New Roman" w:hint="default"/>
                <w:sz w:val="19"/>
                <w:szCs w:val="19"/>
              </w:rPr>
            </w:pPr>
            <w:r>
              <w:rPr>
                <w:rFonts w:ascii="Times New Roman"/>
                <w:sz w:val="19"/>
              </w:rPr>
              <w:t>2019/2/26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7"/>
              <w:jc w:val="center"/>
              <w:rPr>
                <w:rFonts w:ascii="Times New Roman" w:hAnsi="Times New Roman" w:cs="Times New Roman" w:eastAsia="Times New Roman" w:hint="default"/>
                <w:sz w:val="19"/>
                <w:szCs w:val="19"/>
              </w:rPr>
            </w:pPr>
            <w:r>
              <w:rPr>
                <w:rFonts w:ascii="Times New Roman"/>
                <w:w w:val="105"/>
                <w:sz w:val="19"/>
              </w:rPr>
              <w:t>2019/5/10</w:t>
            </w:r>
            <w:r>
              <w:rPr>
                <w:rFonts w:ascii="Times New Roman"/>
                <w:sz w:val="19"/>
              </w:rPr>
            </w:r>
          </w:p>
        </w:tc>
      </w:tr>
      <w:tr>
        <w:trPr>
          <w:trHeight w:val="420" w:hRule="exact"/>
        </w:trPr>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2" w:right="0"/>
              <w:jc w:val="center"/>
              <w:rPr>
                <w:rFonts w:ascii="Times New Roman" w:hAnsi="Times New Roman" w:cs="Times New Roman" w:eastAsia="Times New Roman" w:hint="default"/>
                <w:sz w:val="19"/>
                <w:szCs w:val="19"/>
              </w:rPr>
            </w:pPr>
            <w:r>
              <w:rPr>
                <w:rFonts w:ascii="Times New Roman"/>
                <w:w w:val="102"/>
                <w:sz w:val="19"/>
              </w:rPr>
              <w:t>7</w:t>
            </w:r>
            <w:r>
              <w:rPr>
                <w:rFonts w:ascii="Times New Roman"/>
                <w:sz w:val="19"/>
              </w:rPr>
            </w:r>
          </w:p>
        </w:tc>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5" w:right="0"/>
              <w:jc w:val="left"/>
              <w:rPr>
                <w:rFonts w:ascii="宋体" w:hAnsi="宋体" w:cs="宋体" w:eastAsia="宋体" w:hint="default"/>
                <w:sz w:val="19"/>
                <w:szCs w:val="19"/>
              </w:rPr>
            </w:pPr>
            <w:r>
              <w:rPr>
                <w:rFonts w:ascii="宋体" w:hAnsi="宋体" w:cs="宋体" w:eastAsia="宋体" w:hint="default"/>
                <w:spacing w:val="2"/>
                <w:w w:val="105"/>
                <w:sz w:val="19"/>
                <w:szCs w:val="19"/>
              </w:rPr>
              <w:t>指纹识别卡</w:t>
            </w:r>
            <w:r>
              <w:rPr>
                <w:rFonts w:ascii="宋体" w:hAnsi="宋体" w:cs="宋体" w:eastAsia="宋体" w:hint="default"/>
                <w:spacing w:val="2"/>
                <w:sz w:val="19"/>
                <w:szCs w:val="19"/>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25"/>
              <w:jc w:val="center"/>
              <w:rPr>
                <w:rFonts w:ascii="Times New Roman" w:hAnsi="Times New Roman" w:cs="Times New Roman" w:eastAsia="Times New Roman" w:hint="default"/>
                <w:sz w:val="19"/>
                <w:szCs w:val="19"/>
              </w:rPr>
            </w:pPr>
            <w:r>
              <w:rPr>
                <w:rFonts w:ascii="Times New Roman"/>
                <w:w w:val="105"/>
                <w:sz w:val="19"/>
              </w:rPr>
              <w:t>ZL201930076207.0</w:t>
            </w:r>
            <w:r>
              <w:rPr>
                <w:rFonts w:ascii="Times New Roman"/>
                <w:sz w:val="19"/>
              </w:rPr>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172"/>
              <w:jc w:val="right"/>
              <w:rPr>
                <w:rFonts w:ascii="Times New Roman" w:hAnsi="Times New Roman" w:cs="Times New Roman" w:eastAsia="Times New Roman" w:hint="default"/>
                <w:sz w:val="19"/>
                <w:szCs w:val="19"/>
              </w:rPr>
            </w:pPr>
            <w:r>
              <w:rPr>
                <w:rFonts w:ascii="Times New Roman"/>
                <w:sz w:val="19"/>
              </w:rPr>
              <w:t>2019/2/26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7"/>
              <w:jc w:val="center"/>
              <w:rPr>
                <w:rFonts w:ascii="Times New Roman" w:hAnsi="Times New Roman" w:cs="Times New Roman" w:eastAsia="Times New Roman" w:hint="default"/>
                <w:sz w:val="19"/>
                <w:szCs w:val="19"/>
              </w:rPr>
            </w:pPr>
            <w:r>
              <w:rPr>
                <w:rFonts w:ascii="Times New Roman"/>
                <w:w w:val="105"/>
                <w:sz w:val="19"/>
              </w:rPr>
              <w:t>2019/5/10</w:t>
            </w:r>
            <w:r>
              <w:rPr>
                <w:rFonts w:ascii="Times New Roman"/>
                <w:sz w:val="19"/>
              </w:rPr>
            </w:r>
          </w:p>
        </w:tc>
      </w:tr>
      <w:tr>
        <w:trPr>
          <w:trHeight w:val="435" w:hRule="exact"/>
        </w:trPr>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2" w:right="0"/>
              <w:jc w:val="center"/>
              <w:rPr>
                <w:rFonts w:ascii="Times New Roman" w:hAnsi="Times New Roman" w:cs="Times New Roman" w:eastAsia="Times New Roman" w:hint="default"/>
                <w:sz w:val="19"/>
                <w:szCs w:val="19"/>
              </w:rPr>
            </w:pPr>
            <w:r>
              <w:rPr>
                <w:rFonts w:ascii="Times New Roman"/>
                <w:w w:val="102"/>
                <w:sz w:val="19"/>
              </w:rPr>
              <w:t>8</w:t>
            </w:r>
            <w:r>
              <w:rPr>
                <w:rFonts w:ascii="Times New Roman"/>
                <w:sz w:val="19"/>
              </w:rPr>
            </w:r>
          </w:p>
        </w:tc>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5" w:right="0"/>
              <w:jc w:val="left"/>
              <w:rPr>
                <w:rFonts w:ascii="宋体" w:hAnsi="宋体" w:cs="宋体" w:eastAsia="宋体" w:hint="default"/>
                <w:sz w:val="19"/>
                <w:szCs w:val="19"/>
              </w:rPr>
            </w:pPr>
            <w:r>
              <w:rPr>
                <w:rFonts w:ascii="宋体" w:hAnsi="宋体" w:cs="宋体" w:eastAsia="宋体" w:hint="default"/>
                <w:spacing w:val="2"/>
                <w:w w:val="105"/>
                <w:sz w:val="19"/>
                <w:szCs w:val="19"/>
              </w:rPr>
              <w:t>指纹识别卡</w:t>
            </w:r>
            <w:r>
              <w:rPr>
                <w:rFonts w:ascii="宋体" w:hAnsi="宋体" w:cs="宋体" w:eastAsia="宋体" w:hint="default"/>
                <w:spacing w:val="2"/>
                <w:sz w:val="19"/>
                <w:szCs w:val="19"/>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12"/>
              <w:jc w:val="center"/>
              <w:rPr>
                <w:rFonts w:ascii="Times New Roman" w:hAnsi="Times New Roman" w:cs="Times New Roman" w:eastAsia="Times New Roman" w:hint="default"/>
                <w:sz w:val="19"/>
                <w:szCs w:val="19"/>
              </w:rPr>
            </w:pPr>
            <w:r>
              <w:rPr>
                <w:rFonts w:ascii="Times New Roman"/>
                <w:w w:val="105"/>
                <w:sz w:val="19"/>
              </w:rPr>
              <w:t>ZL201930076216.X</w:t>
            </w:r>
            <w:r>
              <w:rPr>
                <w:rFonts w:ascii="Times New Roman"/>
                <w:sz w:val="19"/>
              </w:rPr>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172"/>
              <w:jc w:val="right"/>
              <w:rPr>
                <w:rFonts w:ascii="Times New Roman" w:hAnsi="Times New Roman" w:cs="Times New Roman" w:eastAsia="Times New Roman" w:hint="default"/>
                <w:sz w:val="19"/>
                <w:szCs w:val="19"/>
              </w:rPr>
            </w:pPr>
            <w:r>
              <w:rPr>
                <w:rFonts w:ascii="Times New Roman"/>
                <w:sz w:val="19"/>
              </w:rPr>
              <w:t>2019/2/26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7"/>
              <w:jc w:val="center"/>
              <w:rPr>
                <w:rFonts w:ascii="Times New Roman" w:hAnsi="Times New Roman" w:cs="Times New Roman" w:eastAsia="Times New Roman" w:hint="default"/>
                <w:sz w:val="19"/>
                <w:szCs w:val="19"/>
              </w:rPr>
            </w:pPr>
            <w:r>
              <w:rPr>
                <w:rFonts w:ascii="Times New Roman"/>
                <w:w w:val="105"/>
                <w:sz w:val="19"/>
              </w:rPr>
              <w:t>2019/5/10</w:t>
            </w:r>
            <w:r>
              <w:rPr>
                <w:rFonts w:ascii="Times New Roman"/>
                <w:sz w:val="19"/>
              </w:rPr>
            </w:r>
          </w:p>
        </w:tc>
      </w:tr>
      <w:tr>
        <w:trPr>
          <w:trHeight w:val="420" w:hRule="exact"/>
        </w:trPr>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22" w:right="0"/>
              <w:jc w:val="center"/>
              <w:rPr>
                <w:rFonts w:ascii="Times New Roman" w:hAnsi="Times New Roman" w:cs="Times New Roman" w:eastAsia="Times New Roman" w:hint="default"/>
                <w:sz w:val="19"/>
                <w:szCs w:val="19"/>
              </w:rPr>
            </w:pPr>
            <w:r>
              <w:rPr>
                <w:rFonts w:ascii="Times New Roman"/>
                <w:w w:val="102"/>
                <w:sz w:val="19"/>
              </w:rPr>
              <w:t>9</w:t>
            </w:r>
            <w:r>
              <w:rPr>
                <w:rFonts w:ascii="Times New Roman"/>
                <w:sz w:val="19"/>
              </w:rPr>
            </w:r>
          </w:p>
        </w:tc>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5" w:right="0"/>
              <w:jc w:val="left"/>
              <w:rPr>
                <w:rFonts w:ascii="宋体" w:hAnsi="宋体" w:cs="宋体" w:eastAsia="宋体" w:hint="default"/>
                <w:sz w:val="19"/>
                <w:szCs w:val="19"/>
              </w:rPr>
            </w:pPr>
            <w:r>
              <w:rPr>
                <w:rFonts w:ascii="宋体" w:hAnsi="宋体" w:cs="宋体" w:eastAsia="宋体" w:hint="default"/>
                <w:spacing w:val="4"/>
                <w:w w:val="105"/>
                <w:sz w:val="19"/>
                <w:szCs w:val="19"/>
              </w:rPr>
              <w:t>密钥设备（</w:t>
            </w:r>
            <w:r>
              <w:rPr>
                <w:rFonts w:ascii="Times New Roman" w:hAnsi="Times New Roman" w:cs="Times New Roman" w:eastAsia="Times New Roman" w:hint="default"/>
                <w:spacing w:val="4"/>
                <w:w w:val="105"/>
                <w:sz w:val="19"/>
                <w:szCs w:val="19"/>
              </w:rPr>
              <w:t>K40T</w:t>
            </w:r>
            <w:r>
              <w:rPr>
                <w:rFonts w:ascii="宋体" w:hAnsi="宋体" w:cs="宋体" w:eastAsia="宋体" w:hint="default"/>
                <w:spacing w:val="4"/>
                <w:w w:val="105"/>
                <w:sz w:val="19"/>
                <w:szCs w:val="19"/>
              </w:rPr>
              <w:t>型）</w:t>
            </w:r>
            <w:r>
              <w:rPr>
                <w:rFonts w:ascii="宋体" w:hAnsi="宋体" w:cs="宋体" w:eastAsia="宋体" w:hint="default"/>
                <w:sz w:val="19"/>
                <w:szCs w:val="19"/>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25"/>
              <w:jc w:val="center"/>
              <w:rPr>
                <w:rFonts w:ascii="Times New Roman" w:hAnsi="Times New Roman" w:cs="Times New Roman" w:eastAsia="Times New Roman" w:hint="default"/>
                <w:sz w:val="19"/>
                <w:szCs w:val="19"/>
              </w:rPr>
            </w:pPr>
            <w:r>
              <w:rPr>
                <w:rFonts w:ascii="Times New Roman"/>
                <w:w w:val="105"/>
                <w:sz w:val="19"/>
              </w:rPr>
              <w:t>ZL201830499141.1</w:t>
            </w:r>
            <w:r>
              <w:rPr>
                <w:rFonts w:ascii="Times New Roman"/>
                <w:sz w:val="19"/>
              </w:rPr>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195" w:right="0"/>
              <w:jc w:val="left"/>
              <w:rPr>
                <w:rFonts w:ascii="Times New Roman" w:hAnsi="Times New Roman" w:cs="Times New Roman" w:eastAsia="Times New Roman" w:hint="default"/>
                <w:sz w:val="19"/>
                <w:szCs w:val="19"/>
              </w:rPr>
            </w:pPr>
            <w:r>
              <w:rPr>
                <w:rFonts w:ascii="Times New Roman"/>
                <w:w w:val="105"/>
                <w:sz w:val="19"/>
              </w:rPr>
              <w:t>2018/9/6</w:t>
            </w:r>
            <w:r>
              <w:rPr>
                <w:rFonts w:ascii="Times New Roman"/>
                <w:sz w:val="19"/>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7"/>
              <w:jc w:val="center"/>
              <w:rPr>
                <w:rFonts w:ascii="Times New Roman" w:hAnsi="Times New Roman" w:cs="Times New Roman" w:eastAsia="Times New Roman" w:hint="default"/>
                <w:sz w:val="19"/>
                <w:szCs w:val="19"/>
              </w:rPr>
            </w:pPr>
            <w:r>
              <w:rPr>
                <w:rFonts w:ascii="Times New Roman"/>
                <w:w w:val="105"/>
                <w:sz w:val="19"/>
              </w:rPr>
              <w:t>2019/6/18</w:t>
            </w:r>
            <w:r>
              <w:rPr>
                <w:rFonts w:ascii="Times New Roman"/>
                <w:sz w:val="19"/>
              </w:rPr>
            </w:r>
          </w:p>
        </w:tc>
      </w:tr>
      <w:tr>
        <w:trPr>
          <w:trHeight w:val="436" w:hRule="exact"/>
        </w:trPr>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5" w:right="0"/>
              <w:jc w:val="center"/>
              <w:rPr>
                <w:rFonts w:ascii="Times New Roman" w:hAnsi="Times New Roman" w:cs="Times New Roman" w:eastAsia="Times New Roman" w:hint="default"/>
                <w:sz w:val="19"/>
                <w:szCs w:val="19"/>
              </w:rPr>
            </w:pPr>
            <w:r>
              <w:rPr>
                <w:rFonts w:ascii="Times New Roman"/>
                <w:spacing w:val="-8"/>
                <w:w w:val="105"/>
                <w:sz w:val="19"/>
              </w:rPr>
              <w:t>10</w:t>
            </w:r>
            <w:r>
              <w:rPr>
                <w:rFonts w:ascii="Times New Roman"/>
                <w:sz w:val="19"/>
              </w:rPr>
            </w:r>
          </w:p>
        </w:tc>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5" w:right="0"/>
              <w:jc w:val="left"/>
              <w:rPr>
                <w:rFonts w:ascii="宋体" w:hAnsi="宋体" w:cs="宋体" w:eastAsia="宋体" w:hint="default"/>
                <w:sz w:val="19"/>
                <w:szCs w:val="19"/>
              </w:rPr>
            </w:pPr>
            <w:r>
              <w:rPr>
                <w:rFonts w:ascii="宋体" w:hAnsi="宋体" w:cs="宋体" w:eastAsia="宋体" w:hint="default"/>
                <w:spacing w:val="4"/>
                <w:w w:val="105"/>
                <w:sz w:val="19"/>
                <w:szCs w:val="19"/>
              </w:rPr>
              <w:t>密钥设备（</w:t>
            </w:r>
            <w:r>
              <w:rPr>
                <w:rFonts w:ascii="Times New Roman" w:hAnsi="Times New Roman" w:cs="Times New Roman" w:eastAsia="Times New Roman" w:hint="default"/>
                <w:spacing w:val="4"/>
                <w:w w:val="105"/>
                <w:sz w:val="19"/>
                <w:szCs w:val="19"/>
              </w:rPr>
              <w:t>K13T</w:t>
            </w:r>
            <w:r>
              <w:rPr>
                <w:rFonts w:ascii="宋体" w:hAnsi="宋体" w:cs="宋体" w:eastAsia="宋体" w:hint="default"/>
                <w:spacing w:val="4"/>
                <w:w w:val="105"/>
                <w:sz w:val="19"/>
                <w:szCs w:val="19"/>
              </w:rPr>
              <w:t>型）</w:t>
            </w:r>
            <w:r>
              <w:rPr>
                <w:rFonts w:ascii="宋体" w:hAnsi="宋体" w:cs="宋体" w:eastAsia="宋体" w:hint="default"/>
                <w:sz w:val="19"/>
                <w:szCs w:val="19"/>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5"/>
              <w:jc w:val="center"/>
              <w:rPr>
                <w:rFonts w:ascii="Times New Roman" w:hAnsi="Times New Roman" w:cs="Times New Roman" w:eastAsia="Times New Roman" w:hint="default"/>
                <w:sz w:val="19"/>
                <w:szCs w:val="19"/>
              </w:rPr>
            </w:pPr>
            <w:r>
              <w:rPr>
                <w:rFonts w:ascii="Times New Roman"/>
                <w:w w:val="105"/>
                <w:sz w:val="19"/>
              </w:rPr>
              <w:t>ZL201830499119.7</w:t>
            </w:r>
            <w:r>
              <w:rPr>
                <w:rFonts w:ascii="Times New Roman"/>
                <w:sz w:val="19"/>
              </w:rPr>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195" w:right="0"/>
              <w:jc w:val="left"/>
              <w:rPr>
                <w:rFonts w:ascii="Times New Roman" w:hAnsi="Times New Roman" w:cs="Times New Roman" w:eastAsia="Times New Roman" w:hint="default"/>
                <w:sz w:val="19"/>
                <w:szCs w:val="19"/>
              </w:rPr>
            </w:pPr>
            <w:r>
              <w:rPr>
                <w:rFonts w:ascii="Times New Roman"/>
                <w:w w:val="105"/>
                <w:sz w:val="19"/>
              </w:rPr>
              <w:t>2018/9/6</w:t>
            </w:r>
            <w:r>
              <w:rPr>
                <w:rFonts w:ascii="Times New Roman"/>
                <w:sz w:val="19"/>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7"/>
              <w:jc w:val="center"/>
              <w:rPr>
                <w:rFonts w:ascii="Times New Roman" w:hAnsi="Times New Roman" w:cs="Times New Roman" w:eastAsia="Times New Roman" w:hint="default"/>
                <w:sz w:val="19"/>
                <w:szCs w:val="19"/>
              </w:rPr>
            </w:pPr>
            <w:r>
              <w:rPr>
                <w:rFonts w:ascii="Times New Roman"/>
                <w:w w:val="105"/>
                <w:sz w:val="19"/>
              </w:rPr>
              <w:t>2019/6/18</w:t>
            </w:r>
            <w:r>
              <w:rPr>
                <w:rFonts w:ascii="Times New Roman"/>
                <w:sz w:val="19"/>
              </w:rPr>
            </w:r>
          </w:p>
        </w:tc>
      </w:tr>
      <w:tr>
        <w:trPr>
          <w:trHeight w:val="421" w:hRule="exact"/>
        </w:trPr>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5" w:right="0"/>
              <w:jc w:val="center"/>
              <w:rPr>
                <w:rFonts w:ascii="Times New Roman" w:hAnsi="Times New Roman" w:cs="Times New Roman" w:eastAsia="Times New Roman" w:hint="default"/>
                <w:sz w:val="19"/>
                <w:szCs w:val="19"/>
              </w:rPr>
            </w:pPr>
            <w:r>
              <w:rPr>
                <w:rFonts w:ascii="Times New Roman"/>
                <w:spacing w:val="-8"/>
                <w:w w:val="105"/>
                <w:sz w:val="19"/>
              </w:rPr>
              <w:t>11</w:t>
            </w:r>
            <w:r>
              <w:rPr>
                <w:rFonts w:ascii="Times New Roman"/>
                <w:sz w:val="19"/>
              </w:rPr>
            </w:r>
          </w:p>
        </w:tc>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5" w:right="0"/>
              <w:jc w:val="left"/>
              <w:rPr>
                <w:rFonts w:ascii="宋体" w:hAnsi="宋体" w:cs="宋体" w:eastAsia="宋体" w:hint="default"/>
                <w:sz w:val="19"/>
                <w:szCs w:val="19"/>
              </w:rPr>
            </w:pPr>
            <w:r>
              <w:rPr>
                <w:rFonts w:ascii="宋体" w:hAnsi="宋体" w:cs="宋体" w:eastAsia="宋体" w:hint="default"/>
                <w:spacing w:val="4"/>
                <w:w w:val="105"/>
                <w:sz w:val="19"/>
                <w:szCs w:val="19"/>
              </w:rPr>
              <w:t>密钥设备（</w:t>
            </w:r>
            <w:r>
              <w:rPr>
                <w:rFonts w:ascii="Times New Roman" w:hAnsi="Times New Roman" w:cs="Times New Roman" w:eastAsia="Times New Roman" w:hint="default"/>
                <w:spacing w:val="4"/>
                <w:w w:val="105"/>
                <w:sz w:val="19"/>
                <w:szCs w:val="19"/>
              </w:rPr>
              <w:t>K39T</w:t>
            </w:r>
            <w:r>
              <w:rPr>
                <w:rFonts w:ascii="宋体" w:hAnsi="宋体" w:cs="宋体" w:eastAsia="宋体" w:hint="default"/>
                <w:spacing w:val="4"/>
                <w:w w:val="105"/>
                <w:sz w:val="19"/>
                <w:szCs w:val="19"/>
              </w:rPr>
              <w:t>型）</w:t>
            </w:r>
            <w:r>
              <w:rPr>
                <w:rFonts w:ascii="宋体" w:hAnsi="宋体" w:cs="宋体" w:eastAsia="宋体" w:hint="default"/>
                <w:sz w:val="19"/>
                <w:szCs w:val="19"/>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2"/>
              <w:jc w:val="center"/>
              <w:rPr>
                <w:rFonts w:ascii="Times New Roman" w:hAnsi="Times New Roman" w:cs="Times New Roman" w:eastAsia="Times New Roman" w:hint="default"/>
                <w:sz w:val="19"/>
                <w:szCs w:val="19"/>
              </w:rPr>
            </w:pPr>
            <w:r>
              <w:rPr>
                <w:rFonts w:ascii="Times New Roman"/>
                <w:w w:val="105"/>
                <w:sz w:val="19"/>
              </w:rPr>
              <w:t>ZL201830499113.X</w:t>
            </w:r>
            <w:r>
              <w:rPr>
                <w:rFonts w:ascii="Times New Roman"/>
                <w:sz w:val="19"/>
              </w:rPr>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95" w:right="0"/>
              <w:jc w:val="left"/>
              <w:rPr>
                <w:rFonts w:ascii="Times New Roman" w:hAnsi="Times New Roman" w:cs="Times New Roman" w:eastAsia="Times New Roman" w:hint="default"/>
                <w:sz w:val="19"/>
                <w:szCs w:val="19"/>
              </w:rPr>
            </w:pPr>
            <w:r>
              <w:rPr>
                <w:rFonts w:ascii="Times New Roman"/>
                <w:w w:val="105"/>
                <w:sz w:val="19"/>
              </w:rPr>
              <w:t>2018/9/6</w:t>
            </w:r>
            <w:r>
              <w:rPr>
                <w:rFonts w:ascii="Times New Roman"/>
                <w:sz w:val="19"/>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7"/>
              <w:jc w:val="center"/>
              <w:rPr>
                <w:rFonts w:ascii="Times New Roman" w:hAnsi="Times New Roman" w:cs="Times New Roman" w:eastAsia="Times New Roman" w:hint="default"/>
                <w:sz w:val="19"/>
                <w:szCs w:val="19"/>
              </w:rPr>
            </w:pPr>
            <w:r>
              <w:rPr>
                <w:rFonts w:ascii="Times New Roman"/>
                <w:w w:val="105"/>
                <w:sz w:val="19"/>
              </w:rPr>
              <w:t>2019/6/18</w:t>
            </w:r>
            <w:r>
              <w:rPr>
                <w:rFonts w:ascii="Times New Roman"/>
                <w:sz w:val="19"/>
              </w:rPr>
            </w:r>
          </w:p>
        </w:tc>
      </w:tr>
      <w:tr>
        <w:trPr>
          <w:trHeight w:val="435" w:hRule="exact"/>
        </w:trPr>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5" w:right="0"/>
              <w:jc w:val="center"/>
              <w:rPr>
                <w:rFonts w:ascii="Times New Roman" w:hAnsi="Times New Roman" w:cs="Times New Roman" w:eastAsia="Times New Roman" w:hint="default"/>
                <w:sz w:val="19"/>
                <w:szCs w:val="19"/>
              </w:rPr>
            </w:pPr>
            <w:r>
              <w:rPr>
                <w:rFonts w:ascii="Times New Roman"/>
                <w:spacing w:val="-8"/>
                <w:w w:val="105"/>
                <w:sz w:val="19"/>
              </w:rPr>
              <w:t>12</w:t>
            </w:r>
            <w:r>
              <w:rPr>
                <w:rFonts w:ascii="Times New Roman"/>
                <w:sz w:val="19"/>
              </w:rPr>
            </w:r>
          </w:p>
        </w:tc>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5" w:right="0"/>
              <w:jc w:val="left"/>
              <w:rPr>
                <w:rFonts w:ascii="宋体" w:hAnsi="宋体" w:cs="宋体" w:eastAsia="宋体" w:hint="default"/>
                <w:sz w:val="19"/>
                <w:szCs w:val="19"/>
              </w:rPr>
            </w:pPr>
            <w:r>
              <w:rPr>
                <w:rFonts w:ascii="宋体" w:hAnsi="宋体" w:cs="宋体" w:eastAsia="宋体" w:hint="default"/>
                <w:w w:val="105"/>
                <w:sz w:val="19"/>
                <w:szCs w:val="19"/>
              </w:rPr>
              <w:t>密钥设备（</w:t>
            </w:r>
            <w:r>
              <w:rPr>
                <w:rFonts w:ascii="Times New Roman" w:hAnsi="Times New Roman" w:cs="Times New Roman" w:eastAsia="Times New Roman" w:hint="default"/>
                <w:w w:val="105"/>
                <w:sz w:val="19"/>
                <w:szCs w:val="19"/>
              </w:rPr>
              <w:t>H92</w:t>
            </w:r>
            <w:r>
              <w:rPr>
                <w:rFonts w:ascii="宋体" w:hAnsi="宋体" w:cs="宋体" w:eastAsia="宋体" w:hint="default"/>
                <w:w w:val="105"/>
                <w:sz w:val="19"/>
                <w:szCs w:val="19"/>
              </w:rPr>
              <w:t>型）</w:t>
            </w:r>
            <w:r>
              <w:rPr>
                <w:rFonts w:ascii="宋体" w:hAnsi="宋体" w:cs="宋体" w:eastAsia="宋体" w:hint="default"/>
                <w:sz w:val="19"/>
                <w:szCs w:val="19"/>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25"/>
              <w:jc w:val="center"/>
              <w:rPr>
                <w:rFonts w:ascii="Times New Roman" w:hAnsi="Times New Roman" w:cs="Times New Roman" w:eastAsia="Times New Roman" w:hint="default"/>
                <w:sz w:val="19"/>
                <w:szCs w:val="19"/>
              </w:rPr>
            </w:pPr>
            <w:r>
              <w:rPr>
                <w:rFonts w:ascii="Times New Roman"/>
                <w:w w:val="105"/>
                <w:sz w:val="19"/>
              </w:rPr>
              <w:t>ZL201830539479.5</w:t>
            </w:r>
            <w:r>
              <w:rPr>
                <w:rFonts w:ascii="Times New Roman"/>
                <w:sz w:val="19"/>
              </w:rPr>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172"/>
              <w:jc w:val="right"/>
              <w:rPr>
                <w:rFonts w:ascii="Times New Roman" w:hAnsi="Times New Roman" w:cs="Times New Roman" w:eastAsia="Times New Roman" w:hint="default"/>
                <w:sz w:val="19"/>
                <w:szCs w:val="19"/>
              </w:rPr>
            </w:pPr>
            <w:r>
              <w:rPr>
                <w:rFonts w:ascii="Times New Roman"/>
                <w:sz w:val="19"/>
              </w:rPr>
              <w:t>2018/9/26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7"/>
              <w:jc w:val="center"/>
              <w:rPr>
                <w:rFonts w:ascii="Times New Roman" w:hAnsi="Times New Roman" w:cs="Times New Roman" w:eastAsia="Times New Roman" w:hint="default"/>
                <w:sz w:val="19"/>
                <w:szCs w:val="19"/>
              </w:rPr>
            </w:pPr>
            <w:r>
              <w:rPr>
                <w:rFonts w:ascii="Times New Roman"/>
                <w:w w:val="105"/>
                <w:sz w:val="19"/>
              </w:rPr>
              <w:t>2019/6/14</w:t>
            </w:r>
            <w:r>
              <w:rPr>
                <w:rFonts w:ascii="Times New Roman"/>
                <w:sz w:val="19"/>
              </w:rPr>
            </w:r>
          </w:p>
        </w:tc>
      </w:tr>
      <w:tr>
        <w:trPr>
          <w:trHeight w:val="420" w:hRule="exact"/>
        </w:trPr>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5" w:right="0"/>
              <w:jc w:val="center"/>
              <w:rPr>
                <w:rFonts w:ascii="Times New Roman" w:hAnsi="Times New Roman" w:cs="Times New Roman" w:eastAsia="Times New Roman" w:hint="default"/>
                <w:sz w:val="19"/>
                <w:szCs w:val="19"/>
              </w:rPr>
            </w:pPr>
            <w:r>
              <w:rPr>
                <w:rFonts w:ascii="Times New Roman"/>
                <w:spacing w:val="-8"/>
                <w:w w:val="105"/>
                <w:sz w:val="19"/>
              </w:rPr>
              <w:t>13</w:t>
            </w:r>
            <w:r>
              <w:rPr>
                <w:rFonts w:ascii="Times New Roman"/>
                <w:sz w:val="19"/>
              </w:rPr>
            </w:r>
          </w:p>
        </w:tc>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5" w:right="0"/>
              <w:jc w:val="left"/>
              <w:rPr>
                <w:rFonts w:ascii="宋体" w:hAnsi="宋体" w:cs="宋体" w:eastAsia="宋体" w:hint="default"/>
                <w:sz w:val="19"/>
                <w:szCs w:val="19"/>
              </w:rPr>
            </w:pPr>
            <w:r>
              <w:rPr>
                <w:rFonts w:ascii="宋体" w:hAnsi="宋体" w:cs="宋体" w:eastAsia="宋体" w:hint="default"/>
                <w:w w:val="105"/>
                <w:sz w:val="19"/>
                <w:szCs w:val="19"/>
              </w:rPr>
              <w:t>密钥设备（</w:t>
            </w:r>
            <w:r>
              <w:rPr>
                <w:rFonts w:ascii="Times New Roman" w:hAnsi="Times New Roman" w:cs="Times New Roman" w:eastAsia="Times New Roman" w:hint="default"/>
                <w:w w:val="105"/>
                <w:sz w:val="19"/>
                <w:szCs w:val="19"/>
              </w:rPr>
              <w:t>K33</w:t>
            </w:r>
            <w:r>
              <w:rPr>
                <w:rFonts w:ascii="宋体" w:hAnsi="宋体" w:cs="宋体" w:eastAsia="宋体" w:hint="default"/>
                <w:w w:val="105"/>
                <w:sz w:val="19"/>
                <w:szCs w:val="19"/>
              </w:rPr>
              <w:t>型）</w:t>
            </w:r>
            <w:r>
              <w:rPr>
                <w:rFonts w:ascii="宋体" w:hAnsi="宋体" w:cs="宋体" w:eastAsia="宋体" w:hint="default"/>
                <w:sz w:val="19"/>
                <w:szCs w:val="19"/>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25"/>
              <w:jc w:val="center"/>
              <w:rPr>
                <w:rFonts w:ascii="Times New Roman" w:hAnsi="Times New Roman" w:cs="Times New Roman" w:eastAsia="Times New Roman" w:hint="default"/>
                <w:sz w:val="19"/>
                <w:szCs w:val="19"/>
              </w:rPr>
            </w:pPr>
            <w:r>
              <w:rPr>
                <w:rFonts w:ascii="Times New Roman"/>
                <w:w w:val="105"/>
                <w:sz w:val="19"/>
              </w:rPr>
              <w:t>ZL201830539604.2</w:t>
            </w:r>
            <w:r>
              <w:rPr>
                <w:rFonts w:ascii="Times New Roman"/>
                <w:sz w:val="19"/>
              </w:rPr>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72"/>
              <w:jc w:val="right"/>
              <w:rPr>
                <w:rFonts w:ascii="Times New Roman" w:hAnsi="Times New Roman" w:cs="Times New Roman" w:eastAsia="Times New Roman" w:hint="default"/>
                <w:sz w:val="19"/>
                <w:szCs w:val="19"/>
              </w:rPr>
            </w:pPr>
            <w:r>
              <w:rPr>
                <w:rFonts w:ascii="Times New Roman"/>
                <w:sz w:val="19"/>
              </w:rPr>
              <w:t>2018/9/26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7"/>
              <w:jc w:val="center"/>
              <w:rPr>
                <w:rFonts w:ascii="Times New Roman" w:hAnsi="Times New Roman" w:cs="Times New Roman" w:eastAsia="Times New Roman" w:hint="default"/>
                <w:sz w:val="19"/>
                <w:szCs w:val="19"/>
              </w:rPr>
            </w:pPr>
            <w:r>
              <w:rPr>
                <w:rFonts w:ascii="Times New Roman"/>
                <w:w w:val="105"/>
                <w:sz w:val="19"/>
              </w:rPr>
              <w:t>2019/6/18</w:t>
            </w:r>
            <w:r>
              <w:rPr>
                <w:rFonts w:ascii="Times New Roman"/>
                <w:sz w:val="19"/>
              </w:rPr>
            </w:r>
          </w:p>
        </w:tc>
      </w:tr>
      <w:tr>
        <w:trPr>
          <w:trHeight w:val="436" w:hRule="exact"/>
        </w:trPr>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5" w:right="0"/>
              <w:jc w:val="center"/>
              <w:rPr>
                <w:rFonts w:ascii="Times New Roman" w:hAnsi="Times New Roman" w:cs="Times New Roman" w:eastAsia="Times New Roman" w:hint="default"/>
                <w:sz w:val="19"/>
                <w:szCs w:val="19"/>
              </w:rPr>
            </w:pPr>
            <w:r>
              <w:rPr>
                <w:rFonts w:ascii="Times New Roman"/>
                <w:spacing w:val="-8"/>
                <w:w w:val="105"/>
                <w:sz w:val="19"/>
              </w:rPr>
              <w:t>14</w:t>
            </w:r>
            <w:r>
              <w:rPr>
                <w:rFonts w:ascii="Times New Roman"/>
                <w:sz w:val="19"/>
              </w:rPr>
            </w:r>
          </w:p>
        </w:tc>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5" w:right="0"/>
              <w:jc w:val="left"/>
              <w:rPr>
                <w:rFonts w:ascii="宋体" w:hAnsi="宋体" w:cs="宋体" w:eastAsia="宋体" w:hint="default"/>
                <w:sz w:val="19"/>
                <w:szCs w:val="19"/>
              </w:rPr>
            </w:pPr>
            <w:r>
              <w:rPr>
                <w:rFonts w:ascii="宋体" w:hAnsi="宋体" w:cs="宋体" w:eastAsia="宋体" w:hint="default"/>
                <w:spacing w:val="3"/>
                <w:w w:val="105"/>
                <w:sz w:val="19"/>
                <w:szCs w:val="19"/>
              </w:rPr>
              <w:t>二维码终端装置（</w:t>
            </w:r>
            <w:r>
              <w:rPr>
                <w:rFonts w:ascii="Times New Roman" w:hAnsi="Times New Roman" w:cs="Times New Roman" w:eastAsia="Times New Roman" w:hint="default"/>
                <w:spacing w:val="3"/>
                <w:w w:val="105"/>
                <w:sz w:val="19"/>
                <w:szCs w:val="19"/>
              </w:rPr>
              <w:t>F3</w:t>
            </w:r>
            <w:r>
              <w:rPr>
                <w:rFonts w:ascii="宋体" w:hAnsi="宋体" w:cs="宋体" w:eastAsia="宋体" w:hint="default"/>
                <w:spacing w:val="3"/>
                <w:w w:val="105"/>
                <w:sz w:val="19"/>
                <w:szCs w:val="19"/>
              </w:rPr>
              <w:t>总装图型）</w:t>
            </w:r>
            <w:r>
              <w:rPr>
                <w:rFonts w:ascii="宋体" w:hAnsi="宋体" w:cs="宋体" w:eastAsia="宋体" w:hint="default"/>
                <w:spacing w:val="3"/>
                <w:sz w:val="19"/>
                <w:szCs w:val="19"/>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5"/>
              <w:jc w:val="center"/>
              <w:rPr>
                <w:rFonts w:ascii="Times New Roman" w:hAnsi="Times New Roman" w:cs="Times New Roman" w:eastAsia="Times New Roman" w:hint="default"/>
                <w:sz w:val="19"/>
                <w:szCs w:val="19"/>
              </w:rPr>
            </w:pPr>
            <w:r>
              <w:rPr>
                <w:rFonts w:ascii="Times New Roman"/>
                <w:w w:val="105"/>
                <w:sz w:val="19"/>
              </w:rPr>
              <w:t>ZL201830539474.2</w:t>
            </w:r>
            <w:r>
              <w:rPr>
                <w:rFonts w:ascii="Times New Roman"/>
                <w:sz w:val="19"/>
              </w:rPr>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72"/>
              <w:jc w:val="right"/>
              <w:rPr>
                <w:rFonts w:ascii="Times New Roman" w:hAnsi="Times New Roman" w:cs="Times New Roman" w:eastAsia="Times New Roman" w:hint="default"/>
                <w:sz w:val="19"/>
                <w:szCs w:val="19"/>
              </w:rPr>
            </w:pPr>
            <w:r>
              <w:rPr>
                <w:rFonts w:ascii="Times New Roman"/>
                <w:sz w:val="19"/>
              </w:rPr>
              <w:t>2018/9/26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7"/>
              <w:jc w:val="center"/>
              <w:rPr>
                <w:rFonts w:ascii="Times New Roman" w:hAnsi="Times New Roman" w:cs="Times New Roman" w:eastAsia="Times New Roman" w:hint="default"/>
                <w:sz w:val="19"/>
                <w:szCs w:val="19"/>
              </w:rPr>
            </w:pPr>
            <w:r>
              <w:rPr>
                <w:rFonts w:ascii="Times New Roman"/>
                <w:w w:val="105"/>
                <w:sz w:val="19"/>
              </w:rPr>
              <w:t>2019/7/12</w:t>
            </w:r>
            <w:r>
              <w:rPr>
                <w:rFonts w:ascii="Times New Roman"/>
                <w:sz w:val="19"/>
              </w:rPr>
            </w:r>
          </w:p>
        </w:tc>
      </w:tr>
      <w:tr>
        <w:trPr>
          <w:trHeight w:val="420" w:hRule="exact"/>
        </w:trPr>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5" w:right="0"/>
              <w:jc w:val="center"/>
              <w:rPr>
                <w:rFonts w:ascii="Times New Roman" w:hAnsi="Times New Roman" w:cs="Times New Roman" w:eastAsia="Times New Roman" w:hint="default"/>
                <w:sz w:val="19"/>
                <w:szCs w:val="19"/>
              </w:rPr>
            </w:pPr>
            <w:r>
              <w:rPr>
                <w:rFonts w:ascii="Times New Roman"/>
                <w:spacing w:val="-8"/>
                <w:w w:val="105"/>
                <w:sz w:val="19"/>
              </w:rPr>
              <w:t>15</w:t>
            </w:r>
            <w:r>
              <w:rPr>
                <w:rFonts w:ascii="Times New Roman"/>
                <w:sz w:val="19"/>
              </w:rPr>
            </w:r>
          </w:p>
        </w:tc>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5" w:right="0"/>
              <w:jc w:val="left"/>
              <w:rPr>
                <w:rFonts w:ascii="宋体" w:hAnsi="宋体" w:cs="宋体" w:eastAsia="宋体" w:hint="default"/>
                <w:sz w:val="19"/>
                <w:szCs w:val="19"/>
              </w:rPr>
            </w:pPr>
            <w:r>
              <w:rPr>
                <w:rFonts w:ascii="宋体" w:hAnsi="宋体" w:cs="宋体" w:eastAsia="宋体" w:hint="default"/>
                <w:spacing w:val="4"/>
                <w:w w:val="105"/>
                <w:sz w:val="19"/>
                <w:szCs w:val="19"/>
              </w:rPr>
              <w:t>二维码终端装置（</w:t>
            </w:r>
            <w:r>
              <w:rPr>
                <w:rFonts w:ascii="Times New Roman" w:hAnsi="Times New Roman" w:cs="Times New Roman" w:eastAsia="Times New Roman" w:hint="default"/>
                <w:spacing w:val="4"/>
                <w:w w:val="105"/>
                <w:sz w:val="19"/>
                <w:szCs w:val="19"/>
              </w:rPr>
              <w:t>F3</w:t>
            </w:r>
            <w:r>
              <w:rPr>
                <w:rFonts w:ascii="宋体" w:hAnsi="宋体" w:cs="宋体" w:eastAsia="宋体" w:hint="default"/>
                <w:spacing w:val="4"/>
                <w:w w:val="105"/>
                <w:sz w:val="19"/>
                <w:szCs w:val="19"/>
              </w:rPr>
              <w:t>组件</w:t>
            </w:r>
            <w:r>
              <w:rPr>
                <w:rFonts w:ascii="Times New Roman" w:hAnsi="Times New Roman" w:cs="Times New Roman" w:eastAsia="Times New Roman" w:hint="default"/>
                <w:spacing w:val="4"/>
                <w:w w:val="105"/>
                <w:sz w:val="19"/>
                <w:szCs w:val="19"/>
              </w:rPr>
              <w:t>1</w:t>
            </w:r>
            <w:r>
              <w:rPr>
                <w:rFonts w:ascii="宋体" w:hAnsi="宋体" w:cs="宋体" w:eastAsia="宋体" w:hint="default"/>
                <w:spacing w:val="4"/>
                <w:w w:val="105"/>
                <w:sz w:val="19"/>
                <w:szCs w:val="19"/>
              </w:rPr>
              <w:t>型）</w:t>
            </w:r>
            <w:r>
              <w:rPr>
                <w:rFonts w:ascii="宋体" w:hAnsi="宋体" w:cs="宋体" w:eastAsia="宋体" w:hint="default"/>
                <w:sz w:val="19"/>
                <w:szCs w:val="19"/>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5"/>
              <w:jc w:val="center"/>
              <w:rPr>
                <w:rFonts w:ascii="Times New Roman" w:hAnsi="Times New Roman" w:cs="Times New Roman" w:eastAsia="Times New Roman" w:hint="default"/>
                <w:sz w:val="19"/>
                <w:szCs w:val="19"/>
              </w:rPr>
            </w:pPr>
            <w:r>
              <w:rPr>
                <w:rFonts w:ascii="Times New Roman"/>
                <w:w w:val="105"/>
                <w:sz w:val="19"/>
              </w:rPr>
              <w:t>ZL201830539496.9</w:t>
            </w:r>
            <w:r>
              <w:rPr>
                <w:rFonts w:ascii="Times New Roman"/>
                <w:sz w:val="19"/>
              </w:rPr>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72"/>
              <w:jc w:val="right"/>
              <w:rPr>
                <w:rFonts w:ascii="Times New Roman" w:hAnsi="Times New Roman" w:cs="Times New Roman" w:eastAsia="Times New Roman" w:hint="default"/>
                <w:sz w:val="19"/>
                <w:szCs w:val="19"/>
              </w:rPr>
            </w:pPr>
            <w:r>
              <w:rPr>
                <w:rFonts w:ascii="Times New Roman"/>
                <w:sz w:val="19"/>
              </w:rPr>
              <w:t>2018/9/26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7"/>
              <w:jc w:val="center"/>
              <w:rPr>
                <w:rFonts w:ascii="Times New Roman" w:hAnsi="Times New Roman" w:cs="Times New Roman" w:eastAsia="Times New Roman" w:hint="default"/>
                <w:sz w:val="19"/>
                <w:szCs w:val="19"/>
              </w:rPr>
            </w:pPr>
            <w:r>
              <w:rPr>
                <w:rFonts w:ascii="Times New Roman"/>
                <w:w w:val="105"/>
                <w:sz w:val="19"/>
              </w:rPr>
              <w:t>2019/7/12</w:t>
            </w:r>
            <w:r>
              <w:rPr>
                <w:rFonts w:ascii="Times New Roman"/>
                <w:sz w:val="19"/>
              </w:rPr>
            </w:r>
          </w:p>
        </w:tc>
      </w:tr>
      <w:tr>
        <w:trPr>
          <w:trHeight w:val="435" w:hRule="exact"/>
        </w:trPr>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5" w:right="0"/>
              <w:jc w:val="center"/>
              <w:rPr>
                <w:rFonts w:ascii="Times New Roman" w:hAnsi="Times New Roman" w:cs="Times New Roman" w:eastAsia="Times New Roman" w:hint="default"/>
                <w:sz w:val="19"/>
                <w:szCs w:val="19"/>
              </w:rPr>
            </w:pPr>
            <w:r>
              <w:rPr>
                <w:rFonts w:ascii="Times New Roman"/>
                <w:spacing w:val="-8"/>
                <w:w w:val="105"/>
                <w:sz w:val="19"/>
              </w:rPr>
              <w:t>16</w:t>
            </w:r>
            <w:r>
              <w:rPr>
                <w:rFonts w:ascii="Times New Roman"/>
                <w:sz w:val="19"/>
              </w:rPr>
            </w:r>
          </w:p>
        </w:tc>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5" w:right="0"/>
              <w:jc w:val="left"/>
              <w:rPr>
                <w:rFonts w:ascii="宋体" w:hAnsi="宋体" w:cs="宋体" w:eastAsia="宋体" w:hint="default"/>
                <w:sz w:val="19"/>
                <w:szCs w:val="19"/>
              </w:rPr>
            </w:pPr>
            <w:r>
              <w:rPr>
                <w:rFonts w:ascii="宋体" w:hAnsi="宋体" w:cs="宋体" w:eastAsia="宋体" w:hint="default"/>
                <w:w w:val="105"/>
                <w:sz w:val="19"/>
                <w:szCs w:val="19"/>
              </w:rPr>
              <w:t>密钥设备（</w:t>
            </w:r>
            <w:r>
              <w:rPr>
                <w:rFonts w:ascii="Times New Roman" w:hAnsi="Times New Roman" w:cs="Times New Roman" w:eastAsia="Times New Roman" w:hint="default"/>
                <w:w w:val="105"/>
                <w:sz w:val="19"/>
                <w:szCs w:val="19"/>
              </w:rPr>
              <w:t>K35</w:t>
            </w:r>
            <w:r>
              <w:rPr>
                <w:rFonts w:ascii="宋体" w:hAnsi="宋体" w:cs="宋体" w:eastAsia="宋体" w:hint="default"/>
                <w:w w:val="105"/>
                <w:sz w:val="19"/>
                <w:szCs w:val="19"/>
              </w:rPr>
              <w:t>型）</w:t>
            </w:r>
            <w:r>
              <w:rPr>
                <w:rFonts w:ascii="宋体" w:hAnsi="宋体" w:cs="宋体" w:eastAsia="宋体" w:hint="default"/>
                <w:sz w:val="19"/>
                <w:szCs w:val="19"/>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25"/>
              <w:jc w:val="center"/>
              <w:rPr>
                <w:rFonts w:ascii="Times New Roman" w:hAnsi="Times New Roman" w:cs="Times New Roman" w:eastAsia="Times New Roman" w:hint="default"/>
                <w:sz w:val="19"/>
                <w:szCs w:val="19"/>
              </w:rPr>
            </w:pPr>
            <w:r>
              <w:rPr>
                <w:rFonts w:ascii="Times New Roman"/>
                <w:w w:val="105"/>
                <w:sz w:val="19"/>
              </w:rPr>
              <w:t>ZL201830419997.3</w:t>
            </w:r>
            <w:r>
              <w:rPr>
                <w:rFonts w:ascii="Times New Roman"/>
                <w:sz w:val="19"/>
              </w:rPr>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195" w:right="0"/>
              <w:jc w:val="left"/>
              <w:rPr>
                <w:rFonts w:ascii="Times New Roman" w:hAnsi="Times New Roman" w:cs="Times New Roman" w:eastAsia="Times New Roman" w:hint="default"/>
                <w:sz w:val="19"/>
                <w:szCs w:val="19"/>
              </w:rPr>
            </w:pPr>
            <w:r>
              <w:rPr>
                <w:rFonts w:ascii="Times New Roman"/>
                <w:w w:val="105"/>
                <w:sz w:val="19"/>
              </w:rPr>
              <w:t>2018/8/1</w:t>
            </w:r>
            <w:r>
              <w:rPr>
                <w:rFonts w:ascii="Times New Roman"/>
                <w:sz w:val="19"/>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7"/>
              <w:jc w:val="center"/>
              <w:rPr>
                <w:rFonts w:ascii="Times New Roman" w:hAnsi="Times New Roman" w:cs="Times New Roman" w:eastAsia="Times New Roman" w:hint="default"/>
                <w:sz w:val="19"/>
                <w:szCs w:val="19"/>
              </w:rPr>
            </w:pPr>
            <w:r>
              <w:rPr>
                <w:rFonts w:ascii="Times New Roman"/>
                <w:w w:val="105"/>
                <w:sz w:val="19"/>
              </w:rPr>
              <w:t>2019/7/26</w:t>
            </w:r>
            <w:r>
              <w:rPr>
                <w:rFonts w:ascii="Times New Roman"/>
                <w:sz w:val="19"/>
              </w:rPr>
            </w:r>
          </w:p>
        </w:tc>
      </w:tr>
      <w:tr>
        <w:trPr>
          <w:trHeight w:val="421" w:hRule="exact"/>
        </w:trPr>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5" w:right="0"/>
              <w:jc w:val="center"/>
              <w:rPr>
                <w:rFonts w:ascii="Times New Roman" w:hAnsi="Times New Roman" w:cs="Times New Roman" w:eastAsia="Times New Roman" w:hint="default"/>
                <w:sz w:val="19"/>
                <w:szCs w:val="19"/>
              </w:rPr>
            </w:pPr>
            <w:r>
              <w:rPr>
                <w:rFonts w:ascii="Times New Roman"/>
                <w:spacing w:val="-8"/>
                <w:w w:val="105"/>
                <w:sz w:val="19"/>
              </w:rPr>
              <w:t>17</w:t>
            </w:r>
            <w:r>
              <w:rPr>
                <w:rFonts w:ascii="Times New Roman"/>
                <w:sz w:val="19"/>
              </w:rPr>
            </w:r>
          </w:p>
        </w:tc>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5" w:right="0"/>
              <w:jc w:val="left"/>
              <w:rPr>
                <w:rFonts w:ascii="宋体" w:hAnsi="宋体" w:cs="宋体" w:eastAsia="宋体" w:hint="default"/>
                <w:sz w:val="19"/>
                <w:szCs w:val="19"/>
              </w:rPr>
            </w:pPr>
            <w:r>
              <w:rPr>
                <w:rFonts w:ascii="宋体" w:hAnsi="宋体" w:cs="宋体" w:eastAsia="宋体" w:hint="default"/>
                <w:spacing w:val="4"/>
                <w:w w:val="105"/>
                <w:sz w:val="19"/>
                <w:szCs w:val="19"/>
              </w:rPr>
              <w:t>二维码终端装置（</w:t>
            </w:r>
            <w:r>
              <w:rPr>
                <w:rFonts w:ascii="Times New Roman" w:hAnsi="Times New Roman" w:cs="Times New Roman" w:eastAsia="Times New Roman" w:hint="default"/>
                <w:spacing w:val="4"/>
                <w:w w:val="105"/>
                <w:sz w:val="19"/>
                <w:szCs w:val="19"/>
              </w:rPr>
              <w:t>F3</w:t>
            </w:r>
            <w:r>
              <w:rPr>
                <w:rFonts w:ascii="宋体" w:hAnsi="宋体" w:cs="宋体" w:eastAsia="宋体" w:hint="default"/>
                <w:spacing w:val="4"/>
                <w:w w:val="105"/>
                <w:sz w:val="19"/>
                <w:szCs w:val="19"/>
              </w:rPr>
              <w:t>组件</w:t>
            </w:r>
            <w:r>
              <w:rPr>
                <w:rFonts w:ascii="Times New Roman" w:hAnsi="Times New Roman" w:cs="Times New Roman" w:eastAsia="Times New Roman" w:hint="default"/>
                <w:spacing w:val="4"/>
                <w:w w:val="105"/>
                <w:sz w:val="19"/>
                <w:szCs w:val="19"/>
              </w:rPr>
              <w:t>2</w:t>
            </w:r>
            <w:r>
              <w:rPr>
                <w:rFonts w:ascii="宋体" w:hAnsi="宋体" w:cs="宋体" w:eastAsia="宋体" w:hint="default"/>
                <w:spacing w:val="4"/>
                <w:w w:val="105"/>
                <w:sz w:val="19"/>
                <w:szCs w:val="19"/>
              </w:rPr>
              <w:t>型）</w:t>
            </w:r>
            <w:r>
              <w:rPr>
                <w:rFonts w:ascii="宋体" w:hAnsi="宋体" w:cs="宋体" w:eastAsia="宋体" w:hint="default"/>
                <w:sz w:val="19"/>
                <w:szCs w:val="19"/>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25"/>
              <w:jc w:val="center"/>
              <w:rPr>
                <w:rFonts w:ascii="Times New Roman" w:hAnsi="Times New Roman" w:cs="Times New Roman" w:eastAsia="Times New Roman" w:hint="default"/>
                <w:sz w:val="19"/>
                <w:szCs w:val="19"/>
              </w:rPr>
            </w:pPr>
            <w:r>
              <w:rPr>
                <w:rFonts w:ascii="Times New Roman"/>
                <w:w w:val="105"/>
                <w:sz w:val="19"/>
              </w:rPr>
              <w:t>ZL201830539605.7</w:t>
            </w:r>
            <w:r>
              <w:rPr>
                <w:rFonts w:ascii="Times New Roman"/>
                <w:sz w:val="19"/>
              </w:rPr>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72"/>
              <w:jc w:val="right"/>
              <w:rPr>
                <w:rFonts w:ascii="Times New Roman" w:hAnsi="Times New Roman" w:cs="Times New Roman" w:eastAsia="Times New Roman" w:hint="default"/>
                <w:sz w:val="19"/>
                <w:szCs w:val="19"/>
              </w:rPr>
            </w:pPr>
            <w:r>
              <w:rPr>
                <w:rFonts w:ascii="Times New Roman"/>
                <w:sz w:val="19"/>
              </w:rPr>
              <w:t>2018/9/26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22"/>
              <w:jc w:val="center"/>
              <w:rPr>
                <w:rFonts w:ascii="Times New Roman" w:hAnsi="Times New Roman" w:cs="Times New Roman" w:eastAsia="Times New Roman" w:hint="default"/>
                <w:sz w:val="19"/>
                <w:szCs w:val="19"/>
              </w:rPr>
            </w:pPr>
            <w:r>
              <w:rPr>
                <w:rFonts w:ascii="Times New Roman"/>
                <w:w w:val="105"/>
                <w:sz w:val="19"/>
              </w:rPr>
              <w:t>2019/8/9</w:t>
            </w:r>
            <w:r>
              <w:rPr>
                <w:rFonts w:ascii="Times New Roman"/>
                <w:sz w:val="19"/>
              </w:rPr>
            </w:r>
          </w:p>
        </w:tc>
      </w:tr>
      <w:tr>
        <w:trPr>
          <w:trHeight w:val="420" w:hRule="exact"/>
        </w:trPr>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5" w:right="0"/>
              <w:jc w:val="center"/>
              <w:rPr>
                <w:rFonts w:ascii="Times New Roman" w:hAnsi="Times New Roman" w:cs="Times New Roman" w:eastAsia="Times New Roman" w:hint="default"/>
                <w:sz w:val="19"/>
                <w:szCs w:val="19"/>
              </w:rPr>
            </w:pPr>
            <w:r>
              <w:rPr>
                <w:rFonts w:ascii="Times New Roman"/>
                <w:spacing w:val="-8"/>
                <w:w w:val="105"/>
                <w:sz w:val="19"/>
              </w:rPr>
              <w:t>18</w:t>
            </w:r>
            <w:r>
              <w:rPr>
                <w:rFonts w:ascii="Times New Roman"/>
                <w:sz w:val="19"/>
              </w:rPr>
            </w:r>
          </w:p>
        </w:tc>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5" w:right="0"/>
              <w:jc w:val="left"/>
              <w:rPr>
                <w:rFonts w:ascii="宋体" w:hAnsi="宋体" w:cs="宋体" w:eastAsia="宋体" w:hint="default"/>
                <w:sz w:val="19"/>
                <w:szCs w:val="19"/>
              </w:rPr>
            </w:pPr>
            <w:r>
              <w:rPr>
                <w:rFonts w:ascii="宋体" w:hAnsi="宋体" w:cs="宋体" w:eastAsia="宋体" w:hint="default"/>
                <w:w w:val="105"/>
                <w:sz w:val="19"/>
                <w:szCs w:val="19"/>
              </w:rPr>
              <w:t>密钥设备（</w:t>
            </w:r>
            <w:r>
              <w:rPr>
                <w:rFonts w:ascii="Times New Roman" w:hAnsi="Times New Roman" w:cs="Times New Roman" w:eastAsia="Times New Roman" w:hint="default"/>
                <w:w w:val="105"/>
                <w:sz w:val="19"/>
                <w:szCs w:val="19"/>
              </w:rPr>
              <w:t>F4</w:t>
            </w:r>
            <w:r>
              <w:rPr>
                <w:rFonts w:ascii="宋体" w:hAnsi="宋体" w:cs="宋体" w:eastAsia="宋体" w:hint="default"/>
                <w:w w:val="105"/>
                <w:sz w:val="19"/>
                <w:szCs w:val="19"/>
              </w:rPr>
              <w:t>型）</w:t>
            </w:r>
            <w:r>
              <w:rPr>
                <w:rFonts w:ascii="宋体" w:hAnsi="宋体" w:cs="宋体" w:eastAsia="宋体" w:hint="default"/>
                <w:sz w:val="19"/>
                <w:szCs w:val="19"/>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5"/>
              <w:jc w:val="center"/>
              <w:rPr>
                <w:rFonts w:ascii="Times New Roman" w:hAnsi="Times New Roman" w:cs="Times New Roman" w:eastAsia="Times New Roman" w:hint="default"/>
                <w:sz w:val="19"/>
                <w:szCs w:val="19"/>
              </w:rPr>
            </w:pPr>
            <w:r>
              <w:rPr>
                <w:rFonts w:ascii="Times New Roman"/>
                <w:w w:val="105"/>
                <w:sz w:val="19"/>
              </w:rPr>
              <w:t>ZL201830628821.9</w:t>
            </w:r>
            <w:r>
              <w:rPr>
                <w:rFonts w:ascii="Times New Roman"/>
                <w:sz w:val="19"/>
              </w:rPr>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72"/>
              <w:jc w:val="right"/>
              <w:rPr>
                <w:rFonts w:ascii="Times New Roman" w:hAnsi="Times New Roman" w:cs="Times New Roman" w:eastAsia="Times New Roman" w:hint="default"/>
                <w:sz w:val="19"/>
                <w:szCs w:val="19"/>
              </w:rPr>
            </w:pPr>
            <w:r>
              <w:rPr>
                <w:rFonts w:ascii="Times New Roman"/>
                <w:sz w:val="19"/>
              </w:rPr>
              <w:t>2018/11/7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2"/>
              <w:jc w:val="center"/>
              <w:rPr>
                <w:rFonts w:ascii="Times New Roman" w:hAnsi="Times New Roman" w:cs="Times New Roman" w:eastAsia="Times New Roman" w:hint="default"/>
                <w:sz w:val="19"/>
                <w:szCs w:val="19"/>
              </w:rPr>
            </w:pPr>
            <w:r>
              <w:rPr>
                <w:rFonts w:ascii="Times New Roman"/>
                <w:w w:val="105"/>
                <w:sz w:val="19"/>
              </w:rPr>
              <w:t>2019/8/9</w:t>
            </w:r>
            <w:r>
              <w:rPr>
                <w:rFonts w:ascii="Times New Roman"/>
                <w:sz w:val="19"/>
              </w:rPr>
            </w:r>
          </w:p>
        </w:tc>
      </w:tr>
      <w:tr>
        <w:trPr>
          <w:trHeight w:val="436" w:hRule="exact"/>
        </w:trPr>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5" w:right="0"/>
              <w:jc w:val="center"/>
              <w:rPr>
                <w:rFonts w:ascii="Times New Roman" w:hAnsi="Times New Roman" w:cs="Times New Roman" w:eastAsia="Times New Roman" w:hint="default"/>
                <w:sz w:val="19"/>
                <w:szCs w:val="19"/>
              </w:rPr>
            </w:pPr>
            <w:r>
              <w:rPr>
                <w:rFonts w:ascii="Times New Roman"/>
                <w:spacing w:val="-8"/>
                <w:w w:val="105"/>
                <w:sz w:val="19"/>
              </w:rPr>
              <w:t>19</w:t>
            </w:r>
            <w:r>
              <w:rPr>
                <w:rFonts w:ascii="Times New Roman"/>
                <w:sz w:val="19"/>
              </w:rPr>
            </w:r>
          </w:p>
        </w:tc>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5" w:right="0"/>
              <w:jc w:val="left"/>
              <w:rPr>
                <w:rFonts w:ascii="宋体" w:hAnsi="宋体" w:cs="宋体" w:eastAsia="宋体" w:hint="default"/>
                <w:sz w:val="19"/>
                <w:szCs w:val="19"/>
              </w:rPr>
            </w:pPr>
            <w:r>
              <w:rPr>
                <w:rFonts w:ascii="宋体" w:hAnsi="宋体" w:cs="宋体" w:eastAsia="宋体" w:hint="default"/>
                <w:w w:val="105"/>
                <w:sz w:val="19"/>
                <w:szCs w:val="19"/>
              </w:rPr>
              <w:t>密钥设备（</w:t>
            </w:r>
            <w:r>
              <w:rPr>
                <w:rFonts w:ascii="Times New Roman" w:hAnsi="Times New Roman" w:cs="Times New Roman" w:eastAsia="Times New Roman" w:hint="default"/>
                <w:w w:val="105"/>
                <w:sz w:val="19"/>
                <w:szCs w:val="19"/>
              </w:rPr>
              <w:t>I34</w:t>
            </w:r>
            <w:r>
              <w:rPr>
                <w:rFonts w:ascii="宋体" w:hAnsi="宋体" w:cs="宋体" w:eastAsia="宋体" w:hint="default"/>
                <w:w w:val="105"/>
                <w:sz w:val="19"/>
                <w:szCs w:val="19"/>
              </w:rPr>
              <w:t>型）</w:t>
            </w:r>
            <w:r>
              <w:rPr>
                <w:rFonts w:ascii="宋体" w:hAnsi="宋体" w:cs="宋体" w:eastAsia="宋体" w:hint="default"/>
                <w:sz w:val="19"/>
                <w:szCs w:val="19"/>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12"/>
              <w:jc w:val="center"/>
              <w:rPr>
                <w:rFonts w:ascii="Times New Roman" w:hAnsi="Times New Roman" w:cs="Times New Roman" w:eastAsia="Times New Roman" w:hint="default"/>
                <w:sz w:val="19"/>
                <w:szCs w:val="19"/>
              </w:rPr>
            </w:pPr>
            <w:r>
              <w:rPr>
                <w:rFonts w:ascii="Times New Roman"/>
                <w:w w:val="105"/>
                <w:sz w:val="19"/>
              </w:rPr>
              <w:t>ZL201830628361.X</w:t>
            </w:r>
            <w:r>
              <w:rPr>
                <w:rFonts w:ascii="Times New Roman"/>
                <w:sz w:val="19"/>
              </w:rPr>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172"/>
              <w:jc w:val="right"/>
              <w:rPr>
                <w:rFonts w:ascii="Times New Roman" w:hAnsi="Times New Roman" w:cs="Times New Roman" w:eastAsia="Times New Roman" w:hint="default"/>
                <w:sz w:val="19"/>
                <w:szCs w:val="19"/>
              </w:rPr>
            </w:pPr>
            <w:r>
              <w:rPr>
                <w:rFonts w:ascii="Times New Roman"/>
                <w:sz w:val="19"/>
              </w:rPr>
              <w:t>2018/11/7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22"/>
              <w:jc w:val="center"/>
              <w:rPr>
                <w:rFonts w:ascii="Times New Roman" w:hAnsi="Times New Roman" w:cs="Times New Roman" w:eastAsia="Times New Roman" w:hint="default"/>
                <w:sz w:val="19"/>
                <w:szCs w:val="19"/>
              </w:rPr>
            </w:pPr>
            <w:r>
              <w:rPr>
                <w:rFonts w:ascii="Times New Roman"/>
                <w:w w:val="105"/>
                <w:sz w:val="19"/>
              </w:rPr>
              <w:t>2019/8/9</w:t>
            </w:r>
            <w:r>
              <w:rPr>
                <w:rFonts w:ascii="Times New Roman"/>
                <w:sz w:val="19"/>
              </w:rPr>
            </w:r>
          </w:p>
        </w:tc>
      </w:tr>
      <w:tr>
        <w:trPr>
          <w:trHeight w:val="420" w:hRule="exact"/>
        </w:trPr>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5" w:right="0"/>
              <w:jc w:val="center"/>
              <w:rPr>
                <w:rFonts w:ascii="Times New Roman" w:hAnsi="Times New Roman" w:cs="Times New Roman" w:eastAsia="Times New Roman" w:hint="default"/>
                <w:sz w:val="19"/>
                <w:szCs w:val="19"/>
              </w:rPr>
            </w:pPr>
            <w:r>
              <w:rPr>
                <w:rFonts w:ascii="Times New Roman"/>
                <w:spacing w:val="-8"/>
                <w:w w:val="105"/>
                <w:sz w:val="19"/>
              </w:rPr>
              <w:t>20</w:t>
            </w:r>
            <w:r>
              <w:rPr>
                <w:rFonts w:ascii="Times New Roman"/>
                <w:sz w:val="19"/>
              </w:rPr>
            </w:r>
          </w:p>
        </w:tc>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5" w:right="0"/>
              <w:jc w:val="left"/>
              <w:rPr>
                <w:rFonts w:ascii="宋体" w:hAnsi="宋体" w:cs="宋体" w:eastAsia="宋体" w:hint="default"/>
                <w:sz w:val="19"/>
                <w:szCs w:val="19"/>
              </w:rPr>
            </w:pPr>
            <w:r>
              <w:rPr>
                <w:rFonts w:ascii="宋体" w:hAnsi="宋体" w:cs="宋体" w:eastAsia="宋体" w:hint="default"/>
                <w:w w:val="105"/>
                <w:sz w:val="19"/>
                <w:szCs w:val="19"/>
              </w:rPr>
              <w:t>密钥设备（</w:t>
            </w:r>
            <w:r>
              <w:rPr>
                <w:rFonts w:ascii="Times New Roman" w:hAnsi="Times New Roman" w:cs="Times New Roman" w:eastAsia="Times New Roman" w:hint="default"/>
                <w:w w:val="105"/>
                <w:sz w:val="19"/>
                <w:szCs w:val="19"/>
              </w:rPr>
              <w:t>K41</w:t>
            </w:r>
            <w:r>
              <w:rPr>
                <w:rFonts w:ascii="宋体" w:hAnsi="宋体" w:cs="宋体" w:eastAsia="宋体" w:hint="default"/>
                <w:w w:val="105"/>
                <w:sz w:val="19"/>
                <w:szCs w:val="19"/>
              </w:rPr>
              <w:t>型）</w:t>
            </w:r>
            <w:r>
              <w:rPr>
                <w:rFonts w:ascii="宋体" w:hAnsi="宋体" w:cs="宋体" w:eastAsia="宋体" w:hint="default"/>
                <w:sz w:val="19"/>
                <w:szCs w:val="19"/>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25"/>
              <w:jc w:val="center"/>
              <w:rPr>
                <w:rFonts w:ascii="Times New Roman" w:hAnsi="Times New Roman" w:cs="Times New Roman" w:eastAsia="Times New Roman" w:hint="default"/>
                <w:sz w:val="19"/>
                <w:szCs w:val="19"/>
              </w:rPr>
            </w:pPr>
            <w:r>
              <w:rPr>
                <w:rFonts w:ascii="Times New Roman"/>
                <w:w w:val="105"/>
                <w:sz w:val="19"/>
              </w:rPr>
              <w:t>ZL201830648617.3</w:t>
            </w:r>
            <w:r>
              <w:rPr>
                <w:rFonts w:ascii="Times New Roman"/>
                <w:sz w:val="19"/>
              </w:rPr>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128"/>
              <w:jc w:val="right"/>
              <w:rPr>
                <w:rFonts w:ascii="Times New Roman" w:hAnsi="Times New Roman" w:cs="Times New Roman" w:eastAsia="Times New Roman" w:hint="default"/>
                <w:sz w:val="19"/>
                <w:szCs w:val="19"/>
              </w:rPr>
            </w:pPr>
            <w:r>
              <w:rPr>
                <w:rFonts w:ascii="Times New Roman"/>
                <w:sz w:val="19"/>
              </w:rPr>
              <w:t>2018/11/15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22"/>
              <w:jc w:val="center"/>
              <w:rPr>
                <w:rFonts w:ascii="Times New Roman" w:hAnsi="Times New Roman" w:cs="Times New Roman" w:eastAsia="Times New Roman" w:hint="default"/>
                <w:sz w:val="19"/>
                <w:szCs w:val="19"/>
              </w:rPr>
            </w:pPr>
            <w:r>
              <w:rPr>
                <w:rFonts w:ascii="Times New Roman"/>
                <w:w w:val="105"/>
                <w:sz w:val="19"/>
              </w:rPr>
              <w:t>2019/8/9</w:t>
            </w:r>
            <w:r>
              <w:rPr>
                <w:rFonts w:ascii="Times New Roman"/>
                <w:sz w:val="19"/>
              </w:rPr>
            </w:r>
          </w:p>
        </w:tc>
      </w:tr>
      <w:tr>
        <w:trPr>
          <w:trHeight w:val="435" w:hRule="exact"/>
        </w:trPr>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5" w:right="0"/>
              <w:jc w:val="center"/>
              <w:rPr>
                <w:rFonts w:ascii="Times New Roman" w:hAnsi="Times New Roman" w:cs="Times New Roman" w:eastAsia="Times New Roman" w:hint="default"/>
                <w:sz w:val="19"/>
                <w:szCs w:val="19"/>
              </w:rPr>
            </w:pPr>
            <w:r>
              <w:rPr>
                <w:rFonts w:ascii="Times New Roman"/>
                <w:spacing w:val="-8"/>
                <w:w w:val="105"/>
                <w:sz w:val="19"/>
              </w:rPr>
              <w:t>21</w:t>
            </w:r>
            <w:r>
              <w:rPr>
                <w:rFonts w:ascii="Times New Roman"/>
                <w:sz w:val="19"/>
              </w:rPr>
            </w:r>
          </w:p>
        </w:tc>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5" w:right="0"/>
              <w:jc w:val="left"/>
              <w:rPr>
                <w:rFonts w:ascii="宋体" w:hAnsi="宋体" w:cs="宋体" w:eastAsia="宋体" w:hint="default"/>
                <w:sz w:val="19"/>
                <w:szCs w:val="19"/>
              </w:rPr>
            </w:pPr>
            <w:r>
              <w:rPr>
                <w:rFonts w:ascii="宋体" w:hAnsi="宋体" w:cs="宋体" w:eastAsia="宋体" w:hint="default"/>
                <w:w w:val="105"/>
                <w:sz w:val="19"/>
                <w:szCs w:val="19"/>
              </w:rPr>
              <w:t>密钥设备（</w:t>
            </w:r>
            <w:r>
              <w:rPr>
                <w:rFonts w:ascii="Times New Roman" w:hAnsi="Times New Roman" w:cs="Times New Roman" w:eastAsia="Times New Roman" w:hint="default"/>
                <w:w w:val="105"/>
                <w:sz w:val="19"/>
                <w:szCs w:val="19"/>
              </w:rPr>
              <w:t>K28</w:t>
            </w:r>
            <w:r>
              <w:rPr>
                <w:rFonts w:ascii="宋体" w:hAnsi="宋体" w:cs="宋体" w:eastAsia="宋体" w:hint="default"/>
                <w:w w:val="105"/>
                <w:sz w:val="19"/>
                <w:szCs w:val="19"/>
              </w:rPr>
              <w:t>型）</w:t>
            </w:r>
            <w:r>
              <w:rPr>
                <w:rFonts w:ascii="宋体" w:hAnsi="宋体" w:cs="宋体" w:eastAsia="宋体" w:hint="default"/>
                <w:sz w:val="19"/>
                <w:szCs w:val="19"/>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5"/>
              <w:jc w:val="center"/>
              <w:rPr>
                <w:rFonts w:ascii="Times New Roman" w:hAnsi="Times New Roman" w:cs="Times New Roman" w:eastAsia="Times New Roman" w:hint="default"/>
                <w:sz w:val="19"/>
                <w:szCs w:val="19"/>
              </w:rPr>
            </w:pPr>
            <w:r>
              <w:rPr>
                <w:rFonts w:ascii="Times New Roman"/>
                <w:w w:val="105"/>
                <w:sz w:val="19"/>
              </w:rPr>
              <w:t>ZL201830722983.9</w:t>
            </w:r>
            <w:r>
              <w:rPr>
                <w:rFonts w:ascii="Times New Roman"/>
                <w:sz w:val="19"/>
              </w:rPr>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28"/>
              <w:jc w:val="right"/>
              <w:rPr>
                <w:rFonts w:ascii="Times New Roman" w:hAnsi="Times New Roman" w:cs="Times New Roman" w:eastAsia="Times New Roman" w:hint="default"/>
                <w:sz w:val="19"/>
                <w:szCs w:val="19"/>
              </w:rPr>
            </w:pPr>
            <w:r>
              <w:rPr>
                <w:rFonts w:ascii="Times New Roman"/>
                <w:sz w:val="19"/>
              </w:rPr>
              <w:t>2018/12/13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7"/>
              <w:jc w:val="center"/>
              <w:rPr>
                <w:rFonts w:ascii="Times New Roman" w:hAnsi="Times New Roman" w:cs="Times New Roman" w:eastAsia="Times New Roman" w:hint="default"/>
                <w:sz w:val="19"/>
                <w:szCs w:val="19"/>
              </w:rPr>
            </w:pPr>
            <w:r>
              <w:rPr>
                <w:rFonts w:ascii="Times New Roman"/>
                <w:w w:val="105"/>
                <w:sz w:val="19"/>
              </w:rPr>
              <w:t>2019/9/13</w:t>
            </w:r>
            <w:r>
              <w:rPr>
                <w:rFonts w:ascii="Times New Roman"/>
                <w:sz w:val="19"/>
              </w:rPr>
            </w:r>
          </w:p>
        </w:tc>
      </w:tr>
      <w:tr>
        <w:trPr>
          <w:trHeight w:val="420" w:hRule="exact"/>
        </w:trPr>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5" w:right="0"/>
              <w:jc w:val="center"/>
              <w:rPr>
                <w:rFonts w:ascii="Times New Roman" w:hAnsi="Times New Roman" w:cs="Times New Roman" w:eastAsia="Times New Roman" w:hint="default"/>
                <w:sz w:val="19"/>
                <w:szCs w:val="19"/>
              </w:rPr>
            </w:pPr>
            <w:r>
              <w:rPr>
                <w:rFonts w:ascii="Times New Roman"/>
                <w:spacing w:val="-8"/>
                <w:w w:val="105"/>
                <w:sz w:val="19"/>
              </w:rPr>
              <w:t>22</w:t>
            </w:r>
            <w:r>
              <w:rPr>
                <w:rFonts w:ascii="Times New Roman"/>
                <w:sz w:val="19"/>
              </w:rPr>
            </w:r>
          </w:p>
        </w:tc>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5" w:right="0"/>
              <w:jc w:val="left"/>
              <w:rPr>
                <w:rFonts w:ascii="宋体" w:hAnsi="宋体" w:cs="宋体" w:eastAsia="宋体" w:hint="default"/>
                <w:sz w:val="19"/>
                <w:szCs w:val="19"/>
              </w:rPr>
            </w:pPr>
            <w:r>
              <w:rPr>
                <w:rFonts w:ascii="宋体" w:hAnsi="宋体" w:cs="宋体" w:eastAsia="宋体" w:hint="default"/>
                <w:w w:val="105"/>
                <w:sz w:val="19"/>
                <w:szCs w:val="19"/>
              </w:rPr>
              <w:t>密钥设备（</w:t>
            </w:r>
            <w:r>
              <w:rPr>
                <w:rFonts w:ascii="Times New Roman" w:hAnsi="Times New Roman" w:cs="Times New Roman" w:eastAsia="Times New Roman" w:hint="default"/>
                <w:w w:val="105"/>
                <w:sz w:val="19"/>
                <w:szCs w:val="19"/>
              </w:rPr>
              <w:t>F8</w:t>
            </w:r>
            <w:r>
              <w:rPr>
                <w:rFonts w:ascii="宋体" w:hAnsi="宋体" w:cs="宋体" w:eastAsia="宋体" w:hint="default"/>
                <w:w w:val="105"/>
                <w:sz w:val="19"/>
                <w:szCs w:val="19"/>
              </w:rPr>
              <w:t>型）</w:t>
            </w:r>
            <w:r>
              <w:rPr>
                <w:rFonts w:ascii="宋体" w:hAnsi="宋体" w:cs="宋体" w:eastAsia="宋体" w:hint="default"/>
                <w:sz w:val="19"/>
                <w:szCs w:val="19"/>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5"/>
              <w:jc w:val="center"/>
              <w:rPr>
                <w:rFonts w:ascii="Times New Roman" w:hAnsi="Times New Roman" w:cs="Times New Roman" w:eastAsia="Times New Roman" w:hint="default"/>
                <w:sz w:val="19"/>
                <w:szCs w:val="19"/>
              </w:rPr>
            </w:pPr>
            <w:r>
              <w:rPr>
                <w:rFonts w:ascii="Times New Roman"/>
                <w:w w:val="105"/>
                <w:sz w:val="19"/>
              </w:rPr>
              <w:t>ZL201930134629.9</w:t>
            </w:r>
            <w:r>
              <w:rPr>
                <w:rFonts w:ascii="Times New Roman"/>
                <w:sz w:val="19"/>
              </w:rPr>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72"/>
              <w:jc w:val="right"/>
              <w:rPr>
                <w:rFonts w:ascii="Times New Roman" w:hAnsi="Times New Roman" w:cs="Times New Roman" w:eastAsia="Times New Roman" w:hint="default"/>
                <w:sz w:val="19"/>
                <w:szCs w:val="19"/>
              </w:rPr>
            </w:pPr>
            <w:r>
              <w:rPr>
                <w:rFonts w:ascii="Times New Roman"/>
                <w:sz w:val="19"/>
              </w:rPr>
              <w:t>2019/3/28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7"/>
              <w:jc w:val="center"/>
              <w:rPr>
                <w:rFonts w:ascii="Times New Roman" w:hAnsi="Times New Roman" w:cs="Times New Roman" w:eastAsia="Times New Roman" w:hint="default"/>
                <w:sz w:val="19"/>
                <w:szCs w:val="19"/>
              </w:rPr>
            </w:pPr>
            <w:r>
              <w:rPr>
                <w:rFonts w:ascii="Times New Roman"/>
                <w:w w:val="105"/>
                <w:sz w:val="19"/>
              </w:rPr>
              <w:t>2019/10/8</w:t>
            </w:r>
            <w:r>
              <w:rPr>
                <w:rFonts w:ascii="Times New Roman"/>
                <w:sz w:val="19"/>
              </w:rPr>
            </w:r>
          </w:p>
        </w:tc>
      </w:tr>
      <w:tr>
        <w:trPr>
          <w:trHeight w:val="436" w:hRule="exact"/>
        </w:trPr>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5" w:right="0"/>
              <w:jc w:val="center"/>
              <w:rPr>
                <w:rFonts w:ascii="Times New Roman" w:hAnsi="Times New Roman" w:cs="Times New Roman" w:eastAsia="Times New Roman" w:hint="default"/>
                <w:sz w:val="19"/>
                <w:szCs w:val="19"/>
              </w:rPr>
            </w:pPr>
            <w:r>
              <w:rPr>
                <w:rFonts w:ascii="Times New Roman"/>
                <w:spacing w:val="-8"/>
                <w:w w:val="105"/>
                <w:sz w:val="19"/>
              </w:rPr>
              <w:t>23</w:t>
            </w:r>
            <w:r>
              <w:rPr>
                <w:rFonts w:ascii="Times New Roman"/>
                <w:sz w:val="19"/>
              </w:rPr>
            </w:r>
          </w:p>
        </w:tc>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5" w:right="0"/>
              <w:jc w:val="left"/>
              <w:rPr>
                <w:rFonts w:ascii="宋体" w:hAnsi="宋体" w:cs="宋体" w:eastAsia="宋体" w:hint="default"/>
                <w:sz w:val="19"/>
                <w:szCs w:val="19"/>
              </w:rPr>
            </w:pPr>
            <w:r>
              <w:rPr>
                <w:rFonts w:ascii="宋体" w:hAnsi="宋体" w:cs="宋体" w:eastAsia="宋体" w:hint="default"/>
                <w:spacing w:val="4"/>
                <w:w w:val="105"/>
                <w:sz w:val="19"/>
                <w:szCs w:val="19"/>
              </w:rPr>
              <w:t>密钥设备（</w:t>
            </w:r>
            <w:r>
              <w:rPr>
                <w:rFonts w:ascii="Times New Roman" w:hAnsi="Times New Roman" w:cs="Times New Roman" w:eastAsia="Times New Roman" w:hint="default"/>
                <w:spacing w:val="4"/>
                <w:w w:val="105"/>
                <w:sz w:val="19"/>
                <w:szCs w:val="19"/>
              </w:rPr>
              <w:t>C57</w:t>
            </w:r>
            <w:r>
              <w:rPr>
                <w:rFonts w:ascii="宋体" w:hAnsi="宋体" w:cs="宋体" w:eastAsia="宋体" w:hint="default"/>
                <w:spacing w:val="4"/>
                <w:w w:val="105"/>
                <w:sz w:val="19"/>
                <w:szCs w:val="19"/>
              </w:rPr>
              <w:t>型）</w:t>
            </w:r>
            <w:r>
              <w:rPr>
                <w:rFonts w:ascii="宋体" w:hAnsi="宋体" w:cs="宋体" w:eastAsia="宋体" w:hint="default"/>
                <w:sz w:val="19"/>
                <w:szCs w:val="19"/>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5"/>
              <w:jc w:val="center"/>
              <w:rPr>
                <w:rFonts w:ascii="Times New Roman" w:hAnsi="Times New Roman" w:cs="Times New Roman" w:eastAsia="Times New Roman" w:hint="default"/>
                <w:sz w:val="19"/>
                <w:szCs w:val="19"/>
              </w:rPr>
            </w:pPr>
            <w:r>
              <w:rPr>
                <w:rFonts w:ascii="Times New Roman"/>
                <w:w w:val="105"/>
                <w:sz w:val="19"/>
              </w:rPr>
              <w:t>ZL201930047180.2</w:t>
            </w:r>
            <w:r>
              <w:rPr>
                <w:rFonts w:ascii="Times New Roman"/>
                <w:sz w:val="19"/>
              </w:rPr>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72"/>
              <w:jc w:val="right"/>
              <w:rPr>
                <w:rFonts w:ascii="Times New Roman" w:hAnsi="Times New Roman" w:cs="Times New Roman" w:eastAsia="Times New Roman" w:hint="default"/>
                <w:sz w:val="19"/>
                <w:szCs w:val="19"/>
              </w:rPr>
            </w:pPr>
            <w:r>
              <w:rPr>
                <w:rFonts w:ascii="Times New Roman"/>
                <w:sz w:val="19"/>
              </w:rPr>
              <w:t>2019/1/28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3"/>
              <w:jc w:val="center"/>
              <w:rPr>
                <w:rFonts w:ascii="Times New Roman" w:hAnsi="Times New Roman" w:cs="Times New Roman" w:eastAsia="Times New Roman" w:hint="default"/>
                <w:sz w:val="19"/>
                <w:szCs w:val="19"/>
              </w:rPr>
            </w:pPr>
            <w:r>
              <w:rPr>
                <w:rFonts w:ascii="Times New Roman"/>
                <w:w w:val="105"/>
                <w:sz w:val="19"/>
              </w:rPr>
              <w:t>2019/10/29</w:t>
            </w:r>
            <w:r>
              <w:rPr>
                <w:rFonts w:ascii="Times New Roman"/>
                <w:sz w:val="19"/>
              </w:rPr>
            </w:r>
          </w:p>
        </w:tc>
      </w:tr>
      <w:tr>
        <w:trPr>
          <w:trHeight w:val="420" w:hRule="exact"/>
        </w:trPr>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5" w:right="0"/>
              <w:jc w:val="center"/>
              <w:rPr>
                <w:rFonts w:ascii="Times New Roman" w:hAnsi="Times New Roman" w:cs="Times New Roman" w:eastAsia="Times New Roman" w:hint="default"/>
                <w:sz w:val="19"/>
                <w:szCs w:val="19"/>
              </w:rPr>
            </w:pPr>
            <w:r>
              <w:rPr>
                <w:rFonts w:ascii="Times New Roman"/>
                <w:spacing w:val="-8"/>
                <w:w w:val="105"/>
                <w:sz w:val="19"/>
              </w:rPr>
              <w:t>24</w:t>
            </w:r>
            <w:r>
              <w:rPr>
                <w:rFonts w:ascii="Times New Roman"/>
                <w:sz w:val="19"/>
              </w:rPr>
            </w:r>
          </w:p>
        </w:tc>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5" w:right="0"/>
              <w:jc w:val="left"/>
              <w:rPr>
                <w:rFonts w:ascii="宋体" w:hAnsi="宋体" w:cs="宋体" w:eastAsia="宋体" w:hint="default"/>
                <w:sz w:val="19"/>
                <w:szCs w:val="19"/>
              </w:rPr>
            </w:pPr>
            <w:r>
              <w:rPr>
                <w:rFonts w:ascii="宋体" w:hAnsi="宋体" w:cs="宋体" w:eastAsia="宋体" w:hint="default"/>
                <w:spacing w:val="3"/>
                <w:w w:val="105"/>
                <w:sz w:val="19"/>
                <w:szCs w:val="19"/>
              </w:rPr>
              <w:t>密钥设备（</w:t>
            </w:r>
            <w:r>
              <w:rPr>
                <w:rFonts w:ascii="Times New Roman" w:hAnsi="Times New Roman" w:cs="Times New Roman" w:eastAsia="Times New Roman" w:hint="default"/>
                <w:spacing w:val="3"/>
                <w:w w:val="105"/>
                <w:sz w:val="19"/>
                <w:szCs w:val="19"/>
              </w:rPr>
              <w:t>C58</w:t>
            </w:r>
            <w:r>
              <w:rPr>
                <w:rFonts w:ascii="宋体" w:hAnsi="宋体" w:cs="宋体" w:eastAsia="宋体" w:hint="default"/>
                <w:spacing w:val="3"/>
                <w:w w:val="105"/>
                <w:sz w:val="19"/>
                <w:szCs w:val="19"/>
              </w:rPr>
              <w:t>型）读卡器</w:t>
            </w:r>
            <w:r>
              <w:rPr>
                <w:rFonts w:ascii="宋体" w:hAnsi="宋体" w:cs="宋体" w:eastAsia="宋体" w:hint="default"/>
                <w:spacing w:val="3"/>
                <w:sz w:val="19"/>
                <w:szCs w:val="19"/>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5"/>
              <w:jc w:val="center"/>
              <w:rPr>
                <w:rFonts w:ascii="Times New Roman" w:hAnsi="Times New Roman" w:cs="Times New Roman" w:eastAsia="Times New Roman" w:hint="default"/>
                <w:sz w:val="19"/>
                <w:szCs w:val="19"/>
              </w:rPr>
            </w:pPr>
            <w:r>
              <w:rPr>
                <w:rFonts w:ascii="Times New Roman"/>
                <w:w w:val="105"/>
                <w:sz w:val="19"/>
              </w:rPr>
              <w:t>ZL201930070251.0</w:t>
            </w:r>
            <w:r>
              <w:rPr>
                <w:rFonts w:ascii="Times New Roman"/>
                <w:sz w:val="19"/>
              </w:rPr>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72"/>
              <w:jc w:val="right"/>
              <w:rPr>
                <w:rFonts w:ascii="Times New Roman" w:hAnsi="Times New Roman" w:cs="Times New Roman" w:eastAsia="Times New Roman" w:hint="default"/>
                <w:sz w:val="19"/>
                <w:szCs w:val="19"/>
              </w:rPr>
            </w:pPr>
            <w:r>
              <w:rPr>
                <w:rFonts w:ascii="Times New Roman"/>
                <w:sz w:val="19"/>
              </w:rPr>
              <w:t>2019/2/21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3"/>
              <w:jc w:val="center"/>
              <w:rPr>
                <w:rFonts w:ascii="Times New Roman" w:hAnsi="Times New Roman" w:cs="Times New Roman" w:eastAsia="Times New Roman" w:hint="default"/>
                <w:sz w:val="19"/>
                <w:szCs w:val="19"/>
              </w:rPr>
            </w:pPr>
            <w:r>
              <w:rPr>
                <w:rFonts w:ascii="Times New Roman"/>
                <w:w w:val="105"/>
                <w:sz w:val="19"/>
              </w:rPr>
              <w:t>2019/10/29</w:t>
            </w:r>
            <w:r>
              <w:rPr>
                <w:rFonts w:ascii="Times New Roman"/>
                <w:sz w:val="19"/>
              </w:rPr>
            </w:r>
          </w:p>
        </w:tc>
      </w:tr>
      <w:tr>
        <w:trPr>
          <w:trHeight w:val="435" w:hRule="exact"/>
        </w:trPr>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5" w:right="0"/>
              <w:jc w:val="center"/>
              <w:rPr>
                <w:rFonts w:ascii="Times New Roman" w:hAnsi="Times New Roman" w:cs="Times New Roman" w:eastAsia="Times New Roman" w:hint="default"/>
                <w:sz w:val="19"/>
                <w:szCs w:val="19"/>
              </w:rPr>
            </w:pPr>
            <w:r>
              <w:rPr>
                <w:rFonts w:ascii="Times New Roman"/>
                <w:spacing w:val="-8"/>
                <w:w w:val="105"/>
                <w:sz w:val="19"/>
              </w:rPr>
              <w:t>25</w:t>
            </w:r>
            <w:r>
              <w:rPr>
                <w:rFonts w:ascii="Times New Roman"/>
                <w:sz w:val="19"/>
              </w:rPr>
            </w:r>
          </w:p>
        </w:tc>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5" w:right="0"/>
              <w:jc w:val="left"/>
              <w:rPr>
                <w:rFonts w:ascii="宋体" w:hAnsi="宋体" w:cs="宋体" w:eastAsia="宋体" w:hint="default"/>
                <w:sz w:val="19"/>
                <w:szCs w:val="19"/>
              </w:rPr>
            </w:pPr>
            <w:r>
              <w:rPr>
                <w:rFonts w:ascii="宋体" w:hAnsi="宋体" w:cs="宋体" w:eastAsia="宋体" w:hint="default"/>
                <w:spacing w:val="2"/>
                <w:w w:val="105"/>
                <w:sz w:val="19"/>
                <w:szCs w:val="19"/>
              </w:rPr>
              <w:t>密钥设备（</w:t>
            </w:r>
            <w:r>
              <w:rPr>
                <w:rFonts w:ascii="Times New Roman" w:hAnsi="Times New Roman" w:cs="Times New Roman" w:eastAsia="Times New Roman" w:hint="default"/>
                <w:spacing w:val="2"/>
                <w:w w:val="105"/>
                <w:sz w:val="19"/>
                <w:szCs w:val="19"/>
              </w:rPr>
              <w:t>C59</w:t>
            </w:r>
            <w:r>
              <w:rPr>
                <w:rFonts w:ascii="宋体" w:hAnsi="宋体" w:cs="宋体" w:eastAsia="宋体" w:hint="default"/>
                <w:spacing w:val="2"/>
                <w:w w:val="105"/>
                <w:sz w:val="19"/>
                <w:szCs w:val="19"/>
              </w:rPr>
              <w:t>型）蓝牙</w:t>
            </w:r>
            <w:r>
              <w:rPr>
                <w:rFonts w:ascii="宋体" w:hAnsi="宋体" w:cs="宋体" w:eastAsia="宋体" w:hint="default"/>
                <w:spacing w:val="2"/>
                <w:sz w:val="19"/>
                <w:szCs w:val="19"/>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5"/>
              <w:jc w:val="center"/>
              <w:rPr>
                <w:rFonts w:ascii="Times New Roman" w:hAnsi="Times New Roman" w:cs="Times New Roman" w:eastAsia="Times New Roman" w:hint="default"/>
                <w:sz w:val="19"/>
                <w:szCs w:val="19"/>
              </w:rPr>
            </w:pPr>
            <w:r>
              <w:rPr>
                <w:rFonts w:ascii="Times New Roman"/>
                <w:w w:val="105"/>
                <w:sz w:val="19"/>
              </w:rPr>
              <w:t>ZL201930070230.9</w:t>
            </w:r>
            <w:r>
              <w:rPr>
                <w:rFonts w:ascii="Times New Roman"/>
                <w:sz w:val="19"/>
              </w:rPr>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72"/>
              <w:jc w:val="right"/>
              <w:rPr>
                <w:rFonts w:ascii="Times New Roman" w:hAnsi="Times New Roman" w:cs="Times New Roman" w:eastAsia="Times New Roman" w:hint="default"/>
                <w:sz w:val="19"/>
                <w:szCs w:val="19"/>
              </w:rPr>
            </w:pPr>
            <w:r>
              <w:rPr>
                <w:rFonts w:ascii="Times New Roman"/>
                <w:sz w:val="19"/>
              </w:rPr>
              <w:t>2019/2/21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3"/>
              <w:jc w:val="center"/>
              <w:rPr>
                <w:rFonts w:ascii="Times New Roman" w:hAnsi="Times New Roman" w:cs="Times New Roman" w:eastAsia="Times New Roman" w:hint="default"/>
                <w:sz w:val="19"/>
                <w:szCs w:val="19"/>
              </w:rPr>
            </w:pPr>
            <w:r>
              <w:rPr>
                <w:rFonts w:ascii="Times New Roman"/>
                <w:w w:val="105"/>
                <w:sz w:val="19"/>
              </w:rPr>
              <w:t>2019/10/29</w:t>
            </w:r>
            <w:r>
              <w:rPr>
                <w:rFonts w:ascii="Times New Roman"/>
                <w:sz w:val="19"/>
              </w:rPr>
            </w:r>
          </w:p>
        </w:tc>
      </w:tr>
    </w:tbl>
    <w:p>
      <w:pPr>
        <w:spacing w:after="0" w:line="240" w:lineRule="auto"/>
        <w:jc w:val="center"/>
        <w:rPr>
          <w:rFonts w:ascii="Times New Roman" w:hAnsi="Times New Roman" w:cs="Times New Roman" w:eastAsia="Times New Roman" w:hint="default"/>
          <w:sz w:val="19"/>
          <w:szCs w:val="19"/>
        </w:rPr>
        <w:sectPr>
          <w:pgSz w:w="11910" w:h="16850"/>
          <w:pgMar w:header="731" w:footer="981" w:top="1040" w:bottom="1180" w:left="1000" w:right="0"/>
        </w:sectPr>
      </w:pPr>
    </w:p>
    <w:p>
      <w:pPr>
        <w:spacing w:line="240" w:lineRule="auto" w:before="6"/>
        <w:rPr>
          <w:rFonts w:ascii="宋体" w:hAnsi="宋体" w:cs="宋体" w:eastAsia="宋体" w:hint="default"/>
          <w:b/>
          <w:bCs/>
          <w:sz w:val="29"/>
          <w:szCs w:val="29"/>
        </w:rPr>
      </w:pPr>
    </w:p>
    <w:tbl>
      <w:tblPr>
        <w:tblW w:w="0" w:type="auto"/>
        <w:jc w:val="left"/>
        <w:tblInd w:w="111" w:type="dxa"/>
        <w:tblLayout w:type="fixed"/>
        <w:tblCellMar>
          <w:top w:w="0" w:type="dxa"/>
          <w:left w:w="0" w:type="dxa"/>
          <w:bottom w:w="0" w:type="dxa"/>
          <w:right w:w="0" w:type="dxa"/>
        </w:tblCellMar>
        <w:tblLook w:val="01E0"/>
      </w:tblPr>
      <w:tblGrid>
        <w:gridCol w:w="811"/>
        <w:gridCol w:w="4461"/>
        <w:gridCol w:w="1982"/>
        <w:gridCol w:w="1142"/>
        <w:gridCol w:w="1276"/>
      </w:tblGrid>
      <w:tr>
        <w:trPr>
          <w:trHeight w:val="420" w:hRule="exact"/>
        </w:trPr>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5" w:right="0"/>
              <w:jc w:val="center"/>
              <w:rPr>
                <w:rFonts w:ascii="Times New Roman" w:hAnsi="Times New Roman" w:cs="Times New Roman" w:eastAsia="Times New Roman" w:hint="default"/>
                <w:sz w:val="19"/>
                <w:szCs w:val="19"/>
              </w:rPr>
            </w:pPr>
            <w:r>
              <w:rPr>
                <w:rFonts w:ascii="Times New Roman"/>
                <w:spacing w:val="-8"/>
                <w:w w:val="105"/>
                <w:sz w:val="19"/>
              </w:rPr>
              <w:t>26</w:t>
            </w:r>
            <w:r>
              <w:rPr>
                <w:rFonts w:ascii="Times New Roman"/>
                <w:sz w:val="19"/>
              </w:rPr>
            </w:r>
          </w:p>
        </w:tc>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5" w:right="0"/>
              <w:jc w:val="left"/>
              <w:rPr>
                <w:rFonts w:ascii="宋体" w:hAnsi="宋体" w:cs="宋体" w:eastAsia="宋体" w:hint="default"/>
                <w:sz w:val="19"/>
                <w:szCs w:val="19"/>
              </w:rPr>
            </w:pPr>
            <w:r>
              <w:rPr>
                <w:rFonts w:ascii="宋体" w:hAnsi="宋体" w:cs="宋体" w:eastAsia="宋体" w:hint="default"/>
                <w:spacing w:val="4"/>
                <w:w w:val="105"/>
                <w:sz w:val="19"/>
                <w:szCs w:val="19"/>
              </w:rPr>
              <w:t>密钥设备（</w:t>
            </w:r>
            <w:r>
              <w:rPr>
                <w:rFonts w:ascii="Times New Roman" w:hAnsi="Times New Roman" w:cs="Times New Roman" w:eastAsia="Times New Roman" w:hint="default"/>
                <w:spacing w:val="4"/>
                <w:w w:val="105"/>
                <w:sz w:val="19"/>
                <w:szCs w:val="19"/>
              </w:rPr>
              <w:t>C61</w:t>
            </w:r>
            <w:r>
              <w:rPr>
                <w:rFonts w:ascii="宋体" w:hAnsi="宋体" w:cs="宋体" w:eastAsia="宋体" w:hint="default"/>
                <w:spacing w:val="4"/>
                <w:w w:val="105"/>
                <w:sz w:val="19"/>
                <w:szCs w:val="19"/>
              </w:rPr>
              <w:t>型）</w:t>
            </w:r>
            <w:r>
              <w:rPr>
                <w:rFonts w:ascii="宋体" w:hAnsi="宋体" w:cs="宋体" w:eastAsia="宋体" w:hint="default"/>
                <w:sz w:val="19"/>
                <w:szCs w:val="19"/>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180" w:right="0"/>
              <w:jc w:val="left"/>
              <w:rPr>
                <w:rFonts w:ascii="Times New Roman" w:hAnsi="Times New Roman" w:cs="Times New Roman" w:eastAsia="Times New Roman" w:hint="default"/>
                <w:sz w:val="19"/>
                <w:szCs w:val="19"/>
              </w:rPr>
            </w:pPr>
            <w:r>
              <w:rPr>
                <w:rFonts w:ascii="Times New Roman"/>
                <w:w w:val="105"/>
                <w:sz w:val="19"/>
              </w:rPr>
              <w:t>ZL201930134489.5</w:t>
            </w:r>
            <w:r>
              <w:rPr>
                <w:rFonts w:ascii="Times New Roman"/>
                <w:sz w:val="19"/>
              </w:rPr>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22"/>
              <w:jc w:val="center"/>
              <w:rPr>
                <w:rFonts w:ascii="Times New Roman" w:hAnsi="Times New Roman" w:cs="Times New Roman" w:eastAsia="Times New Roman" w:hint="default"/>
                <w:sz w:val="19"/>
                <w:szCs w:val="19"/>
              </w:rPr>
            </w:pPr>
            <w:r>
              <w:rPr>
                <w:rFonts w:ascii="Times New Roman"/>
                <w:w w:val="105"/>
                <w:sz w:val="19"/>
              </w:rPr>
              <w:t>2019/3/28</w:t>
            </w:r>
            <w:r>
              <w:rPr>
                <w:rFonts w:ascii="Times New Roman"/>
                <w:sz w:val="19"/>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165" w:right="0"/>
              <w:jc w:val="left"/>
              <w:rPr>
                <w:rFonts w:ascii="Times New Roman" w:hAnsi="Times New Roman" w:cs="Times New Roman" w:eastAsia="Times New Roman" w:hint="default"/>
                <w:sz w:val="19"/>
                <w:szCs w:val="19"/>
              </w:rPr>
            </w:pPr>
            <w:r>
              <w:rPr>
                <w:rFonts w:ascii="Times New Roman"/>
                <w:w w:val="105"/>
                <w:sz w:val="19"/>
              </w:rPr>
              <w:t>2019/11/15</w:t>
            </w:r>
            <w:r>
              <w:rPr>
                <w:rFonts w:ascii="Times New Roman"/>
                <w:sz w:val="19"/>
              </w:rPr>
            </w:r>
          </w:p>
        </w:tc>
      </w:tr>
      <w:tr>
        <w:trPr>
          <w:trHeight w:val="435" w:hRule="exact"/>
        </w:trPr>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5" w:right="0"/>
              <w:jc w:val="center"/>
              <w:rPr>
                <w:rFonts w:ascii="Times New Roman" w:hAnsi="Times New Roman" w:cs="Times New Roman" w:eastAsia="Times New Roman" w:hint="default"/>
                <w:sz w:val="19"/>
                <w:szCs w:val="19"/>
              </w:rPr>
            </w:pPr>
            <w:r>
              <w:rPr>
                <w:rFonts w:ascii="Times New Roman"/>
                <w:spacing w:val="-8"/>
                <w:w w:val="105"/>
                <w:sz w:val="19"/>
              </w:rPr>
              <w:t>27</w:t>
            </w:r>
            <w:r>
              <w:rPr>
                <w:rFonts w:ascii="Times New Roman"/>
                <w:sz w:val="19"/>
              </w:rPr>
            </w:r>
          </w:p>
        </w:tc>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5" w:right="0"/>
              <w:jc w:val="left"/>
              <w:rPr>
                <w:rFonts w:ascii="宋体" w:hAnsi="宋体" w:cs="宋体" w:eastAsia="宋体" w:hint="default"/>
                <w:sz w:val="19"/>
                <w:szCs w:val="19"/>
              </w:rPr>
            </w:pPr>
            <w:r>
              <w:rPr>
                <w:rFonts w:ascii="宋体" w:hAnsi="宋体" w:cs="宋体" w:eastAsia="宋体" w:hint="default"/>
                <w:spacing w:val="2"/>
                <w:w w:val="105"/>
                <w:sz w:val="19"/>
                <w:szCs w:val="19"/>
              </w:rPr>
              <w:t>密钥设备（</w:t>
            </w:r>
            <w:r>
              <w:rPr>
                <w:rFonts w:ascii="Times New Roman" w:hAnsi="Times New Roman" w:cs="Times New Roman" w:eastAsia="Times New Roman" w:hint="default"/>
                <w:spacing w:val="2"/>
                <w:w w:val="105"/>
                <w:sz w:val="19"/>
                <w:szCs w:val="19"/>
              </w:rPr>
              <w:t>B8</w:t>
            </w:r>
            <w:r>
              <w:rPr>
                <w:rFonts w:ascii="宋体" w:hAnsi="宋体" w:cs="宋体" w:eastAsia="宋体" w:hint="default"/>
                <w:spacing w:val="2"/>
                <w:w w:val="105"/>
                <w:sz w:val="19"/>
                <w:szCs w:val="19"/>
              </w:rPr>
              <w:t>型）</w:t>
            </w:r>
            <w:r>
              <w:rPr>
                <w:rFonts w:ascii="宋体" w:hAnsi="宋体" w:cs="宋体" w:eastAsia="宋体" w:hint="default"/>
                <w:spacing w:val="2"/>
                <w:sz w:val="19"/>
                <w:szCs w:val="19"/>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180" w:right="0"/>
              <w:jc w:val="left"/>
              <w:rPr>
                <w:rFonts w:ascii="Times New Roman" w:hAnsi="Times New Roman" w:cs="Times New Roman" w:eastAsia="Times New Roman" w:hint="default"/>
                <w:sz w:val="19"/>
                <w:szCs w:val="19"/>
              </w:rPr>
            </w:pPr>
            <w:r>
              <w:rPr>
                <w:rFonts w:ascii="Times New Roman"/>
                <w:w w:val="105"/>
                <w:sz w:val="19"/>
              </w:rPr>
              <w:t>ZL201930231777.2</w:t>
            </w:r>
            <w:r>
              <w:rPr>
                <w:rFonts w:ascii="Times New Roman"/>
                <w:sz w:val="19"/>
              </w:rPr>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2"/>
              <w:jc w:val="center"/>
              <w:rPr>
                <w:rFonts w:ascii="Times New Roman" w:hAnsi="Times New Roman" w:cs="Times New Roman" w:eastAsia="Times New Roman" w:hint="default"/>
                <w:sz w:val="19"/>
                <w:szCs w:val="19"/>
              </w:rPr>
            </w:pPr>
            <w:r>
              <w:rPr>
                <w:rFonts w:ascii="Times New Roman"/>
                <w:w w:val="105"/>
                <w:sz w:val="19"/>
              </w:rPr>
              <w:t>2019/5/14</w:t>
            </w:r>
            <w:r>
              <w:rPr>
                <w:rFonts w:ascii="Times New Roman"/>
                <w:sz w:val="19"/>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165" w:right="0"/>
              <w:jc w:val="left"/>
              <w:rPr>
                <w:rFonts w:ascii="Times New Roman" w:hAnsi="Times New Roman" w:cs="Times New Roman" w:eastAsia="Times New Roman" w:hint="default"/>
                <w:sz w:val="19"/>
                <w:szCs w:val="19"/>
              </w:rPr>
            </w:pPr>
            <w:r>
              <w:rPr>
                <w:rFonts w:ascii="Times New Roman"/>
                <w:w w:val="105"/>
                <w:sz w:val="19"/>
              </w:rPr>
              <w:t>2019/11/15</w:t>
            </w:r>
            <w:r>
              <w:rPr>
                <w:rFonts w:ascii="Times New Roman"/>
                <w:sz w:val="19"/>
              </w:rPr>
            </w:r>
          </w:p>
        </w:tc>
      </w:tr>
      <w:tr>
        <w:trPr>
          <w:trHeight w:val="420" w:hRule="exact"/>
        </w:trPr>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5" w:right="0"/>
              <w:jc w:val="center"/>
              <w:rPr>
                <w:rFonts w:ascii="Times New Roman" w:hAnsi="Times New Roman" w:cs="Times New Roman" w:eastAsia="Times New Roman" w:hint="default"/>
                <w:sz w:val="19"/>
                <w:szCs w:val="19"/>
              </w:rPr>
            </w:pPr>
            <w:r>
              <w:rPr>
                <w:rFonts w:ascii="Times New Roman"/>
                <w:spacing w:val="-8"/>
                <w:w w:val="105"/>
                <w:sz w:val="19"/>
              </w:rPr>
              <w:t>28</w:t>
            </w:r>
            <w:r>
              <w:rPr>
                <w:rFonts w:ascii="Times New Roman"/>
                <w:sz w:val="19"/>
              </w:rPr>
            </w:r>
          </w:p>
        </w:tc>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5" w:right="0"/>
              <w:jc w:val="left"/>
              <w:rPr>
                <w:rFonts w:ascii="宋体" w:hAnsi="宋体" w:cs="宋体" w:eastAsia="宋体" w:hint="default"/>
                <w:sz w:val="19"/>
                <w:szCs w:val="19"/>
              </w:rPr>
            </w:pPr>
            <w:r>
              <w:rPr>
                <w:rFonts w:ascii="宋体" w:hAnsi="宋体" w:cs="宋体" w:eastAsia="宋体" w:hint="default"/>
                <w:spacing w:val="4"/>
                <w:w w:val="105"/>
                <w:sz w:val="19"/>
                <w:szCs w:val="19"/>
              </w:rPr>
              <w:t>密钥设备（</w:t>
            </w:r>
            <w:r>
              <w:rPr>
                <w:rFonts w:ascii="Times New Roman" w:hAnsi="Times New Roman" w:cs="Times New Roman" w:eastAsia="Times New Roman" w:hint="default"/>
                <w:spacing w:val="4"/>
                <w:w w:val="105"/>
                <w:sz w:val="19"/>
                <w:szCs w:val="19"/>
              </w:rPr>
              <w:t>C63</w:t>
            </w:r>
            <w:r>
              <w:rPr>
                <w:rFonts w:ascii="宋体" w:hAnsi="宋体" w:cs="宋体" w:eastAsia="宋体" w:hint="default"/>
                <w:spacing w:val="4"/>
                <w:w w:val="105"/>
                <w:sz w:val="19"/>
                <w:szCs w:val="19"/>
              </w:rPr>
              <w:t>型）</w:t>
            </w:r>
            <w:r>
              <w:rPr>
                <w:rFonts w:ascii="宋体" w:hAnsi="宋体" w:cs="宋体" w:eastAsia="宋体" w:hint="default"/>
                <w:sz w:val="19"/>
                <w:szCs w:val="19"/>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180" w:right="0"/>
              <w:jc w:val="left"/>
              <w:rPr>
                <w:rFonts w:ascii="Times New Roman" w:hAnsi="Times New Roman" w:cs="Times New Roman" w:eastAsia="Times New Roman" w:hint="default"/>
                <w:sz w:val="19"/>
                <w:szCs w:val="19"/>
              </w:rPr>
            </w:pPr>
            <w:r>
              <w:rPr>
                <w:rFonts w:ascii="Times New Roman"/>
                <w:w w:val="105"/>
                <w:sz w:val="19"/>
              </w:rPr>
              <w:t>ZL201930255406.8</w:t>
            </w:r>
            <w:r>
              <w:rPr>
                <w:rFonts w:ascii="Times New Roman"/>
                <w:sz w:val="19"/>
              </w:rPr>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2"/>
              <w:jc w:val="center"/>
              <w:rPr>
                <w:rFonts w:ascii="Times New Roman" w:hAnsi="Times New Roman" w:cs="Times New Roman" w:eastAsia="Times New Roman" w:hint="default"/>
                <w:sz w:val="19"/>
                <w:szCs w:val="19"/>
              </w:rPr>
            </w:pPr>
            <w:r>
              <w:rPr>
                <w:rFonts w:ascii="Times New Roman"/>
                <w:w w:val="105"/>
                <w:sz w:val="19"/>
              </w:rPr>
              <w:t>2019/5/23</w:t>
            </w:r>
            <w:r>
              <w:rPr>
                <w:rFonts w:ascii="Times New Roman"/>
                <w:sz w:val="19"/>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165" w:right="0"/>
              <w:jc w:val="left"/>
              <w:rPr>
                <w:rFonts w:ascii="Times New Roman" w:hAnsi="Times New Roman" w:cs="Times New Roman" w:eastAsia="Times New Roman" w:hint="default"/>
                <w:sz w:val="19"/>
                <w:szCs w:val="19"/>
              </w:rPr>
            </w:pPr>
            <w:r>
              <w:rPr>
                <w:rFonts w:ascii="Times New Roman"/>
                <w:w w:val="105"/>
                <w:sz w:val="19"/>
              </w:rPr>
              <w:t>2019/11/29</w:t>
            </w:r>
            <w:r>
              <w:rPr>
                <w:rFonts w:ascii="Times New Roman"/>
                <w:sz w:val="19"/>
              </w:rPr>
            </w:r>
          </w:p>
        </w:tc>
      </w:tr>
      <w:tr>
        <w:trPr>
          <w:trHeight w:val="436" w:hRule="exact"/>
        </w:trPr>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5" w:right="0"/>
              <w:jc w:val="center"/>
              <w:rPr>
                <w:rFonts w:ascii="Times New Roman" w:hAnsi="Times New Roman" w:cs="Times New Roman" w:eastAsia="Times New Roman" w:hint="default"/>
                <w:sz w:val="19"/>
                <w:szCs w:val="19"/>
              </w:rPr>
            </w:pPr>
            <w:r>
              <w:rPr>
                <w:rFonts w:ascii="Times New Roman"/>
                <w:spacing w:val="-8"/>
                <w:w w:val="105"/>
                <w:sz w:val="19"/>
              </w:rPr>
              <w:t>29</w:t>
            </w:r>
            <w:r>
              <w:rPr>
                <w:rFonts w:ascii="Times New Roman"/>
                <w:sz w:val="19"/>
              </w:rPr>
            </w:r>
          </w:p>
        </w:tc>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5" w:right="0"/>
              <w:jc w:val="left"/>
              <w:rPr>
                <w:rFonts w:ascii="宋体" w:hAnsi="宋体" w:cs="宋体" w:eastAsia="宋体" w:hint="default"/>
                <w:sz w:val="19"/>
                <w:szCs w:val="19"/>
              </w:rPr>
            </w:pPr>
            <w:r>
              <w:rPr>
                <w:rFonts w:ascii="宋体" w:hAnsi="宋体" w:cs="宋体" w:eastAsia="宋体" w:hint="default"/>
                <w:spacing w:val="4"/>
                <w:w w:val="105"/>
                <w:sz w:val="19"/>
                <w:szCs w:val="19"/>
              </w:rPr>
              <w:t>密钥设备（</w:t>
            </w:r>
            <w:r>
              <w:rPr>
                <w:rFonts w:ascii="Times New Roman" w:hAnsi="Times New Roman" w:cs="Times New Roman" w:eastAsia="Times New Roman" w:hint="default"/>
                <w:spacing w:val="4"/>
                <w:w w:val="105"/>
                <w:sz w:val="19"/>
                <w:szCs w:val="19"/>
              </w:rPr>
              <w:t>C62</w:t>
            </w:r>
            <w:r>
              <w:rPr>
                <w:rFonts w:ascii="宋体" w:hAnsi="宋体" w:cs="宋体" w:eastAsia="宋体" w:hint="default"/>
                <w:spacing w:val="4"/>
                <w:w w:val="105"/>
                <w:sz w:val="19"/>
                <w:szCs w:val="19"/>
              </w:rPr>
              <w:t>型）</w:t>
            </w:r>
            <w:r>
              <w:rPr>
                <w:rFonts w:ascii="宋体" w:hAnsi="宋体" w:cs="宋体" w:eastAsia="宋体" w:hint="default"/>
                <w:sz w:val="19"/>
                <w:szCs w:val="19"/>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180" w:right="0"/>
              <w:jc w:val="left"/>
              <w:rPr>
                <w:rFonts w:ascii="Times New Roman" w:hAnsi="Times New Roman" w:cs="Times New Roman" w:eastAsia="Times New Roman" w:hint="default"/>
                <w:sz w:val="19"/>
                <w:szCs w:val="19"/>
              </w:rPr>
            </w:pPr>
            <w:r>
              <w:rPr>
                <w:rFonts w:ascii="Times New Roman"/>
                <w:w w:val="105"/>
                <w:sz w:val="19"/>
              </w:rPr>
              <w:t>ZL201930191289.3</w:t>
            </w:r>
            <w:r>
              <w:rPr>
                <w:rFonts w:ascii="Times New Roman"/>
                <w:sz w:val="19"/>
              </w:rPr>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22"/>
              <w:jc w:val="center"/>
              <w:rPr>
                <w:rFonts w:ascii="Times New Roman" w:hAnsi="Times New Roman" w:cs="Times New Roman" w:eastAsia="Times New Roman" w:hint="default"/>
                <w:sz w:val="19"/>
                <w:szCs w:val="19"/>
              </w:rPr>
            </w:pPr>
            <w:r>
              <w:rPr>
                <w:rFonts w:ascii="Times New Roman"/>
                <w:w w:val="105"/>
                <w:sz w:val="19"/>
              </w:rPr>
              <w:t>2019/4/24</w:t>
            </w:r>
            <w:r>
              <w:rPr>
                <w:rFonts w:ascii="Times New Roman"/>
                <w:sz w:val="19"/>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165" w:right="0"/>
              <w:jc w:val="left"/>
              <w:rPr>
                <w:rFonts w:ascii="Times New Roman" w:hAnsi="Times New Roman" w:cs="Times New Roman" w:eastAsia="Times New Roman" w:hint="default"/>
                <w:sz w:val="19"/>
                <w:szCs w:val="19"/>
              </w:rPr>
            </w:pPr>
            <w:r>
              <w:rPr>
                <w:rFonts w:ascii="Times New Roman"/>
                <w:w w:val="105"/>
                <w:sz w:val="19"/>
              </w:rPr>
              <w:t>2019/12/20</w:t>
            </w:r>
            <w:r>
              <w:rPr>
                <w:rFonts w:ascii="Times New Roman"/>
                <w:sz w:val="19"/>
              </w:rPr>
            </w:r>
          </w:p>
        </w:tc>
      </w:tr>
    </w:tbl>
    <w:p>
      <w:pPr>
        <w:spacing w:line="240" w:lineRule="auto" w:before="7"/>
        <w:rPr>
          <w:rFonts w:ascii="宋体" w:hAnsi="宋体" w:cs="宋体" w:eastAsia="宋体" w:hint="default"/>
          <w:b/>
          <w:bCs/>
          <w:sz w:val="27"/>
          <w:szCs w:val="27"/>
        </w:rPr>
      </w:pPr>
    </w:p>
    <w:p>
      <w:pPr>
        <w:pStyle w:val="Heading6"/>
        <w:spacing w:line="240" w:lineRule="auto"/>
        <w:ind w:left="141" w:right="1100"/>
        <w:jc w:val="left"/>
        <w:rPr>
          <w:b w:val="0"/>
          <w:bCs w:val="0"/>
        </w:rPr>
      </w:pPr>
      <w:r>
        <w:rPr>
          <w:rFonts w:ascii="Times New Roman" w:hAnsi="Times New Roman" w:cs="Times New Roman" w:eastAsia="Times New Roman" w:hint="default"/>
        </w:rPr>
        <w:t>2</w:t>
      </w:r>
      <w:r>
        <w:rPr/>
        <w:t>、国外发明专利</w:t>
      </w:r>
      <w:r>
        <w:rPr>
          <w:b w:val="0"/>
          <w:bCs w:val="0"/>
        </w:rPr>
      </w:r>
    </w:p>
    <w:p>
      <w:pPr>
        <w:spacing w:line="240" w:lineRule="auto" w:before="12"/>
        <w:rPr>
          <w:rFonts w:ascii="宋体" w:hAnsi="宋体" w:cs="宋体" w:eastAsia="宋体" w:hint="default"/>
          <w:b/>
          <w:bCs/>
          <w:sz w:val="3"/>
          <w:szCs w:val="3"/>
        </w:rPr>
      </w:pPr>
    </w:p>
    <w:tbl>
      <w:tblPr>
        <w:tblW w:w="0" w:type="auto"/>
        <w:jc w:val="left"/>
        <w:tblInd w:w="111" w:type="dxa"/>
        <w:tblLayout w:type="fixed"/>
        <w:tblCellMar>
          <w:top w:w="0" w:type="dxa"/>
          <w:left w:w="0" w:type="dxa"/>
          <w:bottom w:w="0" w:type="dxa"/>
          <w:right w:w="0" w:type="dxa"/>
        </w:tblCellMar>
        <w:tblLook w:val="01E0"/>
      </w:tblPr>
      <w:tblGrid>
        <w:gridCol w:w="706"/>
        <w:gridCol w:w="4566"/>
        <w:gridCol w:w="1922"/>
        <w:gridCol w:w="1247"/>
        <w:gridCol w:w="1231"/>
      </w:tblGrid>
      <w:tr>
        <w:trPr>
          <w:trHeight w:val="345"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center"/>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3"/>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9"/>
              <w:jc w:val="center"/>
              <w:rPr>
                <w:rFonts w:ascii="宋体" w:hAnsi="宋体" w:cs="宋体" w:eastAsia="宋体" w:hint="default"/>
                <w:sz w:val="18"/>
                <w:szCs w:val="18"/>
              </w:rPr>
            </w:pPr>
            <w:r>
              <w:rPr>
                <w:rFonts w:ascii="宋体" w:hAnsi="宋体" w:cs="宋体" w:eastAsia="宋体" w:hint="default"/>
                <w:b/>
                <w:bCs/>
                <w:sz w:val="18"/>
                <w:szCs w:val="18"/>
              </w:rPr>
              <w:t>申请日期</w:t>
            </w:r>
            <w:r>
              <w:rPr>
                <w:rFonts w:ascii="宋体" w:hAnsi="宋体" w:cs="宋体" w:eastAsia="宋体" w:hint="default"/>
                <w:sz w:val="18"/>
                <w:szCs w:val="18"/>
              </w:rPr>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53"/>
              <w:jc w:val="right"/>
              <w:rPr>
                <w:rFonts w:ascii="宋体" w:hAnsi="宋体" w:cs="宋体" w:eastAsia="宋体" w:hint="default"/>
                <w:sz w:val="18"/>
                <w:szCs w:val="18"/>
              </w:rPr>
            </w:pPr>
            <w:r>
              <w:rPr>
                <w:rFonts w:ascii="宋体" w:hAnsi="宋体" w:cs="宋体" w:eastAsia="宋体" w:hint="default"/>
                <w:b/>
                <w:bCs/>
                <w:w w:val="95"/>
                <w:sz w:val="18"/>
                <w:szCs w:val="18"/>
              </w:rPr>
              <w:t>授权日期</w:t>
            </w:r>
            <w:r>
              <w:rPr>
                <w:rFonts w:ascii="宋体" w:hAnsi="宋体" w:cs="宋体" w:eastAsia="宋体" w:hint="default"/>
                <w:sz w:val="18"/>
                <w:szCs w:val="18"/>
              </w:rPr>
            </w:r>
          </w:p>
        </w:tc>
      </w:tr>
      <w:tr>
        <w:trPr>
          <w:trHeight w:val="421"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7" w:right="0"/>
              <w:jc w:val="center"/>
              <w:rPr>
                <w:rFonts w:ascii="Times New Roman" w:hAnsi="Times New Roman" w:cs="Times New Roman" w:eastAsia="Times New Roman" w:hint="default"/>
                <w:sz w:val="19"/>
                <w:szCs w:val="19"/>
              </w:rPr>
            </w:pPr>
            <w:r>
              <w:rPr>
                <w:rFonts w:ascii="Times New Roman"/>
                <w:w w:val="102"/>
                <w:sz w:val="19"/>
              </w:rPr>
              <w:t>1</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一种通讯模式的识别方法</w:t>
            </w:r>
            <w:r>
              <w:rPr>
                <w:rFonts w:ascii="宋体" w:hAnsi="宋体" w:cs="宋体" w:eastAsia="宋体" w:hint="default"/>
                <w:spacing w:val="3"/>
                <w:sz w:val="19"/>
                <w:szCs w:val="19"/>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8"/>
              <w:jc w:val="center"/>
              <w:rPr>
                <w:rFonts w:ascii="Times New Roman" w:hAnsi="Times New Roman" w:cs="Times New Roman" w:eastAsia="Times New Roman" w:hint="default"/>
                <w:sz w:val="19"/>
                <w:szCs w:val="19"/>
              </w:rPr>
            </w:pPr>
            <w:r>
              <w:rPr>
                <w:rFonts w:ascii="Times New Roman"/>
                <w:w w:val="105"/>
                <w:sz w:val="19"/>
              </w:rPr>
              <w:t>US10,169,276</w:t>
            </w:r>
            <w:r>
              <w:rPr>
                <w:rFonts w:ascii="Times New Roman"/>
                <w:sz w:val="19"/>
              </w:rPr>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37"/>
              <w:jc w:val="center"/>
              <w:rPr>
                <w:rFonts w:ascii="Times New Roman" w:hAnsi="Times New Roman" w:cs="Times New Roman" w:eastAsia="Times New Roman" w:hint="default"/>
                <w:sz w:val="19"/>
                <w:szCs w:val="19"/>
              </w:rPr>
            </w:pPr>
            <w:r>
              <w:rPr>
                <w:rFonts w:ascii="Times New Roman"/>
                <w:w w:val="105"/>
                <w:sz w:val="19"/>
              </w:rPr>
              <w:t>2014/8/22</w:t>
            </w:r>
            <w:r>
              <w:rPr>
                <w:rFonts w:ascii="Times New Roman"/>
                <w:sz w:val="19"/>
              </w:rPr>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255" w:right="0"/>
              <w:jc w:val="left"/>
              <w:rPr>
                <w:rFonts w:ascii="Times New Roman" w:hAnsi="Times New Roman" w:cs="Times New Roman" w:eastAsia="Times New Roman" w:hint="default"/>
                <w:sz w:val="19"/>
                <w:szCs w:val="19"/>
              </w:rPr>
            </w:pPr>
            <w:r>
              <w:rPr>
                <w:rFonts w:ascii="Times New Roman"/>
                <w:w w:val="105"/>
                <w:sz w:val="19"/>
              </w:rPr>
              <w:t>2019/1/1</w:t>
            </w:r>
            <w:r>
              <w:rPr>
                <w:rFonts w:ascii="Times New Roman"/>
                <w:sz w:val="19"/>
              </w:rPr>
            </w:r>
          </w:p>
        </w:tc>
      </w:tr>
      <w:tr>
        <w:trPr>
          <w:trHeight w:val="751"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7" w:right="0"/>
              <w:jc w:val="center"/>
              <w:rPr>
                <w:rFonts w:ascii="Times New Roman" w:hAnsi="Times New Roman" w:cs="Times New Roman" w:eastAsia="Times New Roman" w:hint="default"/>
                <w:sz w:val="19"/>
                <w:szCs w:val="19"/>
              </w:rPr>
            </w:pPr>
            <w:r>
              <w:rPr>
                <w:rFonts w:ascii="Times New Roman"/>
                <w:w w:val="102"/>
                <w:sz w:val="19"/>
              </w:rPr>
              <w:t>2</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63"/>
              <w:ind w:right="15"/>
              <w:jc w:val="left"/>
              <w:rPr>
                <w:rFonts w:ascii="宋体" w:hAnsi="宋体" w:cs="宋体" w:eastAsia="宋体" w:hint="default"/>
                <w:sz w:val="19"/>
                <w:szCs w:val="19"/>
              </w:rPr>
            </w:pPr>
            <w:r>
              <w:rPr>
                <w:rFonts w:ascii="宋体" w:hAnsi="宋体" w:cs="宋体" w:eastAsia="宋体" w:hint="default"/>
                <w:spacing w:val="10"/>
                <w:sz w:val="19"/>
                <w:szCs w:val="19"/>
              </w:rPr>
              <w:t>一种在线激活移动终端令牌的设备和系统的工作方</w:t>
            </w:r>
            <w:r>
              <w:rPr>
                <w:rFonts w:ascii="宋体" w:hAnsi="宋体" w:cs="宋体" w:eastAsia="宋体" w:hint="default"/>
                <w:spacing w:val="34"/>
                <w:sz w:val="19"/>
                <w:szCs w:val="19"/>
              </w:rPr>
              <w:t> </w:t>
            </w:r>
            <w:r>
              <w:rPr>
                <w:rFonts w:ascii="宋体" w:hAnsi="宋体" w:cs="宋体" w:eastAsia="宋体" w:hint="default"/>
                <w:spacing w:val="34"/>
                <w:sz w:val="19"/>
                <w:szCs w:val="19"/>
              </w:rPr>
            </w:r>
            <w:r>
              <w:rPr>
                <w:rFonts w:ascii="宋体" w:hAnsi="宋体" w:cs="宋体" w:eastAsia="宋体" w:hint="default"/>
                <w:w w:val="105"/>
                <w:sz w:val="19"/>
                <w:szCs w:val="19"/>
              </w:rPr>
              <w:t>法</w:t>
            </w:r>
            <w:r>
              <w:rPr>
                <w:rFonts w:ascii="宋体" w:hAnsi="宋体" w:cs="宋体" w:eastAsia="宋体" w:hint="default"/>
                <w:sz w:val="19"/>
                <w:szCs w:val="19"/>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8"/>
              <w:jc w:val="center"/>
              <w:rPr>
                <w:rFonts w:ascii="Times New Roman" w:hAnsi="Times New Roman" w:cs="Times New Roman" w:eastAsia="Times New Roman" w:hint="default"/>
                <w:sz w:val="19"/>
                <w:szCs w:val="19"/>
              </w:rPr>
            </w:pPr>
            <w:r>
              <w:rPr>
                <w:rFonts w:ascii="Times New Roman"/>
                <w:w w:val="105"/>
                <w:sz w:val="19"/>
              </w:rPr>
              <w:t>US10,187,381</w:t>
            </w:r>
            <w:r>
              <w:rPr>
                <w:rFonts w:ascii="Times New Roman"/>
                <w:sz w:val="19"/>
              </w:rPr>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3"/>
              <w:jc w:val="center"/>
              <w:rPr>
                <w:rFonts w:ascii="Times New Roman" w:hAnsi="Times New Roman" w:cs="Times New Roman" w:eastAsia="Times New Roman" w:hint="default"/>
                <w:sz w:val="19"/>
                <w:szCs w:val="19"/>
              </w:rPr>
            </w:pPr>
            <w:r>
              <w:rPr>
                <w:rFonts w:ascii="Times New Roman"/>
                <w:w w:val="105"/>
                <w:sz w:val="19"/>
              </w:rPr>
              <w:t>2015/11/23</w:t>
            </w:r>
            <w:r>
              <w:rPr>
                <w:rFonts w:ascii="Times New Roman"/>
                <w:sz w:val="19"/>
              </w:rPr>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17"/>
              <w:jc w:val="right"/>
              <w:rPr>
                <w:rFonts w:ascii="Times New Roman" w:hAnsi="Times New Roman" w:cs="Times New Roman" w:eastAsia="Times New Roman" w:hint="default"/>
                <w:sz w:val="19"/>
                <w:szCs w:val="19"/>
              </w:rPr>
            </w:pPr>
            <w:r>
              <w:rPr>
                <w:rFonts w:ascii="Times New Roman"/>
                <w:sz w:val="19"/>
              </w:rPr>
              <w:t>2019/1/22</w:t>
            </w:r>
          </w:p>
        </w:tc>
      </w:tr>
      <w:tr>
        <w:trPr>
          <w:trHeight w:val="420"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7" w:right="0"/>
              <w:jc w:val="center"/>
              <w:rPr>
                <w:rFonts w:ascii="Times New Roman" w:hAnsi="Times New Roman" w:cs="Times New Roman" w:eastAsia="Times New Roman" w:hint="default"/>
                <w:sz w:val="19"/>
                <w:szCs w:val="19"/>
              </w:rPr>
            </w:pPr>
            <w:r>
              <w:rPr>
                <w:rFonts w:ascii="Times New Roman"/>
                <w:w w:val="102"/>
                <w:sz w:val="19"/>
              </w:rPr>
              <w:t>3</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left"/>
              <w:rPr>
                <w:rFonts w:ascii="宋体" w:hAnsi="宋体" w:cs="宋体" w:eastAsia="宋体" w:hint="default"/>
                <w:sz w:val="19"/>
                <w:szCs w:val="19"/>
              </w:rPr>
            </w:pPr>
            <w:r>
              <w:rPr>
                <w:rFonts w:ascii="宋体" w:hAnsi="宋体" w:cs="宋体" w:eastAsia="宋体" w:hint="default"/>
                <w:spacing w:val="2"/>
                <w:w w:val="105"/>
                <w:sz w:val="19"/>
                <w:szCs w:val="19"/>
              </w:rPr>
              <w:t>一种</w:t>
            </w:r>
            <w:r>
              <w:rPr>
                <w:rFonts w:ascii="Times New Roman" w:hAnsi="Times New Roman" w:cs="Times New Roman" w:eastAsia="Times New Roman" w:hint="default"/>
                <w:spacing w:val="2"/>
                <w:w w:val="105"/>
                <w:sz w:val="19"/>
                <w:szCs w:val="19"/>
              </w:rPr>
              <w:t>Flash</w:t>
            </w:r>
            <w:r>
              <w:rPr>
                <w:rFonts w:ascii="宋体" w:hAnsi="宋体" w:cs="宋体" w:eastAsia="宋体" w:hint="default"/>
                <w:spacing w:val="2"/>
                <w:w w:val="105"/>
                <w:sz w:val="19"/>
                <w:szCs w:val="19"/>
              </w:rPr>
              <w:t>的数据写入和读取方法</w:t>
            </w:r>
            <w:r>
              <w:rPr>
                <w:rFonts w:ascii="宋体" w:hAnsi="宋体" w:cs="宋体" w:eastAsia="宋体" w:hint="default"/>
                <w:spacing w:val="2"/>
                <w:sz w:val="19"/>
                <w:szCs w:val="19"/>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8"/>
              <w:jc w:val="center"/>
              <w:rPr>
                <w:rFonts w:ascii="Times New Roman" w:hAnsi="Times New Roman" w:cs="Times New Roman" w:eastAsia="Times New Roman" w:hint="default"/>
                <w:sz w:val="19"/>
                <w:szCs w:val="19"/>
              </w:rPr>
            </w:pPr>
            <w:r>
              <w:rPr>
                <w:rFonts w:ascii="Times New Roman"/>
                <w:w w:val="105"/>
                <w:sz w:val="19"/>
              </w:rPr>
              <w:t>US10,228,875</w:t>
            </w:r>
            <w:r>
              <w:rPr>
                <w:rFonts w:ascii="Times New Roman"/>
                <w:sz w:val="19"/>
              </w:rPr>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3"/>
              <w:jc w:val="center"/>
              <w:rPr>
                <w:rFonts w:ascii="Times New Roman" w:hAnsi="Times New Roman" w:cs="Times New Roman" w:eastAsia="Times New Roman" w:hint="default"/>
                <w:sz w:val="19"/>
                <w:szCs w:val="19"/>
              </w:rPr>
            </w:pPr>
            <w:r>
              <w:rPr>
                <w:rFonts w:ascii="Times New Roman"/>
                <w:w w:val="105"/>
                <w:sz w:val="19"/>
              </w:rPr>
              <w:t>2014/12/23</w:t>
            </w:r>
            <w:r>
              <w:rPr>
                <w:rFonts w:ascii="Times New Roman"/>
                <w:sz w:val="19"/>
              </w:rPr>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17"/>
              <w:jc w:val="right"/>
              <w:rPr>
                <w:rFonts w:ascii="Times New Roman" w:hAnsi="Times New Roman" w:cs="Times New Roman" w:eastAsia="Times New Roman" w:hint="default"/>
                <w:sz w:val="19"/>
                <w:szCs w:val="19"/>
              </w:rPr>
            </w:pPr>
            <w:r>
              <w:rPr>
                <w:rFonts w:ascii="Times New Roman"/>
                <w:sz w:val="19"/>
              </w:rPr>
              <w:t>2019/3/12</w:t>
            </w:r>
          </w:p>
        </w:tc>
      </w:tr>
      <w:tr>
        <w:trPr>
          <w:trHeight w:val="436"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7" w:right="0"/>
              <w:jc w:val="center"/>
              <w:rPr>
                <w:rFonts w:ascii="Times New Roman" w:hAnsi="Times New Roman" w:cs="Times New Roman" w:eastAsia="Times New Roman" w:hint="default"/>
                <w:sz w:val="19"/>
                <w:szCs w:val="19"/>
              </w:rPr>
            </w:pPr>
            <w:r>
              <w:rPr>
                <w:rFonts w:ascii="Times New Roman"/>
                <w:w w:val="102"/>
                <w:sz w:val="19"/>
              </w:rPr>
              <w:t>4</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2"/>
                <w:w w:val="105"/>
                <w:sz w:val="19"/>
                <w:szCs w:val="19"/>
              </w:rPr>
              <w:t>一种微型化的电子设备</w:t>
            </w:r>
            <w:r>
              <w:rPr>
                <w:rFonts w:ascii="宋体" w:hAnsi="宋体" w:cs="宋体" w:eastAsia="宋体" w:hint="default"/>
                <w:spacing w:val="2"/>
                <w:sz w:val="19"/>
                <w:szCs w:val="19"/>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8"/>
              <w:jc w:val="center"/>
              <w:rPr>
                <w:rFonts w:ascii="Times New Roman" w:hAnsi="Times New Roman" w:cs="Times New Roman" w:eastAsia="Times New Roman" w:hint="default"/>
                <w:sz w:val="19"/>
                <w:szCs w:val="19"/>
              </w:rPr>
            </w:pPr>
            <w:r>
              <w:rPr>
                <w:rFonts w:ascii="Times New Roman"/>
                <w:w w:val="105"/>
                <w:sz w:val="19"/>
              </w:rPr>
              <w:t>US10,211,561</w:t>
            </w:r>
            <w:r>
              <w:rPr>
                <w:rFonts w:ascii="Times New Roman"/>
                <w:sz w:val="19"/>
              </w:rPr>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3"/>
              <w:jc w:val="center"/>
              <w:rPr>
                <w:rFonts w:ascii="Times New Roman" w:hAnsi="Times New Roman" w:cs="Times New Roman" w:eastAsia="Times New Roman" w:hint="default"/>
                <w:sz w:val="19"/>
                <w:szCs w:val="19"/>
              </w:rPr>
            </w:pPr>
            <w:r>
              <w:rPr>
                <w:rFonts w:ascii="Times New Roman"/>
                <w:w w:val="105"/>
                <w:sz w:val="19"/>
              </w:rPr>
              <w:t>2015/12/25</w:t>
            </w:r>
            <w:r>
              <w:rPr>
                <w:rFonts w:ascii="Times New Roman"/>
                <w:sz w:val="19"/>
              </w:rPr>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17"/>
              <w:jc w:val="right"/>
              <w:rPr>
                <w:rFonts w:ascii="Times New Roman" w:hAnsi="Times New Roman" w:cs="Times New Roman" w:eastAsia="Times New Roman" w:hint="default"/>
                <w:sz w:val="19"/>
                <w:szCs w:val="19"/>
              </w:rPr>
            </w:pPr>
            <w:r>
              <w:rPr>
                <w:rFonts w:ascii="Times New Roman"/>
                <w:sz w:val="19"/>
              </w:rPr>
              <w:t>2019/2/19</w:t>
            </w:r>
          </w:p>
        </w:tc>
      </w:tr>
      <w:tr>
        <w:trPr>
          <w:trHeight w:val="420"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7" w:right="0"/>
              <w:jc w:val="center"/>
              <w:rPr>
                <w:rFonts w:ascii="Times New Roman" w:hAnsi="Times New Roman" w:cs="Times New Roman" w:eastAsia="Times New Roman" w:hint="default"/>
                <w:sz w:val="19"/>
                <w:szCs w:val="19"/>
              </w:rPr>
            </w:pPr>
            <w:r>
              <w:rPr>
                <w:rFonts w:ascii="Times New Roman"/>
                <w:w w:val="102"/>
                <w:sz w:val="19"/>
              </w:rPr>
              <w:t>5</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left"/>
              <w:rPr>
                <w:rFonts w:ascii="宋体" w:hAnsi="宋体" w:cs="宋体" w:eastAsia="宋体" w:hint="default"/>
                <w:sz w:val="19"/>
                <w:szCs w:val="19"/>
              </w:rPr>
            </w:pPr>
            <w:r>
              <w:rPr>
                <w:rFonts w:ascii="宋体" w:hAnsi="宋体" w:cs="宋体" w:eastAsia="宋体" w:hint="default"/>
                <w:spacing w:val="2"/>
                <w:w w:val="105"/>
                <w:sz w:val="19"/>
                <w:szCs w:val="19"/>
              </w:rPr>
              <w:t>一种</w:t>
            </w:r>
            <w:r>
              <w:rPr>
                <w:rFonts w:ascii="Times New Roman" w:hAnsi="Times New Roman" w:cs="Times New Roman" w:eastAsia="Times New Roman" w:hint="default"/>
                <w:spacing w:val="2"/>
                <w:w w:val="105"/>
                <w:sz w:val="19"/>
                <w:szCs w:val="19"/>
              </w:rPr>
              <w:t>JavaCard</w:t>
            </w:r>
            <w:r>
              <w:rPr>
                <w:rFonts w:ascii="宋体" w:hAnsi="宋体" w:cs="宋体" w:eastAsia="宋体" w:hint="default"/>
                <w:spacing w:val="2"/>
                <w:w w:val="105"/>
                <w:sz w:val="19"/>
                <w:szCs w:val="19"/>
              </w:rPr>
              <w:t>应用功能扩展的实现方法</w:t>
            </w:r>
            <w:r>
              <w:rPr>
                <w:rFonts w:ascii="宋体" w:hAnsi="宋体" w:cs="宋体" w:eastAsia="宋体" w:hint="default"/>
                <w:spacing w:val="2"/>
                <w:sz w:val="19"/>
                <w:szCs w:val="19"/>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8"/>
              <w:jc w:val="center"/>
              <w:rPr>
                <w:rFonts w:ascii="Times New Roman" w:hAnsi="Times New Roman" w:cs="Times New Roman" w:eastAsia="Times New Roman" w:hint="default"/>
                <w:sz w:val="19"/>
                <w:szCs w:val="19"/>
              </w:rPr>
            </w:pPr>
            <w:r>
              <w:rPr>
                <w:rFonts w:ascii="Times New Roman"/>
                <w:w w:val="105"/>
                <w:sz w:val="19"/>
              </w:rPr>
              <w:t>US10,248,795</w:t>
            </w:r>
            <w:r>
              <w:rPr>
                <w:rFonts w:ascii="Times New Roman"/>
                <w:sz w:val="19"/>
              </w:rPr>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3"/>
              <w:jc w:val="center"/>
              <w:rPr>
                <w:rFonts w:ascii="Times New Roman" w:hAnsi="Times New Roman" w:cs="Times New Roman" w:eastAsia="Times New Roman" w:hint="default"/>
                <w:sz w:val="19"/>
                <w:szCs w:val="19"/>
              </w:rPr>
            </w:pPr>
            <w:r>
              <w:rPr>
                <w:rFonts w:ascii="Times New Roman"/>
                <w:w w:val="105"/>
                <w:sz w:val="19"/>
              </w:rPr>
              <w:t>2016/11/21</w:t>
            </w:r>
            <w:r>
              <w:rPr>
                <w:rFonts w:ascii="Times New Roman"/>
                <w:sz w:val="19"/>
              </w:rPr>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55" w:right="0"/>
              <w:jc w:val="left"/>
              <w:rPr>
                <w:rFonts w:ascii="Times New Roman" w:hAnsi="Times New Roman" w:cs="Times New Roman" w:eastAsia="Times New Roman" w:hint="default"/>
                <w:sz w:val="19"/>
                <w:szCs w:val="19"/>
              </w:rPr>
            </w:pPr>
            <w:r>
              <w:rPr>
                <w:rFonts w:ascii="Times New Roman"/>
                <w:w w:val="105"/>
                <w:sz w:val="19"/>
              </w:rPr>
              <w:t>2019/4/2</w:t>
            </w:r>
            <w:r>
              <w:rPr>
                <w:rFonts w:ascii="Times New Roman"/>
                <w:sz w:val="19"/>
              </w:rPr>
            </w:r>
          </w:p>
        </w:tc>
      </w:tr>
      <w:tr>
        <w:trPr>
          <w:trHeight w:val="736"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7" w:right="0"/>
              <w:jc w:val="center"/>
              <w:rPr>
                <w:rFonts w:ascii="Times New Roman" w:hAnsi="Times New Roman" w:cs="Times New Roman" w:eastAsia="Times New Roman" w:hint="default"/>
                <w:sz w:val="19"/>
                <w:szCs w:val="19"/>
              </w:rPr>
            </w:pPr>
            <w:r>
              <w:rPr>
                <w:rFonts w:ascii="Times New Roman"/>
                <w:w w:val="102"/>
                <w:sz w:val="19"/>
              </w:rPr>
              <w:t>6</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63"/>
              <w:ind w:right="15"/>
              <w:jc w:val="left"/>
              <w:rPr>
                <w:rFonts w:ascii="宋体" w:hAnsi="宋体" w:cs="宋体" w:eastAsia="宋体" w:hint="default"/>
                <w:sz w:val="19"/>
                <w:szCs w:val="19"/>
              </w:rPr>
            </w:pPr>
            <w:r>
              <w:rPr>
                <w:rFonts w:ascii="宋体" w:hAnsi="宋体" w:cs="宋体" w:eastAsia="宋体" w:hint="default"/>
                <w:spacing w:val="10"/>
                <w:sz w:val="19"/>
                <w:szCs w:val="19"/>
              </w:rPr>
              <w:t>主动与苹果设备连接并进行通信的方法和苹果设备</w:t>
            </w:r>
            <w:r>
              <w:rPr>
                <w:rFonts w:ascii="宋体" w:hAnsi="宋体" w:cs="宋体" w:eastAsia="宋体" w:hint="default"/>
                <w:spacing w:val="34"/>
                <w:sz w:val="19"/>
                <w:szCs w:val="19"/>
              </w:rPr>
              <w:t> </w:t>
            </w:r>
            <w:r>
              <w:rPr>
                <w:rFonts w:ascii="宋体" w:hAnsi="宋体" w:cs="宋体" w:eastAsia="宋体" w:hint="default"/>
                <w:spacing w:val="34"/>
                <w:sz w:val="19"/>
                <w:szCs w:val="19"/>
              </w:rPr>
            </w:r>
            <w:r>
              <w:rPr>
                <w:rFonts w:ascii="宋体" w:hAnsi="宋体" w:cs="宋体" w:eastAsia="宋体" w:hint="default"/>
                <w:w w:val="105"/>
                <w:sz w:val="19"/>
                <w:szCs w:val="19"/>
              </w:rPr>
              <w:t>附件</w:t>
            </w:r>
            <w:r>
              <w:rPr>
                <w:rFonts w:ascii="宋体" w:hAnsi="宋体" w:cs="宋体" w:eastAsia="宋体" w:hint="default"/>
                <w:sz w:val="19"/>
                <w:szCs w:val="19"/>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8"/>
              <w:jc w:val="center"/>
              <w:rPr>
                <w:rFonts w:ascii="Times New Roman" w:hAnsi="Times New Roman" w:cs="Times New Roman" w:eastAsia="Times New Roman" w:hint="default"/>
                <w:sz w:val="19"/>
                <w:szCs w:val="19"/>
              </w:rPr>
            </w:pPr>
            <w:r>
              <w:rPr>
                <w:rFonts w:ascii="Times New Roman"/>
                <w:w w:val="105"/>
                <w:sz w:val="19"/>
              </w:rPr>
              <w:t>US10,241,936</w:t>
            </w:r>
            <w:r>
              <w:rPr>
                <w:rFonts w:ascii="Times New Roman"/>
                <w:sz w:val="19"/>
              </w:rPr>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37"/>
              <w:jc w:val="center"/>
              <w:rPr>
                <w:rFonts w:ascii="Times New Roman" w:hAnsi="Times New Roman" w:cs="Times New Roman" w:eastAsia="Times New Roman" w:hint="default"/>
                <w:sz w:val="19"/>
                <w:szCs w:val="19"/>
              </w:rPr>
            </w:pPr>
            <w:r>
              <w:rPr>
                <w:rFonts w:ascii="Times New Roman"/>
                <w:w w:val="105"/>
                <w:sz w:val="19"/>
              </w:rPr>
              <w:t>2016/2/24</w:t>
            </w:r>
            <w:r>
              <w:rPr>
                <w:rFonts w:ascii="Times New Roman"/>
                <w:sz w:val="19"/>
              </w:rPr>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217"/>
              <w:jc w:val="right"/>
              <w:rPr>
                <w:rFonts w:ascii="Times New Roman" w:hAnsi="Times New Roman" w:cs="Times New Roman" w:eastAsia="Times New Roman" w:hint="default"/>
                <w:sz w:val="19"/>
                <w:szCs w:val="19"/>
              </w:rPr>
            </w:pPr>
            <w:r>
              <w:rPr>
                <w:rFonts w:ascii="Times New Roman"/>
                <w:sz w:val="19"/>
              </w:rPr>
              <w:t>2019/3/26</w:t>
            </w:r>
          </w:p>
        </w:tc>
      </w:tr>
      <w:tr>
        <w:trPr>
          <w:trHeight w:val="435"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7" w:right="0"/>
              <w:jc w:val="center"/>
              <w:rPr>
                <w:rFonts w:ascii="Times New Roman" w:hAnsi="Times New Roman" w:cs="Times New Roman" w:eastAsia="Times New Roman" w:hint="default"/>
                <w:sz w:val="19"/>
                <w:szCs w:val="19"/>
              </w:rPr>
            </w:pPr>
            <w:r>
              <w:rPr>
                <w:rFonts w:ascii="Times New Roman"/>
                <w:w w:val="102"/>
                <w:sz w:val="19"/>
              </w:rPr>
              <w:t>7</w:t>
            </w:r>
            <w:r>
              <w:rPr>
                <w:rFonts w:ascii="Times New Roman"/>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4"/>
                <w:w w:val="105"/>
                <w:sz w:val="19"/>
                <w:szCs w:val="19"/>
              </w:rPr>
              <w:t>一种多种子动态令牌的工作方法</w:t>
            </w:r>
            <w:r>
              <w:rPr>
                <w:rFonts w:ascii="宋体" w:hAnsi="宋体" w:cs="宋体" w:eastAsia="宋体" w:hint="default"/>
                <w:spacing w:val="4"/>
                <w:sz w:val="19"/>
                <w:szCs w:val="19"/>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8"/>
              <w:jc w:val="center"/>
              <w:rPr>
                <w:rFonts w:ascii="Times New Roman" w:hAnsi="Times New Roman" w:cs="Times New Roman" w:eastAsia="Times New Roman" w:hint="default"/>
                <w:sz w:val="19"/>
                <w:szCs w:val="19"/>
              </w:rPr>
            </w:pPr>
            <w:r>
              <w:rPr>
                <w:rFonts w:ascii="Times New Roman"/>
                <w:w w:val="105"/>
                <w:sz w:val="19"/>
              </w:rPr>
              <w:t>US10,255,421</w:t>
            </w:r>
            <w:r>
              <w:rPr>
                <w:rFonts w:ascii="Times New Roman"/>
                <w:sz w:val="19"/>
              </w:rPr>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37"/>
              <w:jc w:val="center"/>
              <w:rPr>
                <w:rFonts w:ascii="Times New Roman" w:hAnsi="Times New Roman" w:cs="Times New Roman" w:eastAsia="Times New Roman" w:hint="default"/>
                <w:sz w:val="19"/>
                <w:szCs w:val="19"/>
              </w:rPr>
            </w:pPr>
            <w:r>
              <w:rPr>
                <w:rFonts w:ascii="Times New Roman"/>
                <w:w w:val="105"/>
                <w:sz w:val="19"/>
              </w:rPr>
              <w:t>2015/8/21</w:t>
            </w:r>
            <w:r>
              <w:rPr>
                <w:rFonts w:ascii="Times New Roman"/>
                <w:sz w:val="19"/>
              </w:rPr>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255" w:right="0"/>
              <w:jc w:val="left"/>
              <w:rPr>
                <w:rFonts w:ascii="Times New Roman" w:hAnsi="Times New Roman" w:cs="Times New Roman" w:eastAsia="Times New Roman" w:hint="default"/>
                <w:sz w:val="19"/>
                <w:szCs w:val="19"/>
              </w:rPr>
            </w:pPr>
            <w:r>
              <w:rPr>
                <w:rFonts w:ascii="Times New Roman"/>
                <w:w w:val="105"/>
                <w:sz w:val="19"/>
              </w:rPr>
              <w:t>2019/4/9</w:t>
            </w:r>
            <w:r>
              <w:rPr>
                <w:rFonts w:ascii="Times New Roman"/>
                <w:sz w:val="19"/>
              </w:rPr>
            </w:r>
          </w:p>
        </w:tc>
      </w:tr>
      <w:tr>
        <w:trPr>
          <w:trHeight w:val="420"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8</w:t>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一种智能密钥设备的工作方法</w:t>
            </w:r>
            <w:r>
              <w:rPr>
                <w:rFonts w:ascii="宋体" w:hAnsi="宋体" w:cs="宋体" w:eastAsia="宋体" w:hint="default"/>
                <w:spacing w:val="3"/>
                <w:sz w:val="19"/>
                <w:szCs w:val="19"/>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8"/>
              <w:jc w:val="center"/>
              <w:rPr>
                <w:rFonts w:ascii="Times New Roman" w:hAnsi="Times New Roman" w:cs="Times New Roman" w:eastAsia="Times New Roman" w:hint="default"/>
                <w:sz w:val="19"/>
                <w:szCs w:val="19"/>
              </w:rPr>
            </w:pPr>
            <w:r>
              <w:rPr>
                <w:rFonts w:ascii="Times New Roman"/>
                <w:w w:val="105"/>
                <w:sz w:val="19"/>
              </w:rPr>
              <w:t>US10,263,985</w:t>
            </w:r>
            <w:r>
              <w:rPr>
                <w:rFonts w:ascii="Times New Roman"/>
                <w:sz w:val="19"/>
              </w:rPr>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37"/>
              <w:jc w:val="center"/>
              <w:rPr>
                <w:rFonts w:ascii="Times New Roman" w:hAnsi="Times New Roman" w:cs="Times New Roman" w:eastAsia="Times New Roman" w:hint="default"/>
                <w:sz w:val="19"/>
                <w:szCs w:val="19"/>
              </w:rPr>
            </w:pPr>
            <w:r>
              <w:rPr>
                <w:rFonts w:ascii="Times New Roman"/>
                <w:w w:val="105"/>
                <w:sz w:val="19"/>
              </w:rPr>
              <w:t>2016/4/29</w:t>
            </w:r>
            <w:r>
              <w:rPr>
                <w:rFonts w:ascii="Times New Roman"/>
                <w:sz w:val="19"/>
              </w:rPr>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17"/>
              <w:jc w:val="right"/>
              <w:rPr>
                <w:rFonts w:ascii="Times New Roman" w:hAnsi="Times New Roman" w:cs="Times New Roman" w:eastAsia="Times New Roman" w:hint="default"/>
                <w:sz w:val="19"/>
                <w:szCs w:val="19"/>
              </w:rPr>
            </w:pPr>
            <w:r>
              <w:rPr>
                <w:rFonts w:ascii="Times New Roman"/>
                <w:sz w:val="19"/>
              </w:rPr>
              <w:t>2019/4/16</w:t>
            </w:r>
          </w:p>
        </w:tc>
      </w:tr>
      <w:tr>
        <w:trPr>
          <w:trHeight w:val="435"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9</w:t>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一种智能卡及其制造方法</w:t>
            </w:r>
            <w:r>
              <w:rPr>
                <w:rFonts w:ascii="宋体" w:hAnsi="宋体" w:cs="宋体" w:eastAsia="宋体" w:hint="default"/>
                <w:spacing w:val="3"/>
                <w:sz w:val="19"/>
                <w:szCs w:val="19"/>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8"/>
              <w:jc w:val="center"/>
              <w:rPr>
                <w:rFonts w:ascii="Times New Roman" w:hAnsi="Times New Roman" w:cs="Times New Roman" w:eastAsia="Times New Roman" w:hint="default"/>
                <w:sz w:val="19"/>
                <w:szCs w:val="19"/>
              </w:rPr>
            </w:pPr>
            <w:r>
              <w:rPr>
                <w:rFonts w:ascii="Times New Roman"/>
                <w:w w:val="105"/>
                <w:sz w:val="19"/>
              </w:rPr>
              <w:t>US10,275,699</w:t>
            </w:r>
            <w:r>
              <w:rPr>
                <w:rFonts w:ascii="Times New Roman"/>
                <w:sz w:val="19"/>
              </w:rPr>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22"/>
              <w:jc w:val="center"/>
              <w:rPr>
                <w:rFonts w:ascii="Times New Roman" w:hAnsi="Times New Roman" w:cs="Times New Roman" w:eastAsia="Times New Roman" w:hint="default"/>
                <w:sz w:val="19"/>
                <w:szCs w:val="19"/>
              </w:rPr>
            </w:pPr>
            <w:r>
              <w:rPr>
                <w:rFonts w:ascii="Times New Roman"/>
                <w:w w:val="105"/>
                <w:sz w:val="19"/>
              </w:rPr>
              <w:t>2016/6/8</w:t>
            </w:r>
            <w:r>
              <w:rPr>
                <w:rFonts w:ascii="Times New Roman"/>
                <w:sz w:val="19"/>
              </w:rPr>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217"/>
              <w:jc w:val="right"/>
              <w:rPr>
                <w:rFonts w:ascii="Times New Roman" w:hAnsi="Times New Roman" w:cs="Times New Roman" w:eastAsia="Times New Roman" w:hint="default"/>
                <w:sz w:val="19"/>
                <w:szCs w:val="19"/>
              </w:rPr>
            </w:pPr>
            <w:r>
              <w:rPr>
                <w:rFonts w:ascii="Times New Roman"/>
                <w:sz w:val="19"/>
              </w:rPr>
              <w:t>2019/4/30</w:t>
            </w:r>
          </w:p>
        </w:tc>
      </w:tr>
      <w:tr>
        <w:trPr>
          <w:trHeight w:val="421"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10</w:t>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一种更新动态令牌中种子数据的方法</w:t>
            </w:r>
            <w:r>
              <w:rPr>
                <w:rFonts w:ascii="宋体" w:hAnsi="宋体" w:cs="宋体" w:eastAsia="宋体" w:hint="default"/>
                <w:spacing w:val="3"/>
                <w:sz w:val="19"/>
                <w:szCs w:val="19"/>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8"/>
              <w:jc w:val="center"/>
              <w:rPr>
                <w:rFonts w:ascii="Times New Roman" w:hAnsi="Times New Roman" w:cs="Times New Roman" w:eastAsia="Times New Roman" w:hint="default"/>
                <w:sz w:val="19"/>
                <w:szCs w:val="19"/>
              </w:rPr>
            </w:pPr>
            <w:r>
              <w:rPr>
                <w:rFonts w:ascii="Times New Roman"/>
                <w:w w:val="105"/>
                <w:sz w:val="19"/>
              </w:rPr>
              <w:t>US10,277,405</w:t>
            </w:r>
            <w:r>
              <w:rPr>
                <w:rFonts w:ascii="Times New Roman"/>
                <w:sz w:val="19"/>
              </w:rPr>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37"/>
              <w:jc w:val="center"/>
              <w:rPr>
                <w:rFonts w:ascii="Times New Roman" w:hAnsi="Times New Roman" w:cs="Times New Roman" w:eastAsia="Times New Roman" w:hint="default"/>
                <w:sz w:val="19"/>
                <w:szCs w:val="19"/>
              </w:rPr>
            </w:pPr>
            <w:r>
              <w:rPr>
                <w:rFonts w:ascii="Times New Roman"/>
                <w:w w:val="105"/>
                <w:sz w:val="19"/>
              </w:rPr>
              <w:t>2015/2/17</w:t>
            </w:r>
            <w:r>
              <w:rPr>
                <w:rFonts w:ascii="Times New Roman"/>
                <w:sz w:val="19"/>
              </w:rPr>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217"/>
              <w:jc w:val="right"/>
              <w:rPr>
                <w:rFonts w:ascii="Times New Roman" w:hAnsi="Times New Roman" w:cs="Times New Roman" w:eastAsia="Times New Roman" w:hint="default"/>
                <w:sz w:val="19"/>
                <w:szCs w:val="19"/>
              </w:rPr>
            </w:pPr>
            <w:r>
              <w:rPr>
                <w:rFonts w:ascii="Times New Roman"/>
                <w:sz w:val="19"/>
              </w:rPr>
              <w:t>2019/4/30</w:t>
            </w:r>
          </w:p>
        </w:tc>
      </w:tr>
      <w:tr>
        <w:trPr>
          <w:trHeight w:val="436"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11</w:t>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一种二维码安全认证方法</w:t>
            </w:r>
            <w:r>
              <w:rPr>
                <w:rFonts w:ascii="宋体" w:hAnsi="宋体" w:cs="宋体" w:eastAsia="宋体" w:hint="default"/>
                <w:spacing w:val="3"/>
                <w:sz w:val="19"/>
                <w:szCs w:val="19"/>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8"/>
              <w:jc w:val="center"/>
              <w:rPr>
                <w:rFonts w:ascii="Times New Roman" w:hAnsi="Times New Roman" w:cs="Times New Roman" w:eastAsia="Times New Roman" w:hint="default"/>
                <w:sz w:val="19"/>
                <w:szCs w:val="19"/>
              </w:rPr>
            </w:pPr>
            <w:r>
              <w:rPr>
                <w:rFonts w:ascii="Times New Roman"/>
                <w:w w:val="105"/>
                <w:sz w:val="19"/>
              </w:rPr>
              <w:t>US10,313,126</w:t>
            </w:r>
            <w:r>
              <w:rPr>
                <w:rFonts w:ascii="Times New Roman"/>
                <w:sz w:val="19"/>
              </w:rPr>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2"/>
              <w:jc w:val="center"/>
              <w:rPr>
                <w:rFonts w:ascii="Times New Roman" w:hAnsi="Times New Roman" w:cs="Times New Roman" w:eastAsia="Times New Roman" w:hint="default"/>
                <w:sz w:val="19"/>
                <w:szCs w:val="19"/>
              </w:rPr>
            </w:pPr>
            <w:r>
              <w:rPr>
                <w:rFonts w:ascii="Times New Roman"/>
                <w:w w:val="105"/>
                <w:sz w:val="19"/>
              </w:rPr>
              <w:t>2016/6/8</w:t>
            </w:r>
            <w:r>
              <w:rPr>
                <w:rFonts w:ascii="Times New Roman"/>
                <w:sz w:val="19"/>
              </w:rPr>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255" w:right="0"/>
              <w:jc w:val="left"/>
              <w:rPr>
                <w:rFonts w:ascii="Times New Roman" w:hAnsi="Times New Roman" w:cs="Times New Roman" w:eastAsia="Times New Roman" w:hint="default"/>
                <w:sz w:val="19"/>
                <w:szCs w:val="19"/>
              </w:rPr>
            </w:pPr>
            <w:r>
              <w:rPr>
                <w:rFonts w:ascii="Times New Roman"/>
                <w:w w:val="105"/>
                <w:sz w:val="19"/>
              </w:rPr>
              <w:t>2019/6/4</w:t>
            </w:r>
            <w:r>
              <w:rPr>
                <w:rFonts w:ascii="Times New Roman"/>
                <w:sz w:val="19"/>
              </w:rPr>
            </w:r>
          </w:p>
        </w:tc>
      </w:tr>
      <w:tr>
        <w:trPr>
          <w:trHeight w:val="420"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12</w:t>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left"/>
              <w:rPr>
                <w:rFonts w:ascii="宋体" w:hAnsi="宋体" w:cs="宋体" w:eastAsia="宋体" w:hint="default"/>
                <w:sz w:val="19"/>
                <w:szCs w:val="19"/>
              </w:rPr>
            </w:pPr>
            <w:r>
              <w:rPr>
                <w:rFonts w:ascii="宋体" w:hAnsi="宋体" w:cs="宋体" w:eastAsia="宋体" w:hint="default"/>
                <w:spacing w:val="3"/>
                <w:w w:val="105"/>
                <w:sz w:val="19"/>
                <w:szCs w:val="19"/>
              </w:rPr>
              <w:t>蓝牙通讯方法和通讯设备</w:t>
            </w:r>
            <w:r>
              <w:rPr>
                <w:rFonts w:ascii="宋体" w:hAnsi="宋体" w:cs="宋体" w:eastAsia="宋体" w:hint="default"/>
                <w:spacing w:val="3"/>
                <w:sz w:val="19"/>
                <w:szCs w:val="19"/>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8"/>
              <w:jc w:val="center"/>
              <w:rPr>
                <w:rFonts w:ascii="Times New Roman" w:hAnsi="Times New Roman" w:cs="Times New Roman" w:eastAsia="Times New Roman" w:hint="default"/>
                <w:sz w:val="19"/>
                <w:szCs w:val="19"/>
              </w:rPr>
            </w:pPr>
            <w:r>
              <w:rPr>
                <w:rFonts w:ascii="Times New Roman"/>
                <w:w w:val="105"/>
                <w:sz w:val="19"/>
              </w:rPr>
              <w:t>US10,334,410</w:t>
            </w:r>
            <w:r>
              <w:rPr>
                <w:rFonts w:ascii="Times New Roman"/>
                <w:sz w:val="19"/>
              </w:rPr>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37"/>
              <w:jc w:val="center"/>
              <w:rPr>
                <w:rFonts w:ascii="Times New Roman" w:hAnsi="Times New Roman" w:cs="Times New Roman" w:eastAsia="Times New Roman" w:hint="default"/>
                <w:sz w:val="19"/>
                <w:szCs w:val="19"/>
              </w:rPr>
            </w:pPr>
            <w:r>
              <w:rPr>
                <w:rFonts w:ascii="Times New Roman"/>
                <w:w w:val="105"/>
                <w:sz w:val="19"/>
              </w:rPr>
              <w:t>2018/3/29</w:t>
            </w:r>
            <w:r>
              <w:rPr>
                <w:rFonts w:ascii="Times New Roman"/>
                <w:sz w:val="19"/>
              </w:rPr>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17"/>
              <w:jc w:val="right"/>
              <w:rPr>
                <w:rFonts w:ascii="Times New Roman" w:hAnsi="Times New Roman" w:cs="Times New Roman" w:eastAsia="Times New Roman" w:hint="default"/>
                <w:sz w:val="19"/>
                <w:szCs w:val="19"/>
              </w:rPr>
            </w:pPr>
            <w:r>
              <w:rPr>
                <w:rFonts w:ascii="Times New Roman"/>
                <w:sz w:val="19"/>
              </w:rPr>
              <w:t>2019/6/25</w:t>
            </w:r>
          </w:p>
        </w:tc>
      </w:tr>
      <w:tr>
        <w:trPr>
          <w:trHeight w:val="435"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13</w:t>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一种管理卡片上应用的方法</w:t>
            </w:r>
            <w:r>
              <w:rPr>
                <w:rFonts w:ascii="宋体" w:hAnsi="宋体" w:cs="宋体" w:eastAsia="宋体" w:hint="default"/>
                <w:spacing w:val="3"/>
                <w:sz w:val="19"/>
                <w:szCs w:val="19"/>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8"/>
              <w:jc w:val="center"/>
              <w:rPr>
                <w:rFonts w:ascii="Times New Roman" w:hAnsi="Times New Roman" w:cs="Times New Roman" w:eastAsia="Times New Roman" w:hint="default"/>
                <w:sz w:val="19"/>
                <w:szCs w:val="19"/>
              </w:rPr>
            </w:pPr>
            <w:r>
              <w:rPr>
                <w:rFonts w:ascii="Times New Roman"/>
                <w:w w:val="105"/>
                <w:sz w:val="19"/>
              </w:rPr>
              <w:t>US10,324,781</w:t>
            </w:r>
            <w:r>
              <w:rPr>
                <w:rFonts w:ascii="Times New Roman"/>
                <w:sz w:val="19"/>
              </w:rPr>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37"/>
              <w:jc w:val="center"/>
              <w:rPr>
                <w:rFonts w:ascii="Times New Roman" w:hAnsi="Times New Roman" w:cs="Times New Roman" w:eastAsia="Times New Roman" w:hint="default"/>
                <w:sz w:val="19"/>
                <w:szCs w:val="19"/>
              </w:rPr>
            </w:pPr>
            <w:r>
              <w:rPr>
                <w:rFonts w:ascii="Times New Roman"/>
                <w:w w:val="105"/>
                <w:sz w:val="19"/>
              </w:rPr>
              <w:t>2014/4/23</w:t>
            </w:r>
            <w:r>
              <w:rPr>
                <w:rFonts w:ascii="Times New Roman"/>
                <w:sz w:val="19"/>
              </w:rPr>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217"/>
              <w:jc w:val="right"/>
              <w:rPr>
                <w:rFonts w:ascii="Times New Roman" w:hAnsi="Times New Roman" w:cs="Times New Roman" w:eastAsia="Times New Roman" w:hint="default"/>
                <w:sz w:val="19"/>
                <w:szCs w:val="19"/>
              </w:rPr>
            </w:pPr>
            <w:r>
              <w:rPr>
                <w:rFonts w:ascii="Times New Roman"/>
                <w:sz w:val="19"/>
              </w:rPr>
              <w:t>2019/6/18</w:t>
            </w:r>
          </w:p>
        </w:tc>
      </w:tr>
      <w:tr>
        <w:trPr>
          <w:trHeight w:val="421"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14</w:t>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w:t>
            </w:r>
            <w:r>
              <w:rPr>
                <w:rFonts w:ascii="Times New Roman" w:hAnsi="Times New Roman" w:cs="Times New Roman" w:eastAsia="Times New Roman" w:hint="default"/>
                <w:spacing w:val="3"/>
                <w:w w:val="105"/>
                <w:sz w:val="19"/>
                <w:szCs w:val="19"/>
              </w:rPr>
              <w:t>NFC</w:t>
            </w:r>
            <w:r>
              <w:rPr>
                <w:rFonts w:ascii="宋体" w:hAnsi="宋体" w:cs="宋体" w:eastAsia="宋体" w:hint="default"/>
                <w:spacing w:val="3"/>
                <w:w w:val="105"/>
                <w:sz w:val="19"/>
                <w:szCs w:val="19"/>
              </w:rPr>
              <w:t>令牌的工作方法</w:t>
            </w:r>
            <w:r>
              <w:rPr>
                <w:rFonts w:ascii="宋体" w:hAnsi="宋体" w:cs="宋体" w:eastAsia="宋体" w:hint="default"/>
                <w:spacing w:val="3"/>
                <w:sz w:val="19"/>
                <w:szCs w:val="19"/>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8"/>
              <w:jc w:val="center"/>
              <w:rPr>
                <w:rFonts w:ascii="Times New Roman" w:hAnsi="Times New Roman" w:cs="Times New Roman" w:eastAsia="Times New Roman" w:hint="default"/>
                <w:sz w:val="19"/>
                <w:szCs w:val="19"/>
              </w:rPr>
            </w:pPr>
            <w:r>
              <w:rPr>
                <w:rFonts w:ascii="Times New Roman"/>
                <w:w w:val="105"/>
                <w:sz w:val="19"/>
              </w:rPr>
              <w:t>US10,334,441</w:t>
            </w:r>
            <w:r>
              <w:rPr>
                <w:rFonts w:ascii="Times New Roman"/>
                <w:sz w:val="19"/>
              </w:rPr>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37"/>
              <w:jc w:val="center"/>
              <w:rPr>
                <w:rFonts w:ascii="Times New Roman" w:hAnsi="Times New Roman" w:cs="Times New Roman" w:eastAsia="Times New Roman" w:hint="default"/>
                <w:sz w:val="19"/>
                <w:szCs w:val="19"/>
              </w:rPr>
            </w:pPr>
            <w:r>
              <w:rPr>
                <w:rFonts w:ascii="Times New Roman"/>
                <w:w w:val="105"/>
                <w:sz w:val="19"/>
              </w:rPr>
              <w:t>2015/3/16</w:t>
            </w:r>
            <w:r>
              <w:rPr>
                <w:rFonts w:ascii="Times New Roman"/>
                <w:sz w:val="19"/>
              </w:rPr>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217"/>
              <w:jc w:val="right"/>
              <w:rPr>
                <w:rFonts w:ascii="Times New Roman" w:hAnsi="Times New Roman" w:cs="Times New Roman" w:eastAsia="Times New Roman" w:hint="default"/>
                <w:sz w:val="19"/>
                <w:szCs w:val="19"/>
              </w:rPr>
            </w:pPr>
            <w:r>
              <w:rPr>
                <w:rFonts w:ascii="Times New Roman"/>
                <w:sz w:val="19"/>
              </w:rPr>
              <w:t>2019/6/25</w:t>
            </w:r>
          </w:p>
        </w:tc>
      </w:tr>
      <w:tr>
        <w:trPr>
          <w:trHeight w:val="435"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Times New Roman" w:hAnsi="Times New Roman" w:cs="Times New Roman" w:eastAsia="Times New Roman" w:hint="default"/>
                <w:sz w:val="18"/>
                <w:szCs w:val="18"/>
              </w:rPr>
            </w:pPr>
            <w:r>
              <w:rPr>
                <w:rFonts w:ascii="Times New Roman"/>
                <w:sz w:val="18"/>
              </w:rPr>
              <w:t>15</w:t>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一种激活移动终端令牌的方法</w:t>
            </w:r>
            <w:r>
              <w:rPr>
                <w:rFonts w:ascii="宋体" w:hAnsi="宋体" w:cs="宋体" w:eastAsia="宋体" w:hint="default"/>
                <w:spacing w:val="3"/>
                <w:sz w:val="19"/>
                <w:szCs w:val="19"/>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8"/>
              <w:jc w:val="center"/>
              <w:rPr>
                <w:rFonts w:ascii="Times New Roman" w:hAnsi="Times New Roman" w:cs="Times New Roman" w:eastAsia="Times New Roman" w:hint="default"/>
                <w:sz w:val="19"/>
                <w:szCs w:val="19"/>
              </w:rPr>
            </w:pPr>
            <w:r>
              <w:rPr>
                <w:rFonts w:ascii="Times New Roman"/>
                <w:w w:val="105"/>
                <w:sz w:val="19"/>
              </w:rPr>
              <w:t>US10,333,712</w:t>
            </w:r>
            <w:r>
              <w:rPr>
                <w:rFonts w:ascii="Times New Roman"/>
                <w:sz w:val="19"/>
              </w:rPr>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3"/>
              <w:jc w:val="center"/>
              <w:rPr>
                <w:rFonts w:ascii="Times New Roman" w:hAnsi="Times New Roman" w:cs="Times New Roman" w:eastAsia="Times New Roman" w:hint="default"/>
                <w:sz w:val="19"/>
                <w:szCs w:val="19"/>
              </w:rPr>
            </w:pPr>
            <w:r>
              <w:rPr>
                <w:rFonts w:ascii="Times New Roman"/>
                <w:w w:val="105"/>
                <w:sz w:val="19"/>
              </w:rPr>
              <w:t>2015/11/23</w:t>
            </w:r>
            <w:r>
              <w:rPr>
                <w:rFonts w:ascii="Times New Roman"/>
                <w:sz w:val="19"/>
              </w:rPr>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17"/>
              <w:jc w:val="right"/>
              <w:rPr>
                <w:rFonts w:ascii="Times New Roman" w:hAnsi="Times New Roman" w:cs="Times New Roman" w:eastAsia="Times New Roman" w:hint="default"/>
                <w:sz w:val="19"/>
                <w:szCs w:val="19"/>
              </w:rPr>
            </w:pPr>
            <w:r>
              <w:rPr>
                <w:rFonts w:ascii="Times New Roman"/>
                <w:sz w:val="19"/>
              </w:rPr>
              <w:t>2019/6/25</w:t>
            </w:r>
          </w:p>
        </w:tc>
      </w:tr>
      <w:tr>
        <w:trPr>
          <w:trHeight w:val="421"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16</w:t>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left"/>
              <w:rPr>
                <w:rFonts w:ascii="宋体" w:hAnsi="宋体" w:cs="宋体" w:eastAsia="宋体" w:hint="default"/>
                <w:sz w:val="19"/>
                <w:szCs w:val="19"/>
              </w:rPr>
            </w:pPr>
            <w:r>
              <w:rPr>
                <w:rFonts w:ascii="宋体" w:hAnsi="宋体" w:cs="宋体" w:eastAsia="宋体" w:hint="default"/>
                <w:spacing w:val="4"/>
                <w:w w:val="105"/>
                <w:sz w:val="19"/>
                <w:szCs w:val="19"/>
              </w:rPr>
              <w:t>语音认证系统和设备的工作方法</w:t>
            </w:r>
            <w:r>
              <w:rPr>
                <w:rFonts w:ascii="宋体" w:hAnsi="宋体" w:cs="宋体" w:eastAsia="宋体" w:hint="default"/>
                <w:spacing w:val="4"/>
                <w:sz w:val="19"/>
                <w:szCs w:val="19"/>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8"/>
              <w:jc w:val="center"/>
              <w:rPr>
                <w:rFonts w:ascii="Times New Roman" w:hAnsi="Times New Roman" w:cs="Times New Roman" w:eastAsia="Times New Roman" w:hint="default"/>
                <w:sz w:val="19"/>
                <w:szCs w:val="19"/>
              </w:rPr>
            </w:pPr>
            <w:r>
              <w:rPr>
                <w:rFonts w:ascii="Times New Roman"/>
                <w:w w:val="105"/>
                <w:sz w:val="19"/>
              </w:rPr>
              <w:t>US10,387,633</w:t>
            </w:r>
            <w:r>
              <w:rPr>
                <w:rFonts w:ascii="Times New Roman"/>
                <w:sz w:val="19"/>
              </w:rPr>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2"/>
              <w:jc w:val="center"/>
              <w:rPr>
                <w:rFonts w:ascii="Times New Roman" w:hAnsi="Times New Roman" w:cs="Times New Roman" w:eastAsia="Times New Roman" w:hint="default"/>
                <w:sz w:val="19"/>
                <w:szCs w:val="19"/>
              </w:rPr>
            </w:pPr>
            <w:r>
              <w:rPr>
                <w:rFonts w:ascii="Times New Roman"/>
                <w:w w:val="105"/>
                <w:sz w:val="19"/>
              </w:rPr>
              <w:t>2017/8/7</w:t>
            </w:r>
            <w:r>
              <w:rPr>
                <w:rFonts w:ascii="Times New Roman"/>
                <w:sz w:val="19"/>
              </w:rPr>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17"/>
              <w:jc w:val="right"/>
              <w:rPr>
                <w:rFonts w:ascii="Times New Roman" w:hAnsi="Times New Roman" w:cs="Times New Roman" w:eastAsia="Times New Roman" w:hint="default"/>
                <w:sz w:val="19"/>
                <w:szCs w:val="19"/>
              </w:rPr>
            </w:pPr>
            <w:r>
              <w:rPr>
                <w:rFonts w:ascii="Times New Roman"/>
                <w:sz w:val="19"/>
              </w:rPr>
              <w:t>2019/8/20</w:t>
            </w:r>
          </w:p>
        </w:tc>
      </w:tr>
      <w:tr>
        <w:trPr>
          <w:trHeight w:val="420"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9" w:right="0"/>
              <w:jc w:val="center"/>
              <w:rPr>
                <w:rFonts w:ascii="宋体" w:hAnsi="宋体" w:cs="宋体" w:eastAsia="宋体" w:hint="default"/>
                <w:sz w:val="19"/>
                <w:szCs w:val="19"/>
              </w:rPr>
            </w:pPr>
            <w:r>
              <w:rPr>
                <w:rFonts w:ascii="宋体"/>
                <w:spacing w:val="6"/>
                <w:w w:val="105"/>
                <w:sz w:val="19"/>
              </w:rPr>
              <w:t>17</w:t>
            </w:r>
            <w:r>
              <w:rPr>
                <w:rFonts w:ascii="宋体"/>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4"/>
                <w:w w:val="105"/>
                <w:sz w:val="19"/>
                <w:szCs w:val="19"/>
              </w:rPr>
              <w:t>一种支持高速数据通讯的读卡器及其工作方法</w:t>
            </w:r>
            <w:r>
              <w:rPr>
                <w:rFonts w:ascii="宋体" w:hAnsi="宋体" w:cs="宋体" w:eastAsia="宋体" w:hint="default"/>
                <w:spacing w:val="4"/>
                <w:sz w:val="19"/>
                <w:szCs w:val="19"/>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
              <w:jc w:val="center"/>
              <w:rPr>
                <w:rFonts w:ascii="宋体" w:hAnsi="宋体" w:cs="宋体" w:eastAsia="宋体" w:hint="default"/>
                <w:sz w:val="19"/>
                <w:szCs w:val="19"/>
              </w:rPr>
            </w:pPr>
            <w:r>
              <w:rPr>
                <w:rFonts w:ascii="宋体"/>
                <w:w w:val="105"/>
                <w:sz w:val="19"/>
              </w:rPr>
              <w:t>US10,402,599</w:t>
            </w:r>
            <w:r>
              <w:rPr>
                <w:rFonts w:ascii="宋体"/>
                <w:sz w:val="19"/>
              </w:rPr>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3"/>
              <w:jc w:val="center"/>
              <w:rPr>
                <w:rFonts w:ascii="宋体" w:hAnsi="宋体" w:cs="宋体" w:eastAsia="宋体" w:hint="default"/>
                <w:sz w:val="19"/>
                <w:szCs w:val="19"/>
              </w:rPr>
            </w:pPr>
            <w:r>
              <w:rPr>
                <w:rFonts w:ascii="宋体"/>
                <w:spacing w:val="2"/>
                <w:w w:val="105"/>
                <w:sz w:val="19"/>
              </w:rPr>
              <w:t>2017/1/25</w:t>
            </w:r>
            <w:r>
              <w:rPr>
                <w:rFonts w:ascii="宋体"/>
                <w:spacing w:val="2"/>
                <w:sz w:val="19"/>
              </w:rPr>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03"/>
              <w:jc w:val="right"/>
              <w:rPr>
                <w:rFonts w:ascii="宋体" w:hAnsi="宋体" w:cs="宋体" w:eastAsia="宋体" w:hint="default"/>
                <w:sz w:val="19"/>
                <w:szCs w:val="19"/>
              </w:rPr>
            </w:pPr>
            <w:r>
              <w:rPr>
                <w:rFonts w:ascii="宋体"/>
                <w:sz w:val="19"/>
              </w:rPr>
              <w:t>2019/9/3</w:t>
            </w:r>
          </w:p>
        </w:tc>
      </w:tr>
      <w:tr>
        <w:trPr>
          <w:trHeight w:val="751"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9" w:right="0"/>
              <w:jc w:val="center"/>
              <w:rPr>
                <w:rFonts w:ascii="宋体" w:hAnsi="宋体" w:cs="宋体" w:eastAsia="宋体" w:hint="default"/>
                <w:sz w:val="19"/>
                <w:szCs w:val="19"/>
              </w:rPr>
            </w:pPr>
            <w:r>
              <w:rPr>
                <w:rFonts w:ascii="宋体"/>
                <w:spacing w:val="6"/>
                <w:w w:val="105"/>
                <w:sz w:val="19"/>
              </w:rPr>
              <w:t>18</w:t>
            </w:r>
            <w:r>
              <w:rPr>
                <w:rFonts w:ascii="宋体"/>
                <w:sz w:val="19"/>
              </w:rPr>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63"/>
              <w:ind w:right="15"/>
              <w:jc w:val="left"/>
              <w:rPr>
                <w:rFonts w:ascii="宋体" w:hAnsi="宋体" w:cs="宋体" w:eastAsia="宋体" w:hint="default"/>
                <w:sz w:val="19"/>
                <w:szCs w:val="19"/>
              </w:rPr>
            </w:pPr>
            <w:r>
              <w:rPr>
                <w:rFonts w:ascii="宋体" w:hAnsi="宋体" w:cs="宋体" w:eastAsia="宋体" w:hint="default"/>
                <w:spacing w:val="10"/>
                <w:sz w:val="19"/>
                <w:szCs w:val="19"/>
              </w:rPr>
              <w:t>一种实现智能密钥装置与移动设备进行蓝牙绑定的</w:t>
            </w:r>
            <w:r>
              <w:rPr>
                <w:rFonts w:ascii="宋体" w:hAnsi="宋体" w:cs="宋体" w:eastAsia="宋体" w:hint="default"/>
                <w:spacing w:val="34"/>
                <w:sz w:val="19"/>
                <w:szCs w:val="19"/>
              </w:rPr>
              <w:t> </w:t>
            </w:r>
            <w:r>
              <w:rPr>
                <w:rFonts w:ascii="宋体" w:hAnsi="宋体" w:cs="宋体" w:eastAsia="宋体" w:hint="default"/>
                <w:spacing w:val="34"/>
                <w:sz w:val="19"/>
                <w:szCs w:val="19"/>
              </w:rPr>
            </w:r>
            <w:r>
              <w:rPr>
                <w:rFonts w:ascii="宋体" w:hAnsi="宋体" w:cs="宋体" w:eastAsia="宋体" w:hint="default"/>
                <w:w w:val="105"/>
                <w:sz w:val="19"/>
                <w:szCs w:val="19"/>
              </w:rPr>
              <w:t>方法</w:t>
            </w:r>
            <w:r>
              <w:rPr>
                <w:rFonts w:ascii="宋体" w:hAnsi="宋体" w:cs="宋体" w:eastAsia="宋体" w:hint="default"/>
                <w:sz w:val="19"/>
                <w:szCs w:val="19"/>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
              <w:jc w:val="center"/>
              <w:rPr>
                <w:rFonts w:ascii="宋体" w:hAnsi="宋体" w:cs="宋体" w:eastAsia="宋体" w:hint="default"/>
                <w:sz w:val="19"/>
                <w:szCs w:val="19"/>
              </w:rPr>
            </w:pPr>
            <w:r>
              <w:rPr>
                <w:rFonts w:ascii="宋体"/>
                <w:w w:val="105"/>
                <w:sz w:val="19"/>
              </w:rPr>
              <w:t>IDP000058251</w:t>
            </w:r>
            <w:r>
              <w:rPr>
                <w:rFonts w:ascii="宋体"/>
                <w:sz w:val="19"/>
              </w:rPr>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3"/>
              <w:jc w:val="center"/>
              <w:rPr>
                <w:rFonts w:ascii="宋体" w:hAnsi="宋体" w:cs="宋体" w:eastAsia="宋体" w:hint="default"/>
                <w:sz w:val="19"/>
                <w:szCs w:val="19"/>
              </w:rPr>
            </w:pPr>
            <w:r>
              <w:rPr>
                <w:rFonts w:ascii="宋体"/>
                <w:spacing w:val="2"/>
                <w:w w:val="105"/>
                <w:sz w:val="19"/>
              </w:rPr>
              <w:t>2015/9/16</w:t>
            </w:r>
            <w:r>
              <w:rPr>
                <w:rFonts w:ascii="宋体"/>
                <w:spacing w:val="2"/>
                <w:sz w:val="19"/>
              </w:rPr>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03"/>
              <w:jc w:val="right"/>
              <w:rPr>
                <w:rFonts w:ascii="宋体" w:hAnsi="宋体" w:cs="宋体" w:eastAsia="宋体" w:hint="default"/>
                <w:sz w:val="19"/>
                <w:szCs w:val="19"/>
              </w:rPr>
            </w:pPr>
            <w:r>
              <w:rPr>
                <w:rFonts w:ascii="宋体"/>
                <w:sz w:val="19"/>
              </w:rPr>
              <w:t>2019/5/2</w:t>
            </w:r>
          </w:p>
        </w:tc>
      </w:tr>
      <w:tr>
        <w:trPr>
          <w:trHeight w:val="420"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19</w:t>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一种基于卡片的动态口令生成方法及设备</w:t>
            </w:r>
            <w:r>
              <w:rPr>
                <w:rFonts w:ascii="宋体" w:hAnsi="宋体" w:cs="宋体" w:eastAsia="宋体" w:hint="default"/>
                <w:spacing w:val="3"/>
                <w:sz w:val="19"/>
                <w:szCs w:val="19"/>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8"/>
              <w:jc w:val="center"/>
              <w:rPr>
                <w:rFonts w:ascii="Times New Roman" w:hAnsi="Times New Roman" w:cs="Times New Roman" w:eastAsia="Times New Roman" w:hint="default"/>
                <w:sz w:val="19"/>
                <w:szCs w:val="19"/>
              </w:rPr>
            </w:pPr>
            <w:r>
              <w:rPr>
                <w:rFonts w:ascii="Times New Roman"/>
                <w:w w:val="105"/>
                <w:sz w:val="19"/>
              </w:rPr>
              <w:t>US10,397,200</w:t>
            </w:r>
            <w:r>
              <w:rPr>
                <w:rFonts w:ascii="Times New Roman"/>
                <w:sz w:val="19"/>
              </w:rPr>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3"/>
              <w:jc w:val="center"/>
              <w:rPr>
                <w:rFonts w:ascii="Times New Roman" w:hAnsi="Times New Roman" w:cs="Times New Roman" w:eastAsia="Times New Roman" w:hint="default"/>
                <w:sz w:val="19"/>
                <w:szCs w:val="19"/>
              </w:rPr>
            </w:pPr>
            <w:r>
              <w:rPr>
                <w:rFonts w:ascii="Times New Roman"/>
                <w:w w:val="105"/>
                <w:sz w:val="19"/>
              </w:rPr>
              <w:t>2015/11/23</w:t>
            </w:r>
            <w:r>
              <w:rPr>
                <w:rFonts w:ascii="Times New Roman"/>
                <w:sz w:val="19"/>
              </w:rPr>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17"/>
              <w:jc w:val="right"/>
              <w:rPr>
                <w:rFonts w:ascii="Times New Roman" w:hAnsi="Times New Roman" w:cs="Times New Roman" w:eastAsia="Times New Roman" w:hint="default"/>
                <w:sz w:val="19"/>
                <w:szCs w:val="19"/>
              </w:rPr>
            </w:pPr>
            <w:r>
              <w:rPr>
                <w:rFonts w:ascii="Times New Roman"/>
                <w:sz w:val="19"/>
              </w:rPr>
              <w:t>2019/8/27</w:t>
            </w:r>
          </w:p>
        </w:tc>
      </w:tr>
      <w:tr>
        <w:trPr>
          <w:trHeight w:val="435"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20</w:t>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left"/>
              <w:rPr>
                <w:rFonts w:ascii="宋体" w:hAnsi="宋体" w:cs="宋体" w:eastAsia="宋体" w:hint="default"/>
                <w:sz w:val="19"/>
                <w:szCs w:val="19"/>
              </w:rPr>
            </w:pPr>
            <w:r>
              <w:rPr>
                <w:rFonts w:ascii="宋体" w:hAnsi="宋体" w:cs="宋体" w:eastAsia="宋体" w:hint="default"/>
                <w:spacing w:val="3"/>
                <w:w w:val="105"/>
                <w:sz w:val="19"/>
                <w:szCs w:val="19"/>
              </w:rPr>
              <w:t>一种电池以及包含该电池的电子设备</w:t>
            </w:r>
            <w:r>
              <w:rPr>
                <w:rFonts w:ascii="宋体" w:hAnsi="宋体" w:cs="宋体" w:eastAsia="宋体" w:hint="default"/>
                <w:spacing w:val="3"/>
                <w:sz w:val="19"/>
                <w:szCs w:val="19"/>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8"/>
              <w:jc w:val="center"/>
              <w:rPr>
                <w:rFonts w:ascii="Times New Roman" w:hAnsi="Times New Roman" w:cs="Times New Roman" w:eastAsia="Times New Roman" w:hint="default"/>
                <w:sz w:val="19"/>
                <w:szCs w:val="19"/>
              </w:rPr>
            </w:pPr>
            <w:r>
              <w:rPr>
                <w:rFonts w:ascii="Times New Roman"/>
                <w:w w:val="105"/>
                <w:sz w:val="19"/>
              </w:rPr>
              <w:t>US10,462,916</w:t>
            </w:r>
            <w:r>
              <w:rPr>
                <w:rFonts w:ascii="Times New Roman"/>
                <w:sz w:val="19"/>
              </w:rPr>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37"/>
              <w:jc w:val="center"/>
              <w:rPr>
                <w:rFonts w:ascii="Times New Roman" w:hAnsi="Times New Roman" w:cs="Times New Roman" w:eastAsia="Times New Roman" w:hint="default"/>
                <w:sz w:val="19"/>
                <w:szCs w:val="19"/>
              </w:rPr>
            </w:pPr>
            <w:r>
              <w:rPr>
                <w:rFonts w:ascii="Times New Roman"/>
                <w:w w:val="105"/>
                <w:sz w:val="19"/>
              </w:rPr>
              <w:t>2016/3/10</w:t>
            </w:r>
            <w:r>
              <w:rPr>
                <w:rFonts w:ascii="Times New Roman"/>
                <w:sz w:val="19"/>
              </w:rPr>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58"/>
              <w:jc w:val="right"/>
              <w:rPr>
                <w:rFonts w:ascii="Times New Roman" w:hAnsi="Times New Roman" w:cs="Times New Roman" w:eastAsia="Times New Roman" w:hint="default"/>
                <w:sz w:val="19"/>
                <w:szCs w:val="19"/>
              </w:rPr>
            </w:pPr>
            <w:r>
              <w:rPr>
                <w:rFonts w:ascii="Times New Roman"/>
                <w:sz w:val="19"/>
              </w:rPr>
              <w:t>2019/10/29</w:t>
            </w:r>
          </w:p>
        </w:tc>
      </w:tr>
      <w:tr>
        <w:trPr>
          <w:trHeight w:val="736"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21</w:t>
            </w:r>
          </w:p>
        </w:tc>
        <w:tc>
          <w:tcPr>
            <w:tcW w:w="456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8"/>
              <w:ind w:right="15"/>
              <w:jc w:val="left"/>
              <w:rPr>
                <w:rFonts w:ascii="宋体" w:hAnsi="宋体" w:cs="宋体" w:eastAsia="宋体" w:hint="default"/>
                <w:sz w:val="19"/>
                <w:szCs w:val="19"/>
              </w:rPr>
            </w:pPr>
            <w:r>
              <w:rPr>
                <w:rFonts w:ascii="宋体" w:hAnsi="宋体" w:cs="宋体" w:eastAsia="宋体" w:hint="default"/>
                <w:spacing w:val="10"/>
                <w:sz w:val="19"/>
                <w:szCs w:val="19"/>
              </w:rPr>
              <w:t>一种具有显示功能的电池以及包含该电池的电子设</w:t>
            </w:r>
            <w:r>
              <w:rPr>
                <w:rFonts w:ascii="宋体" w:hAnsi="宋体" w:cs="宋体" w:eastAsia="宋体" w:hint="default"/>
                <w:spacing w:val="34"/>
                <w:sz w:val="19"/>
                <w:szCs w:val="19"/>
              </w:rPr>
              <w:t> </w:t>
            </w:r>
            <w:r>
              <w:rPr>
                <w:rFonts w:ascii="宋体" w:hAnsi="宋体" w:cs="宋体" w:eastAsia="宋体" w:hint="default"/>
                <w:spacing w:val="34"/>
                <w:sz w:val="19"/>
                <w:szCs w:val="19"/>
              </w:rPr>
            </w:r>
            <w:r>
              <w:rPr>
                <w:rFonts w:ascii="宋体" w:hAnsi="宋体" w:cs="宋体" w:eastAsia="宋体" w:hint="default"/>
                <w:w w:val="105"/>
                <w:sz w:val="19"/>
                <w:szCs w:val="19"/>
              </w:rPr>
              <w:t>备</w:t>
            </w:r>
            <w:r>
              <w:rPr>
                <w:rFonts w:ascii="宋体" w:hAnsi="宋体" w:cs="宋体" w:eastAsia="宋体" w:hint="default"/>
                <w:sz w:val="19"/>
                <w:szCs w:val="19"/>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8"/>
              <w:jc w:val="center"/>
              <w:rPr>
                <w:rFonts w:ascii="Times New Roman" w:hAnsi="Times New Roman" w:cs="Times New Roman" w:eastAsia="Times New Roman" w:hint="default"/>
                <w:sz w:val="19"/>
                <w:szCs w:val="19"/>
              </w:rPr>
            </w:pPr>
            <w:r>
              <w:rPr>
                <w:rFonts w:ascii="Times New Roman"/>
                <w:w w:val="105"/>
                <w:sz w:val="19"/>
              </w:rPr>
              <w:t>US10,511,064</w:t>
            </w:r>
            <w:r>
              <w:rPr>
                <w:rFonts w:ascii="Times New Roman"/>
                <w:sz w:val="19"/>
              </w:rPr>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37"/>
              <w:jc w:val="center"/>
              <w:rPr>
                <w:rFonts w:ascii="Times New Roman" w:hAnsi="Times New Roman" w:cs="Times New Roman" w:eastAsia="Times New Roman" w:hint="default"/>
                <w:sz w:val="19"/>
                <w:szCs w:val="19"/>
              </w:rPr>
            </w:pPr>
            <w:r>
              <w:rPr>
                <w:rFonts w:ascii="Times New Roman"/>
                <w:w w:val="105"/>
                <w:sz w:val="19"/>
              </w:rPr>
              <w:t>2016/12/6</w:t>
            </w:r>
            <w:r>
              <w:rPr>
                <w:rFonts w:ascii="Times New Roman"/>
                <w:sz w:val="19"/>
              </w:rPr>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58"/>
              <w:jc w:val="right"/>
              <w:rPr>
                <w:rFonts w:ascii="Times New Roman" w:hAnsi="Times New Roman" w:cs="Times New Roman" w:eastAsia="Times New Roman" w:hint="default"/>
                <w:sz w:val="19"/>
                <w:szCs w:val="19"/>
              </w:rPr>
            </w:pPr>
            <w:r>
              <w:rPr>
                <w:rFonts w:ascii="Times New Roman"/>
                <w:sz w:val="19"/>
              </w:rPr>
              <w:t>2019/12/17</w:t>
            </w:r>
          </w:p>
        </w:tc>
      </w:tr>
    </w:tbl>
    <w:p>
      <w:pPr>
        <w:spacing w:after="0" w:line="240" w:lineRule="auto"/>
        <w:jc w:val="right"/>
        <w:rPr>
          <w:rFonts w:ascii="Times New Roman" w:hAnsi="Times New Roman" w:cs="Times New Roman" w:eastAsia="Times New Roman" w:hint="default"/>
          <w:sz w:val="19"/>
          <w:szCs w:val="19"/>
        </w:rPr>
        <w:sectPr>
          <w:pgSz w:w="11910" w:h="16850"/>
          <w:pgMar w:header="731" w:footer="981" w:top="1040" w:bottom="1180" w:left="100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4"/>
          <w:szCs w:val="24"/>
        </w:rPr>
      </w:pPr>
    </w:p>
    <w:p>
      <w:pPr>
        <w:pStyle w:val="Heading1"/>
        <w:spacing w:line="240" w:lineRule="auto"/>
        <w:ind w:left="3040" w:right="1100"/>
        <w:jc w:val="left"/>
        <w:rPr>
          <w:b w:val="0"/>
          <w:bCs w:val="0"/>
        </w:rPr>
      </w:pPr>
      <w:bookmarkStart w:name="第四节经营情况讨论与分析" w:id="22"/>
      <w:bookmarkEnd w:id="22"/>
      <w:r>
        <w:rPr>
          <w:b w:val="0"/>
          <w:bCs w:val="0"/>
        </w:rPr>
      </w:r>
      <w:bookmarkStart w:name="_bookmark3" w:id="23"/>
      <w:bookmarkEnd w:id="23"/>
      <w:r>
        <w:rPr>
          <w:b w:val="0"/>
          <w:bCs w:val="0"/>
        </w:rPr>
      </w:r>
      <w:r>
        <w:rPr>
          <w:spacing w:val="5"/>
        </w:rPr>
        <w:t>第四节经营情况讨论与分析</w:t>
      </w:r>
      <w:r>
        <w:rPr>
          <w:b w:val="0"/>
          <w:bCs w:val="0"/>
          <w:spacing w:val="5"/>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pStyle w:val="Heading2"/>
        <w:spacing w:line="240" w:lineRule="auto" w:before="26"/>
        <w:ind w:right="1100"/>
        <w:jc w:val="left"/>
        <w:rPr>
          <w:b w:val="0"/>
          <w:bCs w:val="0"/>
        </w:rPr>
      </w:pPr>
      <w:bookmarkStart w:name="一、概述" w:id="24"/>
      <w:bookmarkEnd w:id="24"/>
      <w:r>
        <w:rPr>
          <w:b w:val="0"/>
          <w:bCs w:val="0"/>
        </w:rPr>
      </w:r>
      <w:r>
        <w:rPr/>
        <w:t>一、概述</w:t>
      </w:r>
      <w:r>
        <w:rPr>
          <w:b w:val="0"/>
          <w:bCs w:val="0"/>
        </w:rPr>
      </w:r>
    </w:p>
    <w:p>
      <w:pPr>
        <w:spacing w:line="240" w:lineRule="auto" w:before="4"/>
        <w:rPr>
          <w:rFonts w:ascii="宋体" w:hAnsi="宋体" w:cs="宋体" w:eastAsia="宋体" w:hint="default"/>
          <w:b/>
          <w:bCs/>
          <w:sz w:val="27"/>
          <w:szCs w:val="27"/>
        </w:rPr>
      </w:pPr>
    </w:p>
    <w:p>
      <w:pPr>
        <w:pStyle w:val="BodyText"/>
        <w:spacing w:line="288" w:lineRule="auto"/>
        <w:ind w:right="1104" w:firstLine="360"/>
        <w:jc w:val="left"/>
      </w:pPr>
      <w:r>
        <w:rPr/>
        <w:t>报告期内公司实现营业收入</w:t>
      </w:r>
      <w:r>
        <w:rPr>
          <w:rFonts w:ascii="Times New Roman" w:hAnsi="Times New Roman" w:cs="Times New Roman" w:eastAsia="Times New Roman" w:hint="default"/>
        </w:rPr>
        <w:t>93,962.05</w:t>
      </w:r>
      <w:r>
        <w:rPr/>
        <w:t>万元，较去年同期减少</w:t>
      </w:r>
      <w:r>
        <w:rPr>
          <w:rFonts w:ascii="Times New Roman" w:hAnsi="Times New Roman" w:cs="Times New Roman" w:eastAsia="Times New Roman" w:hint="default"/>
        </w:rPr>
        <w:t>12.33%</w:t>
      </w:r>
      <w:r>
        <w:rPr/>
        <w:t>；归属于上市公司股东的净利润</w:t>
      </w:r>
      <w:r>
        <w:rPr>
          <w:rFonts w:ascii="Times New Roman" w:hAnsi="Times New Roman" w:cs="Times New Roman" w:eastAsia="Times New Roman" w:hint="default"/>
        </w:rPr>
        <w:t>9,023.43</w:t>
      </w:r>
      <w:r>
        <w:rPr/>
        <w:t>万元，较去 年同期减少</w:t>
      </w:r>
      <w:r>
        <w:rPr>
          <w:rFonts w:ascii="Times New Roman" w:hAnsi="Times New Roman" w:cs="Times New Roman" w:eastAsia="Times New Roman" w:hint="default"/>
        </w:rPr>
        <w:t>32.29%</w:t>
      </w:r>
      <w:r>
        <w:rPr/>
        <w:t>。</w:t>
      </w:r>
    </w:p>
    <w:p>
      <w:pPr>
        <w:pStyle w:val="BodyText"/>
        <w:spacing w:line="240" w:lineRule="auto" w:before="26"/>
        <w:ind w:left="501" w:right="1100"/>
        <w:jc w:val="left"/>
        <w:rPr>
          <w:rFonts w:ascii="Times New Roman" w:hAnsi="Times New Roman" w:cs="Times New Roman" w:eastAsia="Times New Roman" w:hint="default"/>
        </w:rPr>
      </w:pPr>
      <w:r>
        <w:rPr/>
        <w:t>报告期内，利润变化的主要原因为公司的主要银行客户的需求出现了较大幅度的下降，导致公司的主营产品</w:t>
      </w:r>
      <w:r>
        <w:rPr>
          <w:rFonts w:ascii="Times New Roman" w:hAnsi="Times New Roman" w:cs="Times New Roman" w:eastAsia="Times New Roman" w:hint="default"/>
        </w:rPr>
        <w:t>USB</w:t>
      </w:r>
      <w:r>
        <w:rPr>
          <w:rFonts w:ascii="Times New Roman" w:hAnsi="Times New Roman" w:cs="Times New Roman" w:eastAsia="Times New Roman" w:hint="default"/>
          <w:spacing w:val="1"/>
        </w:rPr>
        <w:t> </w:t>
      </w:r>
      <w:r>
        <w:rPr>
          <w:rFonts w:ascii="Times New Roman" w:hAnsi="Times New Roman" w:cs="Times New Roman" w:eastAsia="Times New Roman" w:hint="default"/>
        </w:rPr>
        <w:t>Key</w:t>
      </w:r>
    </w:p>
    <w:p>
      <w:pPr>
        <w:spacing w:line="312" w:lineRule="auto" w:before="51"/>
        <w:ind w:left="501" w:right="6789" w:hanging="361"/>
        <w:jc w:val="left"/>
        <w:rPr>
          <w:rFonts w:ascii="宋体" w:hAnsi="宋体" w:cs="宋体" w:eastAsia="宋体" w:hint="default"/>
          <w:sz w:val="18"/>
          <w:szCs w:val="18"/>
        </w:rPr>
      </w:pPr>
      <w:r>
        <w:rPr>
          <w:rFonts w:ascii="宋体" w:hAnsi="宋体" w:cs="宋体" w:eastAsia="宋体" w:hint="default"/>
          <w:sz w:val="18"/>
          <w:szCs w:val="18"/>
        </w:rPr>
        <w:t>和动态令牌的利润下降较多。 </w:t>
      </w:r>
      <w:r>
        <w:rPr>
          <w:rFonts w:ascii="Times New Roman" w:hAnsi="Times New Roman" w:cs="Times New Roman" w:eastAsia="Times New Roman" w:hint="default"/>
          <w:sz w:val="18"/>
          <w:szCs w:val="18"/>
        </w:rPr>
        <w:t>2019</w:t>
      </w:r>
      <w:r>
        <w:rPr>
          <w:rFonts w:ascii="宋体" w:hAnsi="宋体" w:cs="宋体" w:eastAsia="宋体" w:hint="default"/>
          <w:sz w:val="18"/>
          <w:szCs w:val="18"/>
        </w:rPr>
        <w:t>年报告期内，公司重点开展了以下工作： </w:t>
      </w:r>
      <w:r>
        <w:rPr>
          <w:rFonts w:ascii="宋体" w:hAnsi="宋体" w:cs="宋体" w:eastAsia="宋体" w:hint="default"/>
          <w:b/>
          <w:bCs/>
          <w:sz w:val="18"/>
          <w:szCs w:val="18"/>
        </w:rPr>
        <w:t>一、服务为本，巩固原有产品市场</w:t>
      </w:r>
      <w:r>
        <w:rPr>
          <w:rFonts w:ascii="宋体" w:hAnsi="宋体" w:cs="宋体" w:eastAsia="宋体" w:hint="default"/>
          <w:sz w:val="18"/>
          <w:szCs w:val="18"/>
        </w:rPr>
      </w:r>
    </w:p>
    <w:p>
      <w:pPr>
        <w:pStyle w:val="BodyText"/>
        <w:spacing w:line="240" w:lineRule="auto" w:before="11"/>
        <w:ind w:left="501" w:right="1100"/>
        <w:jc w:val="left"/>
      </w:pPr>
      <w:r>
        <w:rPr/>
        <w:t>秉承诚信务实的理念，飞天诚信持续为客户提供安全可靠的产品和解决方案。</w:t>
      </w:r>
    </w:p>
    <w:p>
      <w:pPr>
        <w:pStyle w:val="BodyText"/>
        <w:spacing w:line="304" w:lineRule="auto" w:before="94"/>
        <w:ind w:right="1118" w:firstLine="360"/>
        <w:jc w:val="both"/>
        <w:rPr>
          <w:rFonts w:ascii="Times New Roman" w:hAnsi="Times New Roman" w:cs="Times New Roman" w:eastAsia="Times New Roman" w:hint="default"/>
        </w:rPr>
      </w:pPr>
      <w:r>
        <w:rPr>
          <w:rFonts w:ascii="Times New Roman" w:hAnsi="Times New Roman" w:cs="Times New Roman" w:eastAsia="Times New Roman" w:hint="default"/>
          <w:spacing w:val="-2"/>
        </w:rPr>
        <w:t>2019</w:t>
      </w:r>
      <w:r>
        <w:rPr>
          <w:spacing w:val="-2"/>
        </w:rPr>
        <w:t>年，公司</w:t>
      </w:r>
      <w:r>
        <w:rPr>
          <w:rFonts w:ascii="Times New Roman" w:hAnsi="Times New Roman" w:cs="Times New Roman" w:eastAsia="Times New Roman" w:hint="default"/>
          <w:spacing w:val="-2"/>
        </w:rPr>
        <w:t>USB</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1"/>
        </w:rPr>
        <w:t>Key</w:t>
      </w:r>
      <w:r>
        <w:rPr>
          <w:spacing w:val="-1"/>
        </w:rPr>
        <w:t>产品中标上海浦东发展银行股份有限公司、中国光大银股份有限公司等采购项目；二代可视按键</w:t>
      </w:r>
      <w:r>
        <w:rPr/>
        <w:t> </w:t>
      </w:r>
      <w:r>
        <w:rPr>
          <w:rFonts w:ascii="Times New Roman" w:hAnsi="Times New Roman" w:cs="Times New Roman" w:eastAsia="Times New Roman" w:hint="default"/>
        </w:rPr>
        <w:t>Key</w:t>
      </w:r>
      <w:r>
        <w:rPr/>
        <w:t>产品中标东营银行股份有限公司采购项目；蓝牙</w:t>
      </w:r>
      <w:r>
        <w:rPr>
          <w:rFonts w:ascii="Times New Roman" w:hAnsi="Times New Roman" w:cs="Times New Roman" w:eastAsia="Times New Roman" w:hint="default"/>
        </w:rPr>
        <w:t>Key</w:t>
      </w:r>
      <w:r>
        <w:rPr/>
        <w:t>产品中标四川省农村信用社联合社采购项目；</w:t>
      </w:r>
      <w:r>
        <w:rPr>
          <w:rFonts w:ascii="Times New Roman" w:hAnsi="Times New Roman" w:cs="Times New Roman" w:eastAsia="Times New Roman" w:hint="default"/>
        </w:rPr>
        <w:t>OTP</w:t>
      </w:r>
      <w:r>
        <w:rPr/>
        <w:t>动态令牌产品中</w:t>
      </w:r>
      <w:r>
        <w:rPr>
          <w:spacing w:val="-66"/>
        </w:rPr>
        <w:t> </w:t>
      </w:r>
      <w:r>
        <w:rPr/>
        <w:t>标交通银行股份有限公司内蒙古自治区分行采购项目</w:t>
      </w:r>
      <w:r>
        <w:rPr>
          <w:rFonts w:ascii="Times New Roman" w:hAnsi="Times New Roman" w:cs="Times New Roman" w:eastAsia="Times New Roman" w:hint="default"/>
        </w:rPr>
        <w:t>……</w:t>
      </w:r>
    </w:p>
    <w:p>
      <w:pPr>
        <w:pStyle w:val="BodyText"/>
        <w:spacing w:line="276" w:lineRule="auto" w:before="12"/>
        <w:ind w:right="1098" w:firstLine="360"/>
        <w:jc w:val="left"/>
      </w:pPr>
      <w:r>
        <w:rPr/>
        <w:t>虽然公司竭力巩固原有产品市场，但随着去介质化进程加快，传统产品如</w:t>
      </w:r>
      <w:r>
        <w:rPr>
          <w:rFonts w:ascii="Times New Roman" w:hAnsi="Times New Roman" w:cs="Times New Roman" w:eastAsia="Times New Roman" w:hint="default"/>
        </w:rPr>
        <w:t>USBKey</w:t>
      </w:r>
      <w:r>
        <w:rPr/>
        <w:t>、动态令牌产品出现了价量齐跌、营 业收入下降较多。</w:t>
      </w:r>
    </w:p>
    <w:p>
      <w:pPr>
        <w:pStyle w:val="BodyText"/>
        <w:spacing w:line="295" w:lineRule="auto" w:before="67"/>
        <w:ind w:right="1142" w:firstLine="360"/>
        <w:jc w:val="left"/>
      </w:pPr>
      <w:r>
        <w:rPr/>
        <w:t>在智能卡产品领域，飞天诚信作为后进来者，从助力光大银行发行全球首张万事达动态</w:t>
      </w:r>
      <w:r>
        <w:rPr>
          <w:rFonts w:ascii="Times New Roman" w:hAnsi="Times New Roman" w:cs="Times New Roman" w:eastAsia="Times New Roman" w:hint="default"/>
        </w:rPr>
        <w:t>CVC</w:t>
      </w:r>
      <w:r>
        <w:rPr/>
        <w:t>卡，到智能卡操作系统平 台</w:t>
      </w:r>
      <w:r>
        <w:rPr>
          <w:rFonts w:ascii="Times New Roman" w:hAnsi="Times New Roman" w:cs="Times New Roman" w:eastAsia="Times New Roman" w:hint="default"/>
        </w:rPr>
        <w:t>FT-JCOS</w:t>
      </w:r>
      <w:r>
        <w:rPr/>
        <w:t>先后基于两款芯片获得国际</w:t>
      </w:r>
      <w:r>
        <w:rPr>
          <w:rFonts w:ascii="Times New Roman" w:hAnsi="Times New Roman" w:cs="Times New Roman" w:eastAsia="Times New Roman" w:hint="default"/>
        </w:rPr>
        <w:t>CC</w:t>
      </w:r>
      <w:r>
        <w:rPr>
          <w:rFonts w:ascii="Times New Roman" w:hAnsi="Times New Roman" w:cs="Times New Roman" w:eastAsia="Times New Roman" w:hint="default"/>
          <w:spacing w:val="-1"/>
        </w:rPr>
        <w:t> </w:t>
      </w:r>
      <w:r>
        <w:rPr>
          <w:rFonts w:ascii="Times New Roman" w:hAnsi="Times New Roman" w:cs="Times New Roman" w:eastAsia="Times New Roman" w:hint="default"/>
        </w:rPr>
        <w:t>EAL5+</w:t>
      </w:r>
      <w:r>
        <w:rPr/>
        <w:t>认证，再到蓝牙金融</w:t>
      </w:r>
      <w:r>
        <w:rPr>
          <w:rFonts w:ascii="Times New Roman" w:hAnsi="Times New Roman" w:cs="Times New Roman" w:eastAsia="Times New Roman" w:hint="default"/>
        </w:rPr>
        <w:t>IC</w:t>
      </w:r>
      <w:r>
        <w:rPr/>
        <w:t>卡一次性通过银行卡检测中心测试</w:t>
      </w:r>
      <w:r>
        <w:rPr>
          <w:rFonts w:ascii="MS Gothic" w:hAnsi="MS Gothic" w:cs="MS Gothic" w:eastAsia="MS Gothic" w:hint="default"/>
        </w:rPr>
        <w:t>・</w:t>
      </w:r>
      <w:r>
        <w:rPr/>
        <w:t>公司一步步扩 大智能卡产品领域，力争为客户提供更优质的产品、创造更高的价值。</w:t>
      </w:r>
    </w:p>
    <w:p>
      <w:pPr>
        <w:spacing w:line="304" w:lineRule="auto" w:before="38"/>
        <w:ind w:left="501" w:right="4809" w:firstLine="0"/>
        <w:jc w:val="left"/>
        <w:rPr>
          <w:rFonts w:ascii="宋体" w:hAnsi="宋体" w:cs="宋体" w:eastAsia="宋体" w:hint="default"/>
          <w:sz w:val="18"/>
          <w:szCs w:val="18"/>
        </w:rPr>
      </w:pPr>
      <w:r>
        <w:rPr>
          <w:rFonts w:ascii="宋体" w:hAnsi="宋体" w:cs="宋体" w:eastAsia="宋体" w:hint="default"/>
          <w:b/>
          <w:bCs/>
          <w:sz w:val="18"/>
          <w:szCs w:val="18"/>
        </w:rPr>
        <w:t>二、科技创新，力争多方位开拓市场</w:t>
      </w:r>
      <w:r>
        <w:rPr>
          <w:rFonts w:ascii="宋体" w:hAnsi="宋体" w:cs="宋体" w:eastAsia="宋体" w:hint="default"/>
          <w:b/>
          <w:bCs/>
          <w:spacing w:val="-88"/>
          <w:sz w:val="18"/>
          <w:szCs w:val="18"/>
        </w:rPr>
        <w:t> </w:t>
      </w:r>
      <w:r>
        <w:rPr>
          <w:rFonts w:ascii="宋体" w:hAnsi="宋体" w:cs="宋体" w:eastAsia="宋体" w:hint="default"/>
          <w:b/>
          <w:bCs/>
          <w:spacing w:val="-88"/>
          <w:sz w:val="18"/>
          <w:szCs w:val="18"/>
        </w:rPr>
      </w:r>
      <w:r>
        <w:rPr>
          <w:rFonts w:ascii="宋体" w:hAnsi="宋体" w:cs="宋体" w:eastAsia="宋体" w:hint="default"/>
          <w:sz w:val="18"/>
          <w:szCs w:val="18"/>
        </w:rPr>
        <w:t>飞天诚信凭借科技创新，不断探索多元产品，力争多方位地开拓市场。</w:t>
      </w:r>
    </w:p>
    <w:p>
      <w:pPr>
        <w:pStyle w:val="BodyText"/>
        <w:spacing w:line="297" w:lineRule="auto" w:before="46"/>
        <w:ind w:right="1035" w:firstLine="36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月，公司在美国正式发布了结合生物识别与蓝牙</w:t>
      </w:r>
      <w:r>
        <w:rPr>
          <w:rFonts w:ascii="Times New Roman" w:hAnsi="Times New Roman" w:cs="Times New Roman" w:eastAsia="Times New Roman" w:hint="default"/>
        </w:rPr>
        <w:t>/NFC</w:t>
      </w:r>
      <w:r>
        <w:rPr/>
        <w:t>和</w:t>
      </w:r>
      <w:r>
        <w:rPr>
          <w:rFonts w:ascii="Times New Roman" w:hAnsi="Times New Roman" w:cs="Times New Roman" w:eastAsia="Times New Roman" w:hint="default"/>
        </w:rPr>
        <w:t>USB</w:t>
      </w:r>
      <w:r>
        <w:rPr/>
        <w:t>的</w:t>
      </w:r>
      <w:r>
        <w:rPr>
          <w:rFonts w:ascii="Times New Roman" w:hAnsi="Times New Roman" w:cs="Times New Roman" w:eastAsia="Times New Roman" w:hint="default"/>
        </w:rPr>
        <w:t>AllinPass Security</w:t>
      </w:r>
      <w:r>
        <w:rPr>
          <w:rFonts w:ascii="Times New Roman" w:hAnsi="Times New Roman" w:cs="Times New Roman" w:eastAsia="Times New Roman" w:hint="default"/>
          <w:spacing w:val="11"/>
        </w:rPr>
        <w:t> </w:t>
      </w:r>
      <w:r>
        <w:rPr>
          <w:rFonts w:ascii="Times New Roman" w:hAnsi="Times New Roman" w:cs="Times New Roman" w:eastAsia="Times New Roman" w:hint="default"/>
        </w:rPr>
        <w:t>Key</w:t>
      </w:r>
      <w:r>
        <w:rPr/>
        <w:t>，是公司</w:t>
      </w:r>
      <w:r>
        <w:rPr>
          <w:rFonts w:ascii="Times New Roman" w:hAnsi="Times New Roman" w:cs="Times New Roman" w:eastAsia="Times New Roman" w:hint="default"/>
        </w:rPr>
        <w:t>18</w:t>
      </w:r>
      <w:r>
        <w:rPr/>
        <w:t>款已通过</w:t>
      </w:r>
      <w:r>
        <w:rPr>
          <w:rFonts w:ascii="Times New Roman" w:hAnsi="Times New Roman" w:cs="Times New Roman" w:eastAsia="Times New Roman" w:hint="default"/>
        </w:rPr>
        <w:t>FIDO</w:t>
      </w:r>
      <w:r>
        <w:rPr>
          <w:rFonts w:ascii="Times New Roman" w:hAnsi="Times New Roman" w:cs="Times New Roman" w:eastAsia="Times New Roman" w:hint="default"/>
          <w:w w:val="99"/>
        </w:rPr>
        <w:t> </w:t>
      </w:r>
      <w:r>
        <w:rPr/>
        <w:t>认证产品的新增产品。飞天诚信的</w:t>
      </w:r>
      <w:r>
        <w:rPr>
          <w:rFonts w:ascii="Times New Roman" w:hAnsi="Times New Roman" w:cs="Times New Roman" w:eastAsia="Times New Roman" w:hint="default"/>
        </w:rPr>
        <w:t>FIDO</w:t>
      </w:r>
      <w:r>
        <w:rPr/>
        <w:t>产品线在开发的时候就已经与微软展开了紧密的合作，与微软的</w:t>
      </w:r>
      <w:r>
        <w:rPr>
          <w:rFonts w:ascii="Times New Roman" w:hAnsi="Times New Roman" w:cs="Times New Roman" w:eastAsia="Times New Roman" w:hint="default"/>
        </w:rPr>
        <w:t>Windows </w:t>
      </w:r>
      <w:r>
        <w:rPr>
          <w:rFonts w:ascii="Times New Roman" w:hAnsi="Times New Roman" w:cs="Times New Roman" w:eastAsia="Times New Roman" w:hint="default"/>
          <w:spacing w:val="-3"/>
        </w:rPr>
        <w:t>Hello </w:t>
      </w:r>
      <w:r>
        <w:rPr>
          <w:rFonts w:ascii="Times New Roman" w:hAnsi="Times New Roman" w:cs="Times New Roman" w:eastAsia="Times New Roman" w:hint="default"/>
        </w:rPr>
        <w:t>for</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19"/>
        </w:rPr>
      </w:r>
      <w:r>
        <w:rPr>
          <w:rFonts w:ascii="Times New Roman" w:hAnsi="Times New Roman" w:cs="Times New Roman" w:eastAsia="Times New Roman" w:hint="default"/>
        </w:rPr>
        <w:t>Business</w:t>
      </w:r>
      <w:r>
        <w:rPr/>
        <w:t>以及</w:t>
      </w:r>
      <w:r>
        <w:rPr>
          <w:rFonts w:ascii="Times New Roman" w:hAnsi="Times New Roman" w:cs="Times New Roman" w:eastAsia="Times New Roman" w:hint="default"/>
        </w:rPr>
        <w:t>Azure</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2"/>
        </w:rPr>
        <w:t>Active</w:t>
      </w:r>
      <w:r>
        <w:rPr>
          <w:rFonts w:ascii="Times New Roman" w:hAnsi="Times New Roman" w:cs="Times New Roman" w:eastAsia="Times New Roman" w:hint="default"/>
          <w:spacing w:val="8"/>
        </w:rPr>
        <w:t> </w:t>
      </w:r>
      <w:r>
        <w:rPr>
          <w:rFonts w:ascii="Times New Roman" w:hAnsi="Times New Roman" w:cs="Times New Roman" w:eastAsia="Times New Roman" w:hint="default"/>
        </w:rPr>
        <w:t>Directory</w:t>
      </w:r>
      <w:r>
        <w:rPr/>
        <w:t>产品实现了无缝衔接，能够给企业带来更低的</w:t>
      </w:r>
      <w:r>
        <w:rPr>
          <w:rFonts w:ascii="Times New Roman" w:hAnsi="Times New Roman" w:cs="Times New Roman" w:eastAsia="Times New Roman" w:hint="default"/>
        </w:rPr>
        <w:t>IT</w:t>
      </w:r>
      <w:r>
        <w:rPr/>
        <w:t>管理成本、更高的效率、更好的安全性，</w:t>
      </w:r>
      <w:r>
        <w:rPr>
          <w:spacing w:val="-86"/>
        </w:rPr>
        <w:t> </w:t>
      </w:r>
      <w:r>
        <w:rPr/>
        <w:t>对于企业，校园，医疗，政府等雇主和雇员的隐私提供了更强的保护；</w:t>
      </w:r>
    </w:p>
    <w:p>
      <w:pPr>
        <w:pStyle w:val="BodyText"/>
        <w:spacing w:line="290" w:lineRule="auto" w:before="37"/>
        <w:ind w:right="1119" w:firstLine="36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月，由飞天诚信研发生产的扫码盒子助力普惠金融，通过扫码盒子全自动扫描，灵敏读取付款码，可快速实现 结算支付；</w:t>
      </w:r>
    </w:p>
    <w:p>
      <w:pPr>
        <w:pStyle w:val="BodyText"/>
        <w:spacing w:line="290" w:lineRule="auto" w:before="56"/>
        <w:ind w:right="1139" w:firstLine="36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月，飞天诚信自主研发的一款智能寻物神器</w:t>
      </w:r>
      <w:r>
        <w:rPr>
          <w:rFonts w:ascii="Times New Roman" w:hAnsi="Times New Roman" w:cs="Times New Roman" w:eastAsia="Times New Roman" w:hint="default"/>
        </w:rPr>
        <w:t>——</w:t>
      </w:r>
      <w:r>
        <w:rPr/>
        <w:t>合力寻物（也称</w:t>
      </w:r>
      <w:r>
        <w:rPr>
          <w:rFonts w:ascii="Times New Roman" w:hAnsi="Times New Roman" w:cs="Times New Roman" w:eastAsia="Times New Roman" w:hint="default"/>
        </w:rPr>
        <w:t>“</w:t>
      </w:r>
      <w:r>
        <w:rPr/>
        <w:t>不丢扣</w:t>
      </w:r>
      <w:r>
        <w:rPr>
          <w:rFonts w:ascii="Times New Roman" w:hAnsi="Times New Roman" w:cs="Times New Roman" w:eastAsia="Times New Roman" w:hint="default"/>
        </w:rPr>
        <w:t>”</w:t>
      </w:r>
      <w:r>
        <w:rPr/>
        <w:t>）于</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5</w:t>
      </w:r>
      <w:r>
        <w:rPr/>
        <w:t>日在小米有品众筹平台正式 上线。</w:t>
      </w:r>
    </w:p>
    <w:p>
      <w:pPr>
        <w:spacing w:line="307" w:lineRule="auto" w:before="41"/>
        <w:ind w:left="501" w:right="6249" w:firstLine="0"/>
        <w:jc w:val="left"/>
        <w:rPr>
          <w:rFonts w:ascii="宋体" w:hAnsi="宋体" w:cs="宋体" w:eastAsia="宋体" w:hint="default"/>
          <w:sz w:val="18"/>
          <w:szCs w:val="18"/>
        </w:rPr>
      </w:pPr>
      <w:r>
        <w:rPr>
          <w:rFonts w:ascii="宋体" w:hAnsi="宋体" w:cs="宋体" w:eastAsia="宋体" w:hint="default"/>
          <w:b/>
          <w:bCs/>
          <w:sz w:val="18"/>
          <w:szCs w:val="18"/>
        </w:rPr>
        <w:t>三、参与制订标准，不断提升核心竞争力</w:t>
      </w:r>
      <w:r>
        <w:rPr>
          <w:rFonts w:ascii="宋体" w:hAnsi="宋体" w:cs="宋体" w:eastAsia="宋体" w:hint="default"/>
          <w:b/>
          <w:bCs/>
          <w:w w:val="99"/>
          <w:sz w:val="18"/>
          <w:szCs w:val="18"/>
        </w:rPr>
        <w:t> </w:t>
      </w:r>
      <w:r>
        <w:rPr>
          <w:rFonts w:ascii="宋体" w:hAnsi="宋体" w:cs="宋体" w:eastAsia="宋体" w:hint="default"/>
          <w:sz w:val="18"/>
          <w:szCs w:val="18"/>
        </w:rPr>
        <w:t>公司通过参与制订各种行业标准，奠定了行业地位。</w:t>
      </w:r>
    </w:p>
    <w:p>
      <w:pPr>
        <w:pStyle w:val="BodyText"/>
        <w:spacing w:line="290" w:lineRule="auto" w:before="44"/>
        <w:ind w:right="1101" w:firstLine="36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spacing w:val="-52"/>
        </w:rPr>
        <w:t> </w:t>
      </w:r>
      <w:r>
        <w:rPr>
          <w:rFonts w:ascii="Times New Roman" w:hAnsi="Times New Roman" w:cs="Times New Roman" w:eastAsia="Times New Roman" w:hint="default"/>
        </w:rPr>
        <w:t>“2018</w:t>
      </w:r>
      <w:r>
        <w:rPr/>
        <w:t>互联互通合作者大会</w:t>
      </w:r>
      <w:r>
        <w:rPr>
          <w:rFonts w:ascii="Times New Roman" w:hAnsi="Times New Roman" w:cs="Times New Roman" w:eastAsia="Times New Roman" w:hint="default"/>
        </w:rPr>
        <w:t>”</w:t>
      </w:r>
      <w:r>
        <w:rPr/>
        <w:t>在厦门国际会展中心举行，飞天诚信参与编制和起草的《城市智慧卡标准与实 践》、《建筑及居住区数字化技术应用智能门锁安全》（导则）在大会期间发布；</w:t>
      </w:r>
    </w:p>
    <w:p>
      <w:pPr>
        <w:pStyle w:val="BodyText"/>
        <w:spacing w:line="290" w:lineRule="auto" w:before="56"/>
        <w:ind w:left="501" w:right="110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月，飞天诚信参与修订的金融行业标准</w:t>
      </w:r>
      <w:r>
        <w:rPr>
          <w:rFonts w:ascii="Times New Roman" w:hAnsi="Times New Roman" w:cs="Times New Roman" w:eastAsia="Times New Roman" w:hint="default"/>
        </w:rPr>
        <w:t>JR/T0025-2018</w:t>
      </w:r>
      <w:r>
        <w:rPr/>
        <w:t>《中国金融集成电路（</w:t>
      </w:r>
      <w:r>
        <w:rPr>
          <w:rFonts w:ascii="Times New Roman" w:hAnsi="Times New Roman" w:cs="Times New Roman" w:eastAsia="Times New Roman" w:hint="default"/>
        </w:rPr>
        <w:t>IC</w:t>
      </w:r>
      <w:r>
        <w:rPr/>
        <w:t>）卡规范》正式发布；</w:t>
      </w:r>
      <w:r>
        <w:rPr>
          <w:spacing w:val="-77"/>
        </w:rPr>
        <w:t> </w:t>
      </w:r>
      <w:r>
        <w:rPr>
          <w:spacing w:val="-2"/>
        </w:rPr>
        <w:t>飞天诚信积极参与行业标准的编制与起草工作，发挥了作为行业领军企业的责任，截至目前，飞天诚信及其下属子公司</w:t>
      </w:r>
    </w:p>
    <w:p>
      <w:pPr>
        <w:pStyle w:val="BodyText"/>
        <w:spacing w:line="304" w:lineRule="auto" w:before="42"/>
        <w:ind w:left="501" w:right="2829" w:hanging="361"/>
        <w:jc w:val="left"/>
      </w:pPr>
      <w:r>
        <w:rPr/>
        <w:t>主持或参与制定</w:t>
      </w:r>
      <w:r>
        <w:rPr>
          <w:rFonts w:ascii="Times New Roman" w:hAnsi="Times New Roman" w:cs="Times New Roman" w:eastAsia="Times New Roman" w:hint="default"/>
        </w:rPr>
        <w:t>/</w:t>
      </w:r>
      <w:r>
        <w:rPr/>
        <w:t>修订的国家标准已发布</w:t>
      </w:r>
      <w:r>
        <w:rPr>
          <w:rFonts w:ascii="Times New Roman" w:hAnsi="Times New Roman" w:cs="Times New Roman" w:eastAsia="Times New Roman" w:hint="default"/>
        </w:rPr>
        <w:t>9</w:t>
      </w:r>
      <w:r>
        <w:rPr/>
        <w:t>项，行业标准已发布</w:t>
      </w:r>
      <w:r>
        <w:rPr>
          <w:rFonts w:ascii="Times New Roman" w:hAnsi="Times New Roman" w:cs="Times New Roman" w:eastAsia="Times New Roman" w:hint="default"/>
        </w:rPr>
        <w:t>13</w:t>
      </w:r>
      <w:r>
        <w:rPr/>
        <w:t>项。 </w:t>
      </w:r>
      <w:r>
        <w:rPr>
          <w:rFonts w:ascii="宋体" w:hAnsi="宋体" w:cs="宋体" w:eastAsia="宋体" w:hint="default"/>
          <w:b/>
          <w:bCs/>
        </w:rPr>
        <w:t>四、立足国内，持续耕耘国际市场</w:t>
      </w:r>
      <w:r>
        <w:rPr>
          <w:rFonts w:ascii="宋体" w:hAnsi="宋体" w:cs="宋体" w:eastAsia="宋体" w:hint="default"/>
          <w:b/>
          <w:bCs/>
          <w:w w:val="99"/>
        </w:rPr>
        <w:t> </w:t>
      </w:r>
      <w:r>
        <w:rPr/>
        <w:t>飞天诚信积极参与国际会议、国际组织、参与认证等，为持续稳健地开拓国际市场提供助推力。</w:t>
      </w:r>
    </w:p>
    <w:p>
      <w:pPr>
        <w:pStyle w:val="BodyText"/>
        <w:spacing w:line="290" w:lineRule="auto" w:before="46"/>
        <w:ind w:right="1100" w:firstLine="360"/>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月，飞天诚信获得</w:t>
      </w:r>
      <w:r>
        <w:rPr>
          <w:rFonts w:ascii="Times New Roman" w:hAnsi="Times New Roman" w:cs="Times New Roman" w:eastAsia="Times New Roman" w:hint="default"/>
          <w:spacing w:val="-2"/>
        </w:rPr>
        <w:t>MISA</w:t>
      </w:r>
      <w:r>
        <w:rPr>
          <w:spacing w:val="-2"/>
        </w:rPr>
        <w:t>（微软智能安全协会）的会员资格，成为国内唯一一家入选的企业。该协会由一些与微</w:t>
      </w:r>
      <w:r>
        <w:rPr/>
        <w:t> 软合作的安全公司组成，旨在抵御全球日渐复杂的信息安全威胁；</w:t>
      </w:r>
    </w:p>
    <w:p>
      <w:pPr>
        <w:pStyle w:val="BodyText"/>
        <w:spacing w:line="240" w:lineRule="auto" w:before="41"/>
        <w:ind w:left="501" w:right="0"/>
        <w:jc w:val="left"/>
        <w:rPr>
          <w:rFonts w:ascii="Times New Roman" w:hAnsi="Times New Roman" w:cs="Times New Roman" w:eastAsia="Times New Roman" w:hint="default"/>
        </w:rPr>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月，飞天诚信正式通过了</w:t>
      </w:r>
      <w:r>
        <w:rPr>
          <w:rFonts w:ascii="Times New Roman" w:hAnsi="Times New Roman" w:cs="Times New Roman" w:eastAsia="Times New Roman" w:hint="default"/>
          <w:spacing w:val="-3"/>
        </w:rPr>
        <w:t>CMMI3</w:t>
      </w:r>
      <w:r>
        <w:rPr>
          <w:spacing w:val="-3"/>
        </w:rPr>
        <w:t>级认证，</w:t>
      </w:r>
      <w:r>
        <w:rPr>
          <w:rFonts w:ascii="Times New Roman" w:hAnsi="Times New Roman" w:cs="Times New Roman" w:eastAsia="Times New Roman" w:hint="default"/>
          <w:spacing w:val="-3"/>
        </w:rPr>
        <w:t>CMMI</w:t>
      </w:r>
      <w:r>
        <w:rPr>
          <w:spacing w:val="-3"/>
        </w:rPr>
        <w:t>级认证被公认为企业走向国际市场的通行证，此次通过</w:t>
      </w:r>
      <w:r>
        <w:rPr>
          <w:rFonts w:ascii="Times New Roman" w:hAnsi="Times New Roman" w:cs="Times New Roman" w:eastAsia="Times New Roman" w:hint="default"/>
          <w:spacing w:val="-3"/>
        </w:rPr>
        <w:t>CMM</w:t>
      </w:r>
      <w:r>
        <w:rPr>
          <w:rFonts w:ascii="Times New Roman" w:hAnsi="Times New Roman" w:cs="Times New Roman" w:eastAsia="Times New Roman" w:hint="default"/>
          <w:spacing w:val="8"/>
        </w:rPr>
        <w:t> </w:t>
      </w:r>
      <w:r>
        <w:rPr>
          <w:rFonts w:ascii="Times New Roman" w:hAnsi="Times New Roman" w:cs="Times New Roman" w:eastAsia="Times New Roman" w:hint="default"/>
        </w:rPr>
        <w:t>I3</w:t>
      </w:r>
    </w:p>
    <w:p>
      <w:pPr>
        <w:pStyle w:val="BodyText"/>
        <w:spacing w:line="240" w:lineRule="auto" w:before="66"/>
        <w:ind w:right="0"/>
        <w:jc w:val="left"/>
        <w:rPr>
          <w:rFonts w:ascii="Times New Roman" w:hAnsi="Times New Roman" w:cs="Times New Roman" w:eastAsia="Times New Roman" w:hint="default"/>
        </w:rPr>
      </w:pPr>
      <w:r>
        <w:rPr/>
        <w:t>级认证代表公司在软件研发能力</w:t>
      </w:r>
      <w:r>
        <w:rPr>
          <w:spacing w:val="-90"/>
        </w:rPr>
        <w:t>、</w:t>
      </w:r>
      <w:r>
        <w:rPr/>
        <w:t>服务交付以及项目管理水平得到了权威机构的认可</w:t>
      </w:r>
      <w:r>
        <w:rPr>
          <w:spacing w:val="-82"/>
        </w:rPr>
        <w:t>。</w:t>
      </w:r>
      <w:r>
        <w:rPr>
          <w:rFonts w:ascii="Times New Roman" w:hAnsi="Times New Roman" w:cs="Times New Roman" w:eastAsia="Times New Roman" w:hint="default"/>
        </w:rPr>
        <w:t>2019</w:t>
      </w:r>
      <w:r>
        <w:rPr/>
        <w:t>年</w:t>
      </w:r>
      <w:r>
        <w:rPr>
          <w:spacing w:val="-90"/>
        </w:rPr>
        <w:t>，</w:t>
      </w:r>
      <w:r>
        <w:rPr/>
        <w:t>公司海外市场收入</w:t>
      </w:r>
      <w:r>
        <w:rPr>
          <w:spacing w:val="2"/>
        </w:rPr>
        <w:t>为</w:t>
      </w:r>
      <w:r>
        <w:rPr>
          <w:rFonts w:ascii="Times New Roman" w:hAnsi="Times New Roman" w:cs="Times New Roman" w:eastAsia="Times New Roman" w:hint="default"/>
        </w:rPr>
        <w:t>15,650.71</w:t>
      </w:r>
    </w:p>
    <w:p>
      <w:pPr>
        <w:spacing w:after="0" w:line="240" w:lineRule="auto"/>
        <w:jc w:val="left"/>
        <w:rPr>
          <w:rFonts w:ascii="Times New Roman" w:hAnsi="Times New Roman" w:cs="Times New Roman" w:eastAsia="Times New Roman" w:hint="default"/>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4"/>
          <w:szCs w:val="14"/>
        </w:rPr>
      </w:pPr>
    </w:p>
    <w:p>
      <w:pPr>
        <w:pStyle w:val="BodyText"/>
        <w:spacing w:line="240" w:lineRule="auto"/>
        <w:ind w:right="1100"/>
        <w:jc w:val="left"/>
      </w:pPr>
      <w:r>
        <w:rPr/>
        <w:t>万元，较</w:t>
      </w:r>
      <w:r>
        <w:rPr>
          <w:rFonts w:ascii="Times New Roman" w:hAnsi="Times New Roman" w:cs="Times New Roman" w:eastAsia="Times New Roman" w:hint="default"/>
        </w:rPr>
        <w:t>2018</w:t>
      </w:r>
      <w:r>
        <w:rPr/>
        <w:t>年增长</w:t>
      </w:r>
      <w:r>
        <w:rPr>
          <w:rFonts w:ascii="Times New Roman" w:hAnsi="Times New Roman" w:cs="Times New Roman" w:eastAsia="Times New Roman" w:hint="default"/>
        </w:rPr>
        <w:t>19.08%</w:t>
      </w:r>
      <w:r>
        <w:rPr/>
        <w:t>。</w:t>
      </w:r>
    </w:p>
    <w:p>
      <w:pPr>
        <w:spacing w:line="240" w:lineRule="auto" w:before="10"/>
        <w:rPr>
          <w:rFonts w:ascii="宋体" w:hAnsi="宋体" w:cs="宋体" w:eastAsia="宋体" w:hint="default"/>
          <w:sz w:val="23"/>
          <w:szCs w:val="23"/>
        </w:rPr>
      </w:pPr>
    </w:p>
    <w:p>
      <w:pPr>
        <w:pStyle w:val="Heading2"/>
        <w:spacing w:line="240" w:lineRule="auto"/>
        <w:ind w:right="1100"/>
        <w:jc w:val="left"/>
        <w:rPr>
          <w:b w:val="0"/>
          <w:bCs w:val="0"/>
        </w:rPr>
      </w:pPr>
      <w:bookmarkStart w:name="二、主营业务分析" w:id="25"/>
      <w:bookmarkEnd w:id="25"/>
      <w:r>
        <w:rPr>
          <w:b w:val="0"/>
          <w:bCs w:val="0"/>
        </w:rPr>
      </w:r>
      <w:r>
        <w:rPr/>
        <w:t>二、主营业务分析</w:t>
      </w:r>
      <w:r>
        <w:rPr>
          <w:b w:val="0"/>
          <w:bCs w:val="0"/>
        </w:rPr>
      </w:r>
    </w:p>
    <w:p>
      <w:pPr>
        <w:spacing w:line="240" w:lineRule="auto" w:before="9"/>
        <w:rPr>
          <w:rFonts w:ascii="宋体" w:hAnsi="宋体" w:cs="宋体" w:eastAsia="宋体" w:hint="default"/>
          <w:b/>
          <w:bCs/>
          <w:sz w:val="25"/>
          <w:szCs w:val="25"/>
        </w:rPr>
      </w:pPr>
    </w:p>
    <w:p>
      <w:pPr>
        <w:pStyle w:val="Heading4"/>
        <w:spacing w:line="240" w:lineRule="auto"/>
        <w:ind w:right="1100"/>
        <w:jc w:val="left"/>
        <w:rPr>
          <w:b w:val="0"/>
          <w:bCs w:val="0"/>
        </w:rPr>
      </w:pPr>
      <w:bookmarkStart w:name="1、概述" w:id="26"/>
      <w:bookmarkEnd w:id="26"/>
      <w:r>
        <w:rPr>
          <w:b w:val="0"/>
          <w:bCs w:val="0"/>
        </w:rPr>
      </w:r>
      <w:r>
        <w:rPr>
          <w:rFonts w:ascii="Times New Roman" w:hAnsi="Times New Roman" w:cs="Times New Roman" w:eastAsia="Times New Roman" w:hint="default"/>
        </w:rPr>
        <w:t>1</w:t>
      </w:r>
      <w:r>
        <w:rPr/>
        <w:t>、概述</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00"/>
        <w:jc w:val="left"/>
      </w:pPr>
      <w:r>
        <w:rPr/>
        <w:t>参见</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line="240" w:lineRule="auto" w:before="6"/>
        <w:rPr>
          <w:rFonts w:ascii="宋体" w:hAnsi="宋体" w:cs="宋体" w:eastAsia="宋体" w:hint="default"/>
          <w:sz w:val="26"/>
          <w:szCs w:val="26"/>
        </w:rPr>
      </w:pPr>
    </w:p>
    <w:p>
      <w:pPr>
        <w:pStyle w:val="Heading4"/>
        <w:spacing w:line="240" w:lineRule="auto"/>
        <w:ind w:right="1100"/>
        <w:jc w:val="left"/>
        <w:rPr>
          <w:b w:val="0"/>
          <w:bCs w:val="0"/>
        </w:rPr>
      </w:pPr>
      <w:bookmarkStart w:name="2、收入与成本" w:id="27"/>
      <w:bookmarkEnd w:id="27"/>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110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1100"/>
        <w:jc w:val="left"/>
      </w:pPr>
      <w:r>
        <w:rPr/>
        <w:t>营业收入整体情况</w:t>
      </w:r>
    </w:p>
    <w:p>
      <w:pPr>
        <w:pStyle w:val="BodyText"/>
        <w:spacing w:line="240" w:lineRule="auto" w:before="125"/>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4"/>
        <w:gridCol w:w="1607"/>
        <w:gridCol w:w="1590"/>
        <w:gridCol w:w="1596"/>
        <w:gridCol w:w="1590"/>
        <w:gridCol w:w="1605"/>
      </w:tblGrid>
      <w:tr>
        <w:trPr>
          <w:trHeight w:val="203" w:hRule="exact"/>
        </w:trPr>
        <w:tc>
          <w:tcPr>
            <w:tcW w:w="1594" w:type="dxa"/>
            <w:tcBorders>
              <w:top w:val="single" w:sz="6" w:space="0" w:color="000000"/>
              <w:left w:val="single" w:sz="6" w:space="0" w:color="000000"/>
              <w:bottom w:val="nil" w:sz="6" w:space="0" w:color="auto"/>
              <w:right w:val="single" w:sz="6" w:space="0" w:color="000000"/>
            </w:tcBorders>
            <w:shd w:val="clear" w:color="auto" w:fill="D2D2D2"/>
          </w:tcPr>
          <w:p>
            <w:pPr/>
          </w:p>
        </w:tc>
        <w:tc>
          <w:tcPr>
            <w:tcW w:w="3197"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0"/>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3186"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605"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203" w:hRule="exact"/>
        </w:trPr>
        <w:tc>
          <w:tcPr>
            <w:tcW w:w="1594" w:type="dxa"/>
            <w:vMerge w:val="restart"/>
            <w:tcBorders>
              <w:top w:val="nil" w:sz="6" w:space="0" w:color="auto"/>
              <w:left w:val="single" w:sz="6" w:space="0" w:color="000000"/>
              <w:right w:val="single" w:sz="6" w:space="0" w:color="000000"/>
            </w:tcBorders>
            <w:shd w:val="clear" w:color="auto" w:fill="D2D2D2"/>
          </w:tcPr>
          <w:p>
            <w:pPr/>
          </w:p>
        </w:tc>
        <w:tc>
          <w:tcPr>
            <w:tcW w:w="3197" w:type="dxa"/>
            <w:gridSpan w:val="2"/>
            <w:vMerge/>
            <w:tcBorders>
              <w:left w:val="single" w:sz="6" w:space="0" w:color="000000"/>
              <w:bottom w:val="single" w:sz="6" w:space="0" w:color="000000"/>
              <w:right w:val="single" w:sz="6" w:space="0" w:color="000000"/>
            </w:tcBorders>
            <w:shd w:val="clear" w:color="auto" w:fill="D2D2D2"/>
          </w:tcPr>
          <w:p>
            <w:pPr/>
          </w:p>
        </w:tc>
        <w:tc>
          <w:tcPr>
            <w:tcW w:w="3186" w:type="dxa"/>
            <w:gridSpan w:val="2"/>
            <w:vMerge/>
            <w:tcBorders>
              <w:left w:val="single" w:sz="6" w:space="0" w:color="000000"/>
              <w:bottom w:val="single" w:sz="6" w:space="0" w:color="000000"/>
              <w:right w:val="single" w:sz="6" w:space="0" w:color="000000"/>
            </w:tcBorders>
            <w:shd w:val="clear" w:color="auto" w:fill="D2D2D2"/>
          </w:tcPr>
          <w:p>
            <w:pPr/>
          </w:p>
        </w:tc>
        <w:tc>
          <w:tcPr>
            <w:tcW w:w="160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87" w:hRule="exact"/>
        </w:trPr>
        <w:tc>
          <w:tcPr>
            <w:tcW w:w="1594" w:type="dxa"/>
            <w:vMerge/>
            <w:tcBorders>
              <w:left w:val="single" w:sz="6" w:space="0" w:color="000000"/>
              <w:bottom w:val="nil" w:sz="6" w:space="0" w:color="auto"/>
              <w:right w:val="single" w:sz="6" w:space="0" w:color="000000"/>
            </w:tcBorders>
            <w:shd w:val="clear" w:color="auto" w:fill="D2D2D2"/>
          </w:tcPr>
          <w:p>
            <w:pPr/>
          </w:p>
        </w:tc>
        <w:tc>
          <w:tcPr>
            <w:tcW w:w="16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4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17"/>
              <w:jc w:val="center"/>
              <w:rPr>
                <w:rFonts w:ascii="宋体" w:hAnsi="宋体" w:cs="宋体" w:eastAsia="宋体" w:hint="default"/>
                <w:sz w:val="18"/>
                <w:szCs w:val="18"/>
              </w:rPr>
            </w:pPr>
            <w:r>
              <w:rPr>
                <w:rFonts w:ascii="宋体" w:hAnsi="宋体" w:cs="宋体" w:eastAsia="宋体" w:hint="default"/>
                <w:sz w:val="18"/>
                <w:szCs w:val="18"/>
              </w:rPr>
              <w:t>金额</w:t>
            </w:r>
          </w:p>
        </w:tc>
        <w:tc>
          <w:tcPr>
            <w:tcW w:w="159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5" w:type="dxa"/>
            <w:vMerge/>
            <w:tcBorders>
              <w:left w:val="single" w:sz="6" w:space="0" w:color="000000"/>
              <w:bottom w:val="nil" w:sz="6" w:space="0" w:color="auto"/>
              <w:right w:val="single" w:sz="6" w:space="0" w:color="000000"/>
            </w:tcBorders>
            <w:shd w:val="clear" w:color="auto" w:fill="D2D2D2"/>
          </w:tcPr>
          <w:p>
            <w:pPr/>
          </w:p>
        </w:tc>
      </w:tr>
      <w:tr>
        <w:trPr>
          <w:trHeight w:val="218" w:hRule="exact"/>
        </w:trPr>
        <w:tc>
          <w:tcPr>
            <w:tcW w:w="1594" w:type="dxa"/>
            <w:tcBorders>
              <w:top w:val="nil" w:sz="6" w:space="0" w:color="auto"/>
              <w:left w:val="single" w:sz="6" w:space="0" w:color="000000"/>
              <w:bottom w:val="single" w:sz="6" w:space="0" w:color="000000"/>
              <w:right w:val="single" w:sz="6" w:space="0" w:color="000000"/>
            </w:tcBorders>
            <w:shd w:val="clear" w:color="auto" w:fill="D2D2D2"/>
          </w:tcPr>
          <w:p>
            <w:pPr/>
          </w:p>
        </w:tc>
        <w:tc>
          <w:tcPr>
            <w:tcW w:w="1607" w:type="dxa"/>
            <w:vMerge/>
            <w:tcBorders>
              <w:left w:val="single" w:sz="6" w:space="0" w:color="000000"/>
              <w:bottom w:val="single" w:sz="6" w:space="0" w:color="000000"/>
              <w:right w:val="single" w:sz="6" w:space="0" w:color="000000"/>
            </w:tcBorders>
            <w:shd w:val="clear" w:color="auto" w:fill="D2D2D2"/>
          </w:tcPr>
          <w:p>
            <w:pPr/>
          </w:p>
        </w:tc>
        <w:tc>
          <w:tcPr>
            <w:tcW w:w="1590" w:type="dxa"/>
            <w:vMerge/>
            <w:tcBorders>
              <w:left w:val="single" w:sz="6" w:space="0" w:color="000000"/>
              <w:bottom w:val="single" w:sz="6" w:space="0" w:color="000000"/>
              <w:right w:val="single" w:sz="6" w:space="0" w:color="000000"/>
            </w:tcBorders>
            <w:shd w:val="clear" w:color="auto" w:fill="D2D2D2"/>
          </w:tcPr>
          <w:p>
            <w:pPr/>
          </w:p>
        </w:tc>
        <w:tc>
          <w:tcPr>
            <w:tcW w:w="1596" w:type="dxa"/>
            <w:vMerge/>
            <w:tcBorders>
              <w:left w:val="single" w:sz="6" w:space="0" w:color="000000"/>
              <w:bottom w:val="single" w:sz="6" w:space="0" w:color="000000"/>
              <w:right w:val="single" w:sz="6" w:space="0" w:color="000000"/>
            </w:tcBorders>
            <w:shd w:val="clear" w:color="auto" w:fill="D2D2D2"/>
          </w:tcPr>
          <w:p>
            <w:pPr/>
          </w:p>
        </w:tc>
        <w:tc>
          <w:tcPr>
            <w:tcW w:w="1590" w:type="dxa"/>
            <w:vMerge/>
            <w:tcBorders>
              <w:left w:val="single" w:sz="6" w:space="0" w:color="000000"/>
              <w:bottom w:val="single" w:sz="6" w:space="0" w:color="000000"/>
              <w:right w:val="single" w:sz="6" w:space="0" w:color="000000"/>
            </w:tcBorders>
            <w:shd w:val="clear" w:color="auto" w:fill="D2D2D2"/>
          </w:tcPr>
          <w:p>
            <w:pPr/>
          </w:p>
        </w:tc>
        <w:tc>
          <w:tcPr>
            <w:tcW w:w="1605"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398" w:hRule="exact"/>
        </w:trPr>
        <w:tc>
          <w:tcPr>
            <w:tcW w:w="15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07" w:type="dxa"/>
            <w:tcBorders>
              <w:top w:val="single" w:sz="6" w:space="0" w:color="000000"/>
              <w:left w:val="single" w:sz="12" w:space="0" w:color="D2D2D2"/>
              <w:bottom w:val="single" w:sz="6" w:space="0" w:color="000000"/>
              <w:right w:val="single" w:sz="12" w:space="0" w:color="000000"/>
            </w:tcBorders>
          </w:tcPr>
          <w:p>
            <w:pPr>
              <w:pStyle w:val="TableParagraph"/>
              <w:spacing w:line="240" w:lineRule="auto" w:before="87"/>
              <w:ind w:right="8"/>
              <w:jc w:val="right"/>
              <w:rPr>
                <w:rFonts w:ascii="Times New Roman" w:hAnsi="Times New Roman" w:cs="Times New Roman" w:eastAsia="Times New Roman" w:hint="default"/>
                <w:sz w:val="18"/>
                <w:szCs w:val="18"/>
              </w:rPr>
            </w:pPr>
            <w:r>
              <w:rPr>
                <w:rFonts w:ascii="Times New Roman"/>
                <w:sz w:val="18"/>
              </w:rPr>
              <w:t>939,620,454.48</w:t>
            </w:r>
          </w:p>
        </w:tc>
        <w:tc>
          <w:tcPr>
            <w:tcW w:w="15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6" w:type="dxa"/>
            <w:tcBorders>
              <w:top w:val="single" w:sz="6" w:space="0" w:color="000000"/>
              <w:left w:val="single" w:sz="12" w:space="0" w:color="000000"/>
              <w:bottom w:val="single" w:sz="6" w:space="0" w:color="000000"/>
              <w:right w:val="single" w:sz="18" w:space="0" w:color="D2D2D2"/>
            </w:tcBorders>
          </w:tcPr>
          <w:p>
            <w:pPr>
              <w:pStyle w:val="TableParagraph"/>
              <w:spacing w:line="240" w:lineRule="auto" w:before="87"/>
              <w:ind w:right="3"/>
              <w:jc w:val="right"/>
              <w:rPr>
                <w:rFonts w:ascii="Times New Roman" w:hAnsi="Times New Roman" w:cs="Times New Roman" w:eastAsia="Times New Roman" w:hint="default"/>
                <w:sz w:val="18"/>
                <w:szCs w:val="18"/>
              </w:rPr>
            </w:pPr>
            <w:r>
              <w:rPr>
                <w:rFonts w:ascii="Times New Roman"/>
                <w:sz w:val="18"/>
              </w:rPr>
              <w:t>1,071,782,404.96</w:t>
            </w:r>
          </w:p>
        </w:tc>
        <w:tc>
          <w:tcPr>
            <w:tcW w:w="15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-12.33%</w:t>
            </w:r>
          </w:p>
        </w:tc>
      </w:tr>
      <w:tr>
        <w:trPr>
          <w:trHeight w:val="398" w:hRule="exact"/>
        </w:trPr>
        <w:tc>
          <w:tcPr>
            <w:tcW w:w="9582"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7"/>
              <w:ind w:left="15"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5"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信息安全行业</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939,620,454.48</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1,071,782,404.96</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-12.33%</w:t>
            </w:r>
          </w:p>
        </w:tc>
      </w:tr>
      <w:tr>
        <w:trPr>
          <w:trHeight w:val="405" w:hRule="exact"/>
        </w:trPr>
        <w:tc>
          <w:tcPr>
            <w:tcW w:w="9582"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5"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USBKEY</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461,102,866.81</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49.07%</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573,048,576.16</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53.47%</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-19.54%</w:t>
            </w:r>
          </w:p>
        </w:tc>
      </w:tr>
      <w:tr>
        <w:trPr>
          <w:trHeight w:val="391"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动态令牌</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192,656,165.88</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20.50%</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8"/>
              <w:jc w:val="right"/>
              <w:rPr>
                <w:rFonts w:ascii="Times New Roman" w:hAnsi="Times New Roman" w:cs="Times New Roman" w:eastAsia="Times New Roman" w:hint="default"/>
                <w:sz w:val="18"/>
                <w:szCs w:val="18"/>
              </w:rPr>
            </w:pPr>
            <w:r>
              <w:rPr>
                <w:rFonts w:ascii="Times New Roman"/>
                <w:sz w:val="18"/>
              </w:rPr>
              <w:t>291,955,876.61</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w w:val="95"/>
                <w:sz w:val="18"/>
              </w:rPr>
              <w:t>27.24%</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-34.01%</w:t>
            </w:r>
          </w:p>
        </w:tc>
      </w:tr>
      <w:tr>
        <w:trPr>
          <w:trHeight w:val="406"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芯片</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96,572,241.60</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10.28%</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70,851,906.87</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6.61%</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36.30%</w:t>
            </w:r>
            <w:r>
              <w:rPr>
                <w:rFonts w:ascii="Times New Roman"/>
                <w:sz w:val="18"/>
              </w:rPr>
            </w:r>
          </w:p>
        </w:tc>
      </w:tr>
      <w:tr>
        <w:trPr>
          <w:trHeight w:val="405"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智能终端</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6"/>
              <w:jc w:val="right"/>
              <w:rPr>
                <w:rFonts w:ascii="Times New Roman" w:hAnsi="Times New Roman" w:cs="Times New Roman" w:eastAsia="Times New Roman" w:hint="default"/>
                <w:sz w:val="18"/>
                <w:szCs w:val="18"/>
              </w:rPr>
            </w:pPr>
            <w:r>
              <w:rPr>
                <w:rFonts w:ascii="Times New Roman"/>
                <w:sz w:val="18"/>
              </w:rPr>
              <w:t>53,721,303.83</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w w:val="95"/>
                <w:sz w:val="18"/>
              </w:rPr>
              <w:t>5.72%</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
        </w:tc>
        <w:tc>
          <w:tcPr>
            <w:tcW w:w="160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加密锁</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34,600,664.38</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3.68%</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42,929,376.18</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4.01%</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-19.40%</w:t>
            </w:r>
          </w:p>
        </w:tc>
      </w:tr>
      <w:tr>
        <w:trPr>
          <w:trHeight w:val="406"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卡类及其他</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91,468,057.81</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9.74%</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77,739,711.72</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7.25%</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17.66%</w:t>
            </w:r>
            <w:r>
              <w:rPr>
                <w:rFonts w:ascii="Times New Roman"/>
                <w:sz w:val="18"/>
              </w:rPr>
            </w:r>
          </w:p>
        </w:tc>
      </w:tr>
      <w:tr>
        <w:trPr>
          <w:trHeight w:val="390"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软件产品及开发</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6"/>
              <w:jc w:val="right"/>
              <w:rPr>
                <w:rFonts w:ascii="Times New Roman" w:hAnsi="Times New Roman" w:cs="Times New Roman" w:eastAsia="Times New Roman" w:hint="default"/>
                <w:sz w:val="18"/>
                <w:szCs w:val="18"/>
              </w:rPr>
            </w:pPr>
            <w:r>
              <w:rPr>
                <w:rFonts w:ascii="Times New Roman"/>
                <w:sz w:val="18"/>
              </w:rPr>
              <w:t>9,499,154.17</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w w:val="95"/>
                <w:sz w:val="18"/>
              </w:rPr>
              <w:t>1.01%</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8"/>
              <w:jc w:val="right"/>
              <w:rPr>
                <w:rFonts w:ascii="Times New Roman" w:hAnsi="Times New Roman" w:cs="Times New Roman" w:eastAsia="Times New Roman" w:hint="default"/>
                <w:sz w:val="18"/>
                <w:szCs w:val="18"/>
              </w:rPr>
            </w:pPr>
            <w:r>
              <w:rPr>
                <w:rFonts w:ascii="Times New Roman"/>
                <w:sz w:val="18"/>
              </w:rPr>
              <w:t>15,256,957.42</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Times New Roman" w:hAnsi="Times New Roman" w:cs="Times New Roman" w:eastAsia="Times New Roman" w:hint="default"/>
                <w:sz w:val="18"/>
                <w:szCs w:val="18"/>
              </w:rPr>
            </w:pPr>
            <w:r>
              <w:rPr>
                <w:rFonts w:ascii="Times New Roman"/>
                <w:w w:val="95"/>
                <w:sz w:val="18"/>
              </w:rPr>
              <w:t>1.42%</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sz w:val="18"/>
              </w:rPr>
              <w:t>-37.74%</w:t>
            </w:r>
          </w:p>
        </w:tc>
      </w:tr>
      <w:tr>
        <w:trPr>
          <w:trHeight w:val="405" w:hRule="exact"/>
        </w:trPr>
        <w:tc>
          <w:tcPr>
            <w:tcW w:w="9582"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6"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783,113,374.69</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83.34%</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940,348,760.99</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87.74%</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-16.72%</w:t>
            </w:r>
          </w:p>
        </w:tc>
      </w:tr>
      <w:tr>
        <w:trPr>
          <w:trHeight w:val="405"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156,507,079.79</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16.66%</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131,433,643.97</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12.26%</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19.08%</w:t>
            </w:r>
            <w:r>
              <w:rPr>
                <w:rFonts w:ascii="Times New Roman"/>
                <w:sz w:val="18"/>
              </w:rPr>
            </w:r>
          </w:p>
        </w:tc>
      </w:tr>
    </w:tbl>
    <w:p>
      <w:pPr>
        <w:pStyle w:val="BodyText"/>
        <w:spacing w:line="240" w:lineRule="auto" w:before="59"/>
        <w:ind w:right="1100"/>
        <w:jc w:val="left"/>
      </w:pPr>
      <w:r>
        <w:rPr/>
        <w:t>公司需遵守《深圳证券交易所行业信息披露指引第</w:t>
      </w:r>
      <w:r>
        <w:rPr>
          <w:spacing w:val="-40"/>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81"/>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17"/>
        <w:gridCol w:w="1006"/>
        <w:gridCol w:w="1021"/>
        <w:gridCol w:w="1006"/>
        <w:gridCol w:w="1022"/>
        <w:gridCol w:w="991"/>
        <w:gridCol w:w="1006"/>
        <w:gridCol w:w="1006"/>
        <w:gridCol w:w="1006"/>
      </w:tblGrid>
      <w:tr>
        <w:trPr>
          <w:trHeight w:val="405" w:hRule="exact"/>
        </w:trPr>
        <w:tc>
          <w:tcPr>
            <w:tcW w:w="1517" w:type="dxa"/>
            <w:vMerge w:val="restart"/>
            <w:tcBorders>
              <w:top w:val="single" w:sz="6" w:space="0" w:color="000000"/>
              <w:left w:val="single" w:sz="6" w:space="0" w:color="000000"/>
              <w:right w:val="single" w:sz="6" w:space="0" w:color="000000"/>
            </w:tcBorders>
            <w:shd w:val="clear" w:color="auto" w:fill="D2D2D2"/>
          </w:tcPr>
          <w:p>
            <w:pPr/>
          </w:p>
        </w:tc>
        <w:tc>
          <w:tcPr>
            <w:tcW w:w="4055"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401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405" w:hRule="exact"/>
        </w:trPr>
        <w:tc>
          <w:tcPr>
            <w:tcW w:w="1517" w:type="dxa"/>
            <w:vMerge/>
            <w:tcBorders>
              <w:left w:val="single" w:sz="6" w:space="0" w:color="000000"/>
              <w:bottom w:val="single" w:sz="6" w:space="0" w:color="000000"/>
              <w:right w:val="single" w:sz="6" w:space="0" w:color="000000"/>
            </w:tcBorders>
            <w:shd w:val="clear" w:color="auto" w:fill="D2D2D2"/>
          </w:tcPr>
          <w:p>
            <w:pP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第一季度</w:t>
            </w:r>
          </w:p>
        </w:tc>
        <w:tc>
          <w:tcPr>
            <w:tcW w:w="10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第二季度</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0"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9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第一季度</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5"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706" w:hRule="exact"/>
        </w:trPr>
        <w:tc>
          <w:tcPr>
            <w:tcW w:w="15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190,161,641.</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52</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196,673,562.</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83</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208,460,318.</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01</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344,324,932.</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12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152,134,421.</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21</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275,744,552.</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81</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261,479,146.</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18</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382,424,284.</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76</w:t>
            </w:r>
          </w:p>
        </w:tc>
      </w:tr>
      <w:tr>
        <w:trPr>
          <w:trHeight w:val="720" w:hRule="exact"/>
        </w:trPr>
        <w:tc>
          <w:tcPr>
            <w:tcW w:w="15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45"/>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2,137,730.41</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9,137,095.49</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18,218,393.5</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60,741,041.6</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9</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2,116,072.83</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34,495,072.9</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5</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40,452,627.4</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6</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56,209,709.2</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2</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right="1100"/>
        <w:jc w:val="left"/>
      </w:pPr>
      <w:r>
        <w:rPr/>
        <w:t>说明经营季节性（或周期性）发生的原因及波动风险</w:t>
      </w:r>
    </w:p>
    <w:p>
      <w:pPr>
        <w:spacing w:line="240" w:lineRule="auto" w:before="0"/>
        <w:rPr>
          <w:rFonts w:ascii="宋体" w:hAnsi="宋体" w:cs="宋体" w:eastAsia="宋体" w:hint="default"/>
          <w:sz w:val="18"/>
          <w:szCs w:val="18"/>
        </w:rPr>
      </w:pPr>
    </w:p>
    <w:p>
      <w:pPr>
        <w:pStyle w:val="Heading4"/>
        <w:spacing w:line="240" w:lineRule="auto" w:before="139"/>
        <w:ind w:right="110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5"/>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50"/>
          <w:pgMar w:header="731" w:footer="981" w:top="1040" w:bottom="1180" w:left="100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96"/>
        <w:ind w:right="-19"/>
        <w:jc w:val="left"/>
      </w:pPr>
      <w:r>
        <w:rPr/>
        <w:t>公司需遵守《深圳证券交易所行业信息披露指引第</w:t>
      </w:r>
      <w:r>
        <w:rPr>
          <w:spacing w:val="-40"/>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pStyle w:val="BodyText"/>
        <w:spacing w:line="240" w:lineRule="auto"/>
        <w:ind w:left="-21" w:right="0"/>
        <w:jc w:val="left"/>
      </w:pPr>
      <w:r>
        <w:rPr/>
        <w:t>单位：元</w:t>
      </w:r>
    </w:p>
    <w:p>
      <w:pPr>
        <w:spacing w:after="0" w:line="240" w:lineRule="auto"/>
        <w:jc w:val="left"/>
        <w:sectPr>
          <w:type w:val="continuous"/>
          <w:pgSz w:w="11910" w:h="16850"/>
          <w:pgMar w:top="1040" w:bottom="1180" w:left="1000" w:right="0"/>
          <w:cols w:num="2" w:equalWidth="0">
            <w:col w:w="9058" w:space="40"/>
            <w:col w:w="1812"/>
          </w:cols>
        </w:sectPr>
      </w:pP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67"/>
        <w:gridCol w:w="1367"/>
        <w:gridCol w:w="1382"/>
        <w:gridCol w:w="1367"/>
        <w:gridCol w:w="1367"/>
      </w:tblGrid>
      <w:tr>
        <w:trPr>
          <w:trHeight w:val="72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314" w:right="59"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300" w:right="59"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405" w:right="44" w:hanging="361"/>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390" w:hRule="exact"/>
        </w:trPr>
        <w:tc>
          <w:tcPr>
            <w:tcW w:w="9582" w:type="dxa"/>
            <w:gridSpan w:val="7"/>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信息安全行业</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939,620,454.48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579,072,859.57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38.37%</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-12.33%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-13.40%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0.76%</w:t>
            </w:r>
            <w:r>
              <w:rPr>
                <w:rFonts w:ascii="Times New Roman"/>
                <w:sz w:val="18"/>
              </w:rPr>
            </w:r>
          </w:p>
        </w:tc>
      </w:tr>
      <w:tr>
        <w:trPr>
          <w:trHeight w:val="406" w:hRule="exact"/>
        </w:trPr>
        <w:tc>
          <w:tcPr>
            <w:tcW w:w="9582" w:type="dxa"/>
            <w:gridSpan w:val="7"/>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USBKEY</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461,102,866.81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288,136,471.80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37.51%</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-19.54%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-19.26%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-0.22%</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动态令牌</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192,656,165.88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128,339,209.15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33.38%</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-34.01%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-35.19%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1.20%</w:t>
            </w:r>
            <w:r>
              <w:rPr>
                <w:rFonts w:ascii="Times New Roman"/>
                <w:sz w:val="18"/>
              </w:rPr>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芯片</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96,572,241.60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35,194,201.44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63.56%</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36.30%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18.65%</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5.43%</w:t>
            </w:r>
            <w:r>
              <w:rPr>
                <w:rFonts w:ascii="Times New Roman"/>
                <w:sz w:val="18"/>
              </w:rPr>
            </w:r>
          </w:p>
        </w:tc>
      </w:tr>
      <w:tr>
        <w:trPr>
          <w:trHeight w:val="406" w:hRule="exact"/>
        </w:trPr>
        <w:tc>
          <w:tcPr>
            <w:tcW w:w="9582" w:type="dxa"/>
            <w:gridSpan w:val="7"/>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783,113,374.69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505,497,102.36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35.45%</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-16.72%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-17.33%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0.48%</w:t>
            </w:r>
            <w:r>
              <w:rPr>
                <w:rFonts w:ascii="Times New Roman"/>
                <w:sz w:val="18"/>
              </w:rPr>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156,507,079.79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73,575,757.21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52.99%</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19.08%</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28.68%</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-3.51%</w:t>
            </w:r>
          </w:p>
        </w:tc>
      </w:tr>
    </w:tbl>
    <w:p>
      <w:pPr>
        <w:pStyle w:val="BodyText"/>
        <w:spacing w:line="240" w:lineRule="auto" w:before="60"/>
        <w:ind w:right="1100"/>
        <w:jc w:val="left"/>
      </w:pPr>
      <w:r>
        <w:rPr/>
        <w:t>公司主营业务数据统计口径在报告期发生调整的情况下，公司最近</w:t>
      </w:r>
      <w:r>
        <w:rPr>
          <w:spacing w:val="-39"/>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96"/>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4"/>
        <w:spacing w:line="240" w:lineRule="auto"/>
        <w:ind w:right="110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110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5"/>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1607"/>
        <w:gridCol w:w="1577"/>
        <w:gridCol w:w="1607"/>
        <w:gridCol w:w="1592"/>
        <w:gridCol w:w="1592"/>
        <w:gridCol w:w="1607"/>
      </w:tblGrid>
      <w:tr>
        <w:trPr>
          <w:trHeight w:val="405" w:hRule="exact"/>
        </w:trPr>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单位</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4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5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91" w:hRule="exact"/>
        </w:trPr>
        <w:tc>
          <w:tcPr>
            <w:tcW w:w="1607" w:type="dxa"/>
            <w:vMerge w:val="restart"/>
            <w:tcBorders>
              <w:top w:val="single" w:sz="6" w:space="0" w:color="000000"/>
              <w:left w:val="single" w:sz="6" w:space="0" w:color="000000"/>
              <w:right w:val="single" w:sz="18" w:space="0" w:color="D2D2D2"/>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USB-Key</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系列</w:t>
            </w:r>
          </w:p>
        </w:tc>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支</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19,387,514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23,600,765</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-17.85%</w:t>
            </w:r>
          </w:p>
        </w:tc>
      </w:tr>
      <w:tr>
        <w:trPr>
          <w:trHeight w:val="405" w:hRule="exact"/>
        </w:trPr>
        <w:tc>
          <w:tcPr>
            <w:tcW w:w="1607" w:type="dxa"/>
            <w:vMerge/>
            <w:tcBorders>
              <w:left w:val="single" w:sz="6" w:space="0" w:color="000000"/>
              <w:bottom w:val="single" w:sz="6" w:space="0" w:color="000000"/>
              <w:right w:val="single" w:sz="18" w:space="0" w:color="D2D2D2"/>
            </w:tcBorders>
          </w:tcPr>
          <w:p>
            <w:pPr/>
          </w:p>
        </w:tc>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支</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16,850,573</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24,530,567</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-31.31%</w:t>
            </w:r>
          </w:p>
        </w:tc>
      </w:tr>
      <w:tr>
        <w:trPr>
          <w:trHeight w:val="406" w:hRule="exact"/>
        </w:trPr>
        <w:tc>
          <w:tcPr>
            <w:tcW w:w="1607" w:type="dxa"/>
            <w:vMerge w:val="restart"/>
            <w:tcBorders>
              <w:top w:val="single" w:sz="6" w:space="0" w:color="000000"/>
              <w:left w:val="single" w:sz="6" w:space="0" w:color="000000"/>
              <w:right w:val="single" w:sz="18" w:space="0" w:color="D2D2D2"/>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OTP</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动态令牌系列</w:t>
            </w:r>
          </w:p>
        </w:tc>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支</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20,461,745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31,186,621</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-34.39%</w:t>
            </w:r>
          </w:p>
        </w:tc>
      </w:tr>
      <w:tr>
        <w:trPr>
          <w:trHeight w:val="405" w:hRule="exact"/>
        </w:trPr>
        <w:tc>
          <w:tcPr>
            <w:tcW w:w="1607" w:type="dxa"/>
            <w:vMerge/>
            <w:tcBorders>
              <w:left w:val="single" w:sz="6" w:space="0" w:color="000000"/>
              <w:bottom w:val="single" w:sz="6" w:space="0" w:color="000000"/>
              <w:right w:val="single" w:sz="18" w:space="0" w:color="D2D2D2"/>
            </w:tcBorders>
          </w:tcPr>
          <w:p>
            <w:pPr/>
          </w:p>
        </w:tc>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支</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15,029,521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34,525,181</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-56.47%</w:t>
            </w:r>
          </w:p>
        </w:tc>
      </w:tr>
      <w:tr>
        <w:trPr>
          <w:trHeight w:val="405" w:hRule="exact"/>
        </w:trPr>
        <w:tc>
          <w:tcPr>
            <w:tcW w:w="1607" w:type="dxa"/>
            <w:vMerge w:val="restart"/>
            <w:tcBorders>
              <w:top w:val="single" w:sz="6" w:space="0" w:color="000000"/>
              <w:left w:val="single" w:sz="6" w:space="0" w:color="000000"/>
              <w:right w:val="single" w:sz="18" w:space="0" w:color="D2D2D2"/>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芯片</w:t>
            </w:r>
          </w:p>
        </w:tc>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片</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12,796,018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7,513,794</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70.30%</w:t>
            </w:r>
            <w:r>
              <w:rPr>
                <w:rFonts w:ascii="Times New Roman"/>
                <w:sz w:val="18"/>
              </w:rPr>
            </w:r>
          </w:p>
        </w:tc>
      </w:tr>
      <w:tr>
        <w:trPr>
          <w:trHeight w:val="391" w:hRule="exact"/>
        </w:trPr>
        <w:tc>
          <w:tcPr>
            <w:tcW w:w="1607" w:type="dxa"/>
            <w:vMerge/>
            <w:tcBorders>
              <w:left w:val="single" w:sz="6" w:space="0" w:color="000000"/>
              <w:bottom w:val="single" w:sz="6" w:space="0" w:color="000000"/>
              <w:right w:val="single" w:sz="18" w:space="0" w:color="D2D2D2"/>
            </w:tcBorders>
          </w:tcPr>
          <w:p>
            <w:pPr/>
          </w:p>
        </w:tc>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片</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12,598,179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8,113,871</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55.27%</w:t>
            </w:r>
          </w:p>
        </w:tc>
      </w:tr>
      <w:tr>
        <w:trPr>
          <w:trHeight w:val="405" w:hRule="exact"/>
        </w:trPr>
        <w:tc>
          <w:tcPr>
            <w:tcW w:w="1607" w:type="dxa"/>
            <w:vMerge w:val="restart"/>
            <w:tcBorders>
              <w:top w:val="single" w:sz="6" w:space="0" w:color="000000"/>
              <w:left w:val="single" w:sz="6" w:space="0" w:color="000000"/>
              <w:right w:val="single" w:sz="18" w:space="0" w:color="D2D2D2"/>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加密锁系列</w:t>
            </w:r>
          </w:p>
        </w:tc>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支</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1,900,102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2,488,997</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-23.66%</w:t>
            </w:r>
          </w:p>
        </w:tc>
      </w:tr>
      <w:tr>
        <w:trPr>
          <w:trHeight w:val="405" w:hRule="exact"/>
        </w:trPr>
        <w:tc>
          <w:tcPr>
            <w:tcW w:w="1607" w:type="dxa"/>
            <w:vMerge/>
            <w:tcBorders>
              <w:left w:val="single" w:sz="6" w:space="0" w:color="000000"/>
              <w:bottom w:val="single" w:sz="6" w:space="0" w:color="000000"/>
              <w:right w:val="single" w:sz="18" w:space="0" w:color="D2D2D2"/>
            </w:tcBorders>
          </w:tcPr>
          <w:p>
            <w:pPr/>
          </w:p>
        </w:tc>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支</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1,646,278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2,540,196</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-35.19%</w:t>
            </w:r>
          </w:p>
        </w:tc>
      </w:tr>
      <w:tr>
        <w:trPr>
          <w:trHeight w:val="405" w:hRule="exact"/>
        </w:trPr>
        <w:tc>
          <w:tcPr>
            <w:tcW w:w="1607" w:type="dxa"/>
            <w:vMerge w:val="restart"/>
            <w:tcBorders>
              <w:top w:val="single" w:sz="6" w:space="0" w:color="000000"/>
              <w:left w:val="single" w:sz="6" w:space="0" w:color="000000"/>
              <w:right w:val="single" w:sz="18" w:space="0" w:color="D2D2D2"/>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卡及读写器系列</w:t>
            </w:r>
          </w:p>
        </w:tc>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支</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7,020,741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10,188,446</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-31.09%</w:t>
            </w:r>
          </w:p>
        </w:tc>
      </w:tr>
      <w:tr>
        <w:trPr>
          <w:trHeight w:val="405" w:hRule="exact"/>
        </w:trPr>
        <w:tc>
          <w:tcPr>
            <w:tcW w:w="1607" w:type="dxa"/>
            <w:vMerge/>
            <w:tcBorders>
              <w:left w:val="single" w:sz="6" w:space="0" w:color="000000"/>
              <w:bottom w:val="single" w:sz="6" w:space="0" w:color="000000"/>
              <w:right w:val="single" w:sz="18" w:space="0" w:color="D2D2D2"/>
            </w:tcBorders>
          </w:tcPr>
          <w:p>
            <w:pPr/>
          </w:p>
        </w:tc>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支</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12,216,179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10,675,406</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14.43%</w:t>
            </w:r>
          </w:p>
        </w:tc>
      </w:tr>
      <w:tr>
        <w:trPr>
          <w:trHeight w:val="390" w:hRule="exact"/>
        </w:trPr>
        <w:tc>
          <w:tcPr>
            <w:tcW w:w="1607" w:type="dxa"/>
            <w:vMerge w:val="restart"/>
            <w:tcBorders>
              <w:top w:val="single" w:sz="6" w:space="0" w:color="000000"/>
              <w:left w:val="single" w:sz="6" w:space="0" w:color="000000"/>
              <w:right w:val="single" w:sz="18" w:space="0" w:color="D2D2D2"/>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智能终端</w:t>
            </w:r>
          </w:p>
        </w:tc>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570,122</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607" w:type="dxa"/>
            <w:vMerge/>
            <w:tcBorders>
              <w:left w:val="single" w:sz="6" w:space="0" w:color="000000"/>
              <w:bottom w:val="single" w:sz="6" w:space="0" w:color="000000"/>
              <w:right w:val="single" w:sz="18" w:space="0" w:color="D2D2D2"/>
            </w:tcBorders>
          </w:tcPr>
          <w:p>
            <w:pPr/>
          </w:p>
        </w:tc>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1,052,124</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50"/>
          <w:pgMar w:top="1040" w:bottom="1180" w:left="1000" w:right="0"/>
        </w:sectPr>
      </w:pPr>
    </w:p>
    <w:p>
      <w:pPr>
        <w:spacing w:line="240" w:lineRule="auto" w:before="2"/>
        <w:rPr>
          <w:rFonts w:ascii="宋体" w:hAnsi="宋体" w:cs="宋体" w:eastAsia="宋体" w:hint="default"/>
          <w:sz w:val="27"/>
          <w:szCs w:val="27"/>
        </w:rPr>
      </w:pPr>
    </w:p>
    <w:p>
      <w:pPr>
        <w:pStyle w:val="BodyText"/>
        <w:spacing w:line="240" w:lineRule="auto" w:before="44"/>
        <w:ind w:right="1100"/>
        <w:jc w:val="left"/>
      </w:pPr>
      <w:r>
        <w:rPr/>
        <w:t>相关数据同比发生变动</w:t>
      </w:r>
      <w:r>
        <w:rPr>
          <w:spacing w:val="-43"/>
        </w:rPr>
        <w:t> </w:t>
      </w:r>
      <w:r>
        <w:rPr>
          <w:rFonts w:ascii="Times New Roman" w:hAnsi="Times New Roman" w:cs="Times New Roman" w:eastAsia="Times New Roman" w:hint="default"/>
        </w:rPr>
        <w:t>30%</w:t>
      </w:r>
      <w:r>
        <w:rPr/>
        <w:t>以上的原因说明</w:t>
      </w:r>
    </w:p>
    <w:p>
      <w:pPr>
        <w:pStyle w:val="BodyText"/>
        <w:spacing w:line="240" w:lineRule="auto" w:before="96"/>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304" w:lineRule="auto" w:before="111"/>
        <w:ind w:left="501" w:right="1100"/>
        <w:jc w:val="left"/>
      </w:pPr>
      <w:r>
        <w:rPr>
          <w:rFonts w:ascii="Times New Roman" w:hAnsi="Times New Roman" w:cs="Times New Roman" w:eastAsia="Times New Roman" w:hint="default"/>
        </w:rPr>
        <w:t>USB-Key</w:t>
      </w:r>
      <w:r>
        <w:rPr/>
        <w:t>系列生产量较上年同期减少</w:t>
      </w:r>
      <w:r>
        <w:rPr>
          <w:rFonts w:ascii="Times New Roman" w:hAnsi="Times New Roman" w:cs="Times New Roman" w:eastAsia="Times New Roman" w:hint="default"/>
        </w:rPr>
        <w:t>31.31%</w:t>
      </w:r>
      <w:r>
        <w:rPr/>
        <w:t>，主要系公司的主要银行客户的需求出现了较大幅度的下降所致。</w:t>
      </w:r>
      <w:r>
        <w:rPr>
          <w:spacing w:val="-82"/>
        </w:rPr>
        <w:t> </w:t>
      </w:r>
      <w:r>
        <w:rPr>
          <w:rFonts w:ascii="Times New Roman" w:hAnsi="Times New Roman" w:cs="Times New Roman" w:eastAsia="Times New Roman" w:hint="default"/>
        </w:rPr>
        <w:t>OTP</w:t>
      </w:r>
      <w:r>
        <w:rPr/>
        <w:t>动态令牌系列销售量较上年同期减少</w:t>
      </w:r>
      <w:r>
        <w:rPr>
          <w:rFonts w:ascii="Times New Roman" w:hAnsi="Times New Roman" w:cs="Times New Roman" w:eastAsia="Times New Roman" w:hint="default"/>
        </w:rPr>
        <w:t>34.39%</w:t>
      </w:r>
      <w:r>
        <w:rPr/>
        <w:t>，生产量较上年同期减少</w:t>
      </w:r>
      <w:r>
        <w:rPr>
          <w:rFonts w:ascii="Times New Roman" w:hAnsi="Times New Roman" w:cs="Times New Roman" w:eastAsia="Times New Roman" w:hint="default"/>
        </w:rPr>
        <w:t>56.47%</w:t>
      </w:r>
      <w:r>
        <w:rPr/>
        <w:t>，主要系公司的主要银行客户的需求</w:t>
      </w:r>
    </w:p>
    <w:p>
      <w:pPr>
        <w:pStyle w:val="BodyText"/>
        <w:spacing w:line="321" w:lineRule="auto"/>
        <w:ind w:left="501" w:right="1179" w:hanging="361"/>
        <w:jc w:val="left"/>
      </w:pPr>
      <w:r>
        <w:rPr/>
        <w:t>出现了较大幅度的下降所致。 芯片销售量较上年同期增加</w:t>
      </w:r>
      <w:r>
        <w:rPr>
          <w:rFonts w:ascii="Times New Roman" w:hAnsi="Times New Roman" w:cs="Times New Roman" w:eastAsia="Times New Roman" w:hint="default"/>
        </w:rPr>
        <w:t>70.30%</w:t>
      </w:r>
      <w:r>
        <w:rPr/>
        <w:t>，生产量较上年同期增加</w:t>
      </w:r>
      <w:r>
        <w:rPr>
          <w:rFonts w:ascii="Times New Roman" w:hAnsi="Times New Roman" w:cs="Times New Roman" w:eastAsia="Times New Roman" w:hint="default"/>
        </w:rPr>
        <w:t>55.27%</w:t>
      </w:r>
      <w:r>
        <w:rPr/>
        <w:t>，主要系公司智能交通项目</w:t>
      </w:r>
      <w:r>
        <w:rPr>
          <w:rFonts w:ascii="Times New Roman" w:hAnsi="Times New Roman" w:cs="Times New Roman" w:eastAsia="Times New Roman" w:hint="default"/>
        </w:rPr>
        <w:t>2019</w:t>
      </w:r>
      <w:r>
        <w:rPr/>
        <w:t>年大额供货，以及</w:t>
      </w:r>
    </w:p>
    <w:p>
      <w:pPr>
        <w:pStyle w:val="BodyText"/>
        <w:spacing w:line="219" w:lineRule="exact"/>
        <w:ind w:right="1100"/>
        <w:jc w:val="left"/>
      </w:pPr>
      <w:r>
        <w:rPr/>
        <w:t>公司物联网芯片开始面向市场供货所致。</w:t>
      </w:r>
    </w:p>
    <w:p>
      <w:pPr>
        <w:pStyle w:val="BodyText"/>
        <w:spacing w:line="240" w:lineRule="auto" w:before="95"/>
        <w:ind w:left="501" w:right="1100"/>
        <w:jc w:val="left"/>
      </w:pPr>
      <w:r>
        <w:rPr/>
        <w:t>加密锁系列生产量较上年同期下降</w:t>
      </w:r>
      <w:r>
        <w:rPr>
          <w:rFonts w:ascii="Times New Roman" w:hAnsi="Times New Roman" w:cs="Times New Roman" w:eastAsia="Times New Roman" w:hint="default"/>
        </w:rPr>
        <w:t>35.19%</w:t>
      </w:r>
      <w:r>
        <w:rPr/>
        <w:t>，主要系由于销售量下降，公司减少备货所致。</w:t>
      </w:r>
    </w:p>
    <w:p>
      <w:pPr>
        <w:pStyle w:val="BodyText"/>
        <w:spacing w:line="240" w:lineRule="auto" w:before="66"/>
        <w:ind w:left="501" w:right="1100"/>
        <w:jc w:val="left"/>
      </w:pPr>
      <w:r>
        <w:rPr>
          <w:rFonts w:ascii="Times New Roman" w:hAnsi="Times New Roman" w:cs="Times New Roman" w:eastAsia="Times New Roman" w:hint="default"/>
        </w:rPr>
        <w:t>IC</w:t>
      </w:r>
      <w:r>
        <w:rPr/>
        <w:t>卡及读写器系列销售量较上年同期下降</w:t>
      </w:r>
      <w:r>
        <w:rPr>
          <w:rFonts w:ascii="Times New Roman" w:hAnsi="Times New Roman" w:cs="Times New Roman" w:eastAsia="Times New Roman" w:hint="default"/>
        </w:rPr>
        <w:t>31.09%</w:t>
      </w:r>
      <w:r>
        <w:rPr/>
        <w:t>，主要系普通卡和读写器的销量下降所致。</w:t>
      </w:r>
    </w:p>
    <w:p>
      <w:pPr>
        <w:spacing w:line="240" w:lineRule="auto" w:before="7"/>
        <w:rPr>
          <w:rFonts w:ascii="宋体" w:hAnsi="宋体" w:cs="宋体" w:eastAsia="宋体" w:hint="default"/>
          <w:sz w:val="26"/>
          <w:szCs w:val="26"/>
        </w:rPr>
      </w:pPr>
    </w:p>
    <w:p>
      <w:pPr>
        <w:pStyle w:val="Heading4"/>
        <w:spacing w:line="240" w:lineRule="auto"/>
        <w:ind w:right="110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4"/>
        <w:spacing w:line="240" w:lineRule="auto" w:before="126"/>
        <w:ind w:right="110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right="1100"/>
        <w:jc w:val="left"/>
      </w:pPr>
      <w:r>
        <w:rPr/>
        <w:t>行业分类</w:t>
      </w:r>
    </w:p>
    <w:p>
      <w:pPr>
        <w:pStyle w:val="BodyText"/>
        <w:spacing w:line="240" w:lineRule="auto" w:before="124"/>
        <w:ind w:left="0" w:right="1110"/>
        <w:jc w:val="right"/>
      </w:pPr>
      <w:r>
        <w:rPr/>
        <w:t>单位：元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5"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4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27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5"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1"/>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59"/>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信息安全行业</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538,607,627.78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93.01%</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626,170,255.32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93.65%</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-0.64%</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信息安全行业</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28,626,020.64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4.94%</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29,969,779.08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4.48%</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0.46%</w:t>
            </w:r>
            <w:r>
              <w:rPr>
                <w:rFonts w:ascii="Times New Roman"/>
                <w:sz w:val="18"/>
              </w:rPr>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信息安全行业</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11,839,211.15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2.05%</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12,517,391.76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1.87%</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0.18%</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pStyle w:val="BodyText"/>
        <w:spacing w:line="240" w:lineRule="auto" w:before="45"/>
        <w:ind w:right="-19"/>
        <w:jc w:val="left"/>
      </w:pPr>
      <w:r>
        <w:rPr/>
        <w:t>说明</w:t>
      </w:r>
    </w:p>
    <w:p>
      <w:pPr>
        <w:pStyle w:val="BodyText"/>
        <w:spacing w:line="319" w:lineRule="auto" w:before="124"/>
        <w:ind w:right="-19"/>
        <w:jc w:val="left"/>
      </w:pPr>
      <w:r>
        <w:rPr/>
        <w:t>公司需遵守《深圳证券交易所行业信息披露指引第</w:t>
      </w:r>
      <w:r>
        <w:rPr>
          <w:spacing w:val="-40"/>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3"/>
        <w:ind w:left="-21" w:right="0"/>
        <w:jc w:val="left"/>
      </w:pPr>
      <w:r>
        <w:rPr/>
        <w:t>单位：元</w:t>
      </w:r>
    </w:p>
    <w:p>
      <w:pPr>
        <w:spacing w:after="0" w:line="240" w:lineRule="auto"/>
        <w:jc w:val="left"/>
        <w:sectPr>
          <w:type w:val="continuous"/>
          <w:pgSz w:w="11910" w:h="16850"/>
          <w:pgMar w:top="1040" w:bottom="1180" w:left="1000" w:right="0"/>
          <w:cols w:num="2" w:equalWidth="0">
            <w:col w:w="9058" w:space="40"/>
            <w:col w:w="1812"/>
          </w:cols>
        </w:sectPr>
      </w:pP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405" w:hRule="exact"/>
        </w:trPr>
        <w:tc>
          <w:tcPr>
            <w:tcW w:w="15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9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8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6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5" w:hRule="exact"/>
        </w:trPr>
        <w:tc>
          <w:tcPr>
            <w:tcW w:w="1592" w:type="dxa"/>
            <w:vMerge/>
            <w:tcBorders>
              <w:left w:val="single" w:sz="6" w:space="0" w:color="000000"/>
              <w:bottom w:val="single" w:sz="6" w:space="0" w:color="000000"/>
              <w:right w:val="single" w:sz="6" w:space="0" w:color="000000"/>
            </w:tcBorders>
            <w:shd w:val="clear" w:color="auto" w:fill="D2D2D2"/>
          </w:tcPr>
          <w:p>
            <w:pP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9"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65"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607"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538,607,627.78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93.01%</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626,170,255.32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93.65%</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-0.64%</w:t>
            </w:r>
          </w:p>
        </w:tc>
      </w:tr>
      <w:tr>
        <w:trPr>
          <w:trHeight w:val="390"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28,626,020.64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4.94%</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29,969,779.08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5"/>
                <w:sz w:val="18"/>
              </w:rPr>
              <w:t>4.48%</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0.46%</w:t>
            </w:r>
            <w:r>
              <w:rPr>
                <w:rFonts w:ascii="Times New Roman"/>
                <w:sz w:val="18"/>
              </w:rPr>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11,839,211.15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2.05%</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12,517,391.76</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1.87%</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0.18%</w:t>
            </w:r>
            <w:r>
              <w:rPr>
                <w:rFonts w:ascii="Times New Roman"/>
                <w:sz w:val="18"/>
              </w:rPr>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5"/>
        <w:rPr>
          <w:rFonts w:ascii="宋体" w:hAnsi="宋体" w:cs="宋体" w:eastAsia="宋体" w:hint="default"/>
          <w:b/>
          <w:bCs/>
          <w:sz w:val="26"/>
          <w:szCs w:val="26"/>
        </w:rPr>
      </w:pPr>
    </w:p>
    <w:p>
      <w:pPr>
        <w:pStyle w:val="BodyText"/>
        <w:spacing w:line="319" w:lineRule="auto"/>
        <w:ind w:right="948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合并范围的减少</w:t>
      </w:r>
    </w:p>
    <w:tbl>
      <w:tblPr>
        <w:tblW w:w="0" w:type="auto"/>
        <w:jc w:val="left"/>
        <w:tblInd w:w="111" w:type="dxa"/>
        <w:tblLayout w:type="fixed"/>
        <w:tblCellMar>
          <w:top w:w="0" w:type="dxa"/>
          <w:left w:w="0" w:type="dxa"/>
          <w:bottom w:w="0" w:type="dxa"/>
          <w:right w:w="0" w:type="dxa"/>
        </w:tblCellMar>
        <w:tblLook w:val="01E0"/>
      </w:tblPr>
      <w:tblGrid>
        <w:gridCol w:w="1547"/>
        <w:gridCol w:w="916"/>
        <w:gridCol w:w="931"/>
        <w:gridCol w:w="946"/>
        <w:gridCol w:w="1397"/>
        <w:gridCol w:w="1246"/>
        <w:gridCol w:w="2688"/>
      </w:tblGrid>
      <w:tr>
        <w:trPr>
          <w:trHeight w:val="961"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180" w:right="180"/>
              <w:jc w:val="left"/>
              <w:rPr>
                <w:rFonts w:ascii="宋体" w:hAnsi="宋体" w:cs="宋体" w:eastAsia="宋体" w:hint="default"/>
                <w:sz w:val="18"/>
                <w:szCs w:val="18"/>
              </w:rPr>
            </w:pPr>
            <w:r>
              <w:rPr>
                <w:rFonts w:ascii="宋体" w:hAnsi="宋体" w:cs="宋体" w:eastAsia="宋体" w:hint="default"/>
                <w:b/>
                <w:bCs/>
                <w:sz w:val="18"/>
                <w:szCs w:val="18"/>
              </w:rPr>
              <w:t>股权处</w:t>
            </w:r>
            <w:r>
              <w:rPr>
                <w:rFonts w:ascii="宋体" w:hAnsi="宋体" w:cs="宋体" w:eastAsia="宋体" w:hint="default"/>
                <w:b/>
                <w:bCs/>
                <w:w w:val="99"/>
                <w:sz w:val="18"/>
                <w:szCs w:val="18"/>
              </w:rPr>
              <w:t> </w:t>
            </w:r>
            <w:r>
              <w:rPr>
                <w:rFonts w:ascii="宋体" w:hAnsi="宋体" w:cs="宋体" w:eastAsia="宋体" w:hint="default"/>
                <w:b/>
                <w:bCs/>
                <w:sz w:val="18"/>
                <w:szCs w:val="18"/>
              </w:rPr>
              <w:t>置价款</w:t>
            </w:r>
            <w:r>
              <w:rPr>
                <w:rFonts w:ascii="宋体" w:hAnsi="宋体" w:cs="宋体" w:eastAsia="宋体" w:hint="default"/>
                <w:sz w:val="18"/>
                <w:szCs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336" w:lineRule="auto"/>
              <w:ind w:left="90" w:right="15" w:hanging="90"/>
              <w:jc w:val="left"/>
              <w:rPr>
                <w:rFonts w:ascii="宋体" w:hAnsi="宋体" w:cs="宋体" w:eastAsia="宋体" w:hint="default"/>
                <w:sz w:val="18"/>
                <w:szCs w:val="18"/>
              </w:rPr>
            </w:pPr>
            <w:r>
              <w:rPr>
                <w:rFonts w:ascii="宋体" w:hAnsi="宋体" w:cs="宋体" w:eastAsia="宋体" w:hint="default"/>
                <w:b/>
                <w:bCs/>
                <w:sz w:val="18"/>
                <w:szCs w:val="18"/>
              </w:rPr>
              <w:t>股权处置比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180" w:right="210"/>
              <w:jc w:val="left"/>
              <w:rPr>
                <w:rFonts w:ascii="宋体" w:hAnsi="宋体" w:cs="宋体" w:eastAsia="宋体" w:hint="default"/>
                <w:sz w:val="18"/>
                <w:szCs w:val="18"/>
              </w:rPr>
            </w:pPr>
            <w:r>
              <w:rPr>
                <w:rFonts w:ascii="宋体" w:hAnsi="宋体" w:cs="宋体" w:eastAsia="宋体" w:hint="default"/>
                <w:b/>
                <w:bCs/>
                <w:sz w:val="18"/>
                <w:szCs w:val="18"/>
              </w:rPr>
              <w:t>股权处</w:t>
            </w:r>
            <w:r>
              <w:rPr>
                <w:rFonts w:ascii="宋体" w:hAnsi="宋体" w:cs="宋体" w:eastAsia="宋体" w:hint="default"/>
                <w:b/>
                <w:bCs/>
                <w:w w:val="99"/>
                <w:sz w:val="18"/>
                <w:szCs w:val="18"/>
              </w:rPr>
              <w:t> </w:t>
            </w:r>
            <w:r>
              <w:rPr>
                <w:rFonts w:ascii="宋体" w:hAnsi="宋体" w:cs="宋体" w:eastAsia="宋体" w:hint="default"/>
                <w:b/>
                <w:bCs/>
                <w:sz w:val="18"/>
                <w:szCs w:val="18"/>
              </w:rPr>
              <w:t>置方式</w:t>
            </w:r>
            <w:r>
              <w:rPr>
                <w:rFonts w:ascii="宋体" w:hAnsi="宋体" w:cs="宋体" w:eastAsia="宋体" w:hint="default"/>
                <w:sz w:val="18"/>
                <w:szCs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330" w:right="329"/>
              <w:jc w:val="left"/>
              <w:rPr>
                <w:rFonts w:ascii="宋体" w:hAnsi="宋体" w:cs="宋体" w:eastAsia="宋体" w:hint="default"/>
                <w:sz w:val="18"/>
                <w:szCs w:val="18"/>
              </w:rPr>
            </w:pPr>
            <w:r>
              <w:rPr>
                <w:rFonts w:ascii="宋体" w:hAnsi="宋体" w:cs="宋体" w:eastAsia="宋体" w:hint="default"/>
                <w:b/>
                <w:bCs/>
                <w:sz w:val="18"/>
                <w:szCs w:val="18"/>
              </w:rPr>
              <w:t>丧失控制</w:t>
            </w:r>
            <w:r>
              <w:rPr>
                <w:rFonts w:ascii="宋体" w:hAnsi="宋体" w:cs="宋体" w:eastAsia="宋体" w:hint="default"/>
                <w:b/>
                <w:bCs/>
                <w:w w:val="99"/>
                <w:sz w:val="18"/>
                <w:szCs w:val="18"/>
              </w:rPr>
              <w:t> </w:t>
            </w:r>
            <w:r>
              <w:rPr>
                <w:rFonts w:ascii="宋体" w:hAnsi="宋体" w:cs="宋体" w:eastAsia="宋体" w:hint="default"/>
                <w:b/>
                <w:bCs/>
                <w:sz w:val="18"/>
                <w:szCs w:val="18"/>
              </w:rPr>
              <w:t>权的时点</w:t>
            </w:r>
            <w:r>
              <w:rPr>
                <w:rFonts w:ascii="宋体" w:hAnsi="宋体" w:cs="宋体" w:eastAsia="宋体" w:hint="default"/>
                <w:sz w:val="18"/>
                <w:szCs w:val="18"/>
              </w:rPr>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74" w:right="74"/>
              <w:jc w:val="left"/>
              <w:rPr>
                <w:rFonts w:ascii="宋体" w:hAnsi="宋体" w:cs="宋体" w:eastAsia="宋体" w:hint="default"/>
                <w:sz w:val="18"/>
                <w:szCs w:val="18"/>
              </w:rPr>
            </w:pPr>
            <w:r>
              <w:rPr>
                <w:rFonts w:ascii="宋体" w:hAnsi="宋体" w:cs="宋体" w:eastAsia="宋体" w:hint="default"/>
                <w:b/>
                <w:bCs/>
                <w:sz w:val="18"/>
                <w:szCs w:val="18"/>
              </w:rPr>
              <w:t>丧失控制权时</w:t>
            </w:r>
            <w:r>
              <w:rPr>
                <w:rFonts w:ascii="宋体" w:hAnsi="宋体" w:cs="宋体" w:eastAsia="宋体" w:hint="default"/>
                <w:b/>
                <w:bCs/>
                <w:w w:val="99"/>
                <w:sz w:val="18"/>
                <w:szCs w:val="18"/>
              </w:rPr>
              <w:t> </w:t>
            </w:r>
            <w:r>
              <w:rPr>
                <w:rFonts w:ascii="宋体" w:hAnsi="宋体" w:cs="宋体" w:eastAsia="宋体" w:hint="default"/>
                <w:b/>
                <w:bCs/>
                <w:sz w:val="18"/>
                <w:szCs w:val="18"/>
              </w:rPr>
              <w:t>点的确定依据</w:t>
            </w:r>
            <w:r>
              <w:rPr>
                <w:rFonts w:ascii="宋体" w:hAnsi="宋体" w:cs="宋体" w:eastAsia="宋体" w:hint="default"/>
                <w:sz w:val="18"/>
                <w:szCs w:val="18"/>
              </w:rPr>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60" w:right="76"/>
              <w:jc w:val="center"/>
              <w:rPr>
                <w:rFonts w:ascii="宋体" w:hAnsi="宋体" w:cs="宋体" w:eastAsia="宋体" w:hint="default"/>
                <w:sz w:val="18"/>
                <w:szCs w:val="18"/>
              </w:rPr>
            </w:pPr>
            <w:r>
              <w:rPr>
                <w:rFonts w:ascii="宋体" w:hAnsi="宋体" w:cs="宋体" w:eastAsia="宋体" w:hint="default"/>
                <w:b/>
                <w:bCs/>
                <w:sz w:val="18"/>
                <w:szCs w:val="18"/>
              </w:rPr>
              <w:t>处置价款与处置投资对应的合并</w:t>
            </w:r>
            <w:r>
              <w:rPr>
                <w:rFonts w:ascii="宋体" w:hAnsi="宋体" w:cs="宋体" w:eastAsia="宋体" w:hint="default"/>
                <w:b/>
                <w:bCs/>
                <w:w w:val="99"/>
                <w:sz w:val="18"/>
                <w:szCs w:val="18"/>
              </w:rPr>
              <w:t> </w:t>
            </w:r>
            <w:r>
              <w:rPr>
                <w:rFonts w:ascii="宋体" w:hAnsi="宋体" w:cs="宋体" w:eastAsia="宋体" w:hint="default"/>
                <w:b/>
                <w:bCs/>
                <w:sz w:val="18"/>
                <w:szCs w:val="18"/>
              </w:rPr>
              <w:t>财务报表层面享有该子公司净资</w:t>
            </w:r>
            <w:r>
              <w:rPr>
                <w:rFonts w:ascii="宋体" w:hAnsi="宋体" w:cs="宋体" w:eastAsia="宋体" w:hint="default"/>
                <w:b/>
                <w:bCs/>
                <w:w w:val="99"/>
                <w:sz w:val="18"/>
                <w:szCs w:val="18"/>
              </w:rPr>
              <w:t> </w:t>
            </w:r>
            <w:r>
              <w:rPr>
                <w:rFonts w:ascii="宋体" w:hAnsi="宋体" w:cs="宋体" w:eastAsia="宋体" w:hint="default"/>
                <w:b/>
                <w:bCs/>
                <w:sz w:val="18"/>
                <w:szCs w:val="18"/>
              </w:rPr>
              <w:t>产份额的差额</w:t>
            </w:r>
            <w:r>
              <w:rPr>
                <w:rFonts w:ascii="宋体" w:hAnsi="宋体" w:cs="宋体" w:eastAsia="宋体" w:hint="default"/>
                <w:sz w:val="18"/>
                <w:szCs w:val="18"/>
              </w:rPr>
            </w:r>
          </w:p>
        </w:tc>
      </w:tr>
    </w:tbl>
    <w:p>
      <w:pPr>
        <w:spacing w:after="0" w:line="321" w:lineRule="auto"/>
        <w:jc w:val="center"/>
        <w:rPr>
          <w:rFonts w:ascii="宋体" w:hAnsi="宋体" w:cs="宋体" w:eastAsia="宋体" w:hint="default"/>
          <w:sz w:val="18"/>
          <w:szCs w:val="18"/>
        </w:rPr>
        <w:sectPr>
          <w:type w:val="continuous"/>
          <w:pgSz w:w="11910" w:h="16850"/>
          <w:pgMar w:top="1040" w:bottom="1180" w:left="1000" w:right="0"/>
        </w:sectPr>
      </w:pPr>
    </w:p>
    <w:p>
      <w:pPr>
        <w:spacing w:line="240" w:lineRule="auto" w:before="6"/>
        <w:rPr>
          <w:rFonts w:ascii="宋体" w:hAnsi="宋体" w:cs="宋体" w:eastAsia="宋体" w:hint="default"/>
          <w:sz w:val="29"/>
          <w:szCs w:val="29"/>
        </w:rPr>
      </w:pPr>
    </w:p>
    <w:tbl>
      <w:tblPr>
        <w:tblW w:w="0" w:type="auto"/>
        <w:jc w:val="left"/>
        <w:tblInd w:w="111" w:type="dxa"/>
        <w:tblLayout w:type="fixed"/>
        <w:tblCellMar>
          <w:top w:w="0" w:type="dxa"/>
          <w:left w:w="0" w:type="dxa"/>
          <w:bottom w:w="0" w:type="dxa"/>
          <w:right w:w="0" w:type="dxa"/>
        </w:tblCellMar>
        <w:tblLook w:val="01E0"/>
      </w:tblPr>
      <w:tblGrid>
        <w:gridCol w:w="1547"/>
        <w:gridCol w:w="916"/>
        <w:gridCol w:w="931"/>
        <w:gridCol w:w="946"/>
        <w:gridCol w:w="1397"/>
        <w:gridCol w:w="1246"/>
        <w:gridCol w:w="2688"/>
      </w:tblGrid>
      <w:tr>
        <w:trPr>
          <w:trHeight w:val="645"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15" w:right="75"/>
              <w:jc w:val="left"/>
              <w:rPr>
                <w:rFonts w:ascii="宋体" w:hAnsi="宋体" w:cs="宋体" w:eastAsia="宋体" w:hint="default"/>
                <w:sz w:val="18"/>
                <w:szCs w:val="18"/>
              </w:rPr>
            </w:pPr>
            <w:r>
              <w:rPr>
                <w:rFonts w:ascii="宋体" w:hAnsi="宋体" w:cs="宋体" w:eastAsia="宋体" w:hint="default"/>
                <w:sz w:val="18"/>
                <w:szCs w:val="18"/>
              </w:rPr>
              <w:t>飞天万谷智能科技 有限公司</w:t>
            </w:r>
          </w:p>
        </w:tc>
        <w:tc>
          <w:tcPr>
            <w:tcW w:w="91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100.00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注销通知书</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856" w:right="0"/>
              <w:jc w:val="left"/>
              <w:rPr>
                <w:rFonts w:ascii="Times New Roman" w:hAnsi="Times New Roman" w:cs="Times New Roman" w:eastAsia="Times New Roman" w:hint="default"/>
                <w:sz w:val="18"/>
                <w:szCs w:val="18"/>
              </w:rPr>
            </w:pPr>
            <w:r>
              <w:rPr>
                <w:rFonts w:ascii="Times New Roman"/>
                <w:sz w:val="18"/>
              </w:rPr>
              <w:t>9,890,644.37</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4"/>
        <w:spacing w:line="240" w:lineRule="auto" w:before="35"/>
        <w:ind w:right="110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4"/>
        <w:spacing w:line="240" w:lineRule="auto"/>
        <w:ind w:right="110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1100"/>
        <w:jc w:val="left"/>
      </w:pPr>
      <w:r>
        <w:rPr/>
        <w:t>公司主要销售客户情况</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258"/>
        <w:gridCol w:w="5324"/>
      </w:tblGrid>
      <w:tr>
        <w:trPr>
          <w:trHeight w:val="405"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426,398,760.30</w:t>
            </w:r>
          </w:p>
        </w:tc>
      </w:tr>
      <w:tr>
        <w:trPr>
          <w:trHeight w:val="406"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45.38%</w:t>
            </w:r>
            <w:r>
              <w:rPr>
                <w:rFonts w:ascii="Times New Roman"/>
                <w:sz w:val="18"/>
              </w:rPr>
            </w:r>
          </w:p>
        </w:tc>
      </w:tr>
      <w:tr>
        <w:trPr>
          <w:trHeight w:val="706"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85"/>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2.05%</w:t>
            </w:r>
          </w:p>
        </w:tc>
      </w:tr>
    </w:tbl>
    <w:p>
      <w:pPr>
        <w:pStyle w:val="BodyText"/>
        <w:spacing w:line="240" w:lineRule="auto" w:before="60"/>
        <w:ind w:right="1100"/>
        <w:jc w:val="left"/>
      </w:pPr>
      <w:r>
        <w:rPr/>
        <w:t>公司前</w:t>
      </w:r>
      <w:r>
        <w:rPr>
          <w:spacing w:val="-45"/>
        </w:rPr>
        <w:t> </w:t>
      </w:r>
      <w:r>
        <w:rPr>
          <w:rFonts w:ascii="Times New Roman" w:hAnsi="Times New Roman" w:cs="Times New Roman" w:eastAsia="Times New Roman" w:hint="default"/>
        </w:rPr>
        <w:t>5 </w:t>
      </w:r>
      <w:r>
        <w:rPr/>
        <w:t>大客户资料</w:t>
      </w:r>
    </w:p>
    <w:p>
      <w:pPr>
        <w:spacing w:line="240" w:lineRule="auto" w:before="3"/>
        <w:rPr>
          <w:rFonts w:ascii="宋体" w:hAnsi="宋体" w:cs="宋体" w:eastAsia="宋体" w:hint="default"/>
          <w:sz w:val="6"/>
          <w:szCs w:val="6"/>
        </w:rPr>
      </w:pPr>
    </w:p>
    <w:tbl>
      <w:tblPr>
        <w:tblW w:w="0" w:type="auto"/>
        <w:jc w:val="left"/>
        <w:tblInd w:w="133" w:type="dxa"/>
        <w:tblLayout w:type="fixed"/>
        <w:tblCellMar>
          <w:top w:w="0" w:type="dxa"/>
          <w:left w:w="0" w:type="dxa"/>
          <w:bottom w:w="0" w:type="dxa"/>
          <w:right w:w="0" w:type="dxa"/>
        </w:tblCellMar>
        <w:tblLook w:val="01E0"/>
      </w:tblPr>
      <w:tblGrid>
        <w:gridCol w:w="781"/>
        <w:gridCol w:w="3327"/>
        <w:gridCol w:w="2313"/>
        <w:gridCol w:w="3154"/>
      </w:tblGrid>
      <w:tr>
        <w:trPr>
          <w:trHeight w:val="406"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0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6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5"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1</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221,951,787.29</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23.62%</w:t>
            </w:r>
            <w:r>
              <w:rPr>
                <w:rFonts w:ascii="Times New Roman"/>
                <w:sz w:val="18"/>
              </w:rPr>
            </w:r>
          </w:p>
        </w:tc>
      </w:tr>
      <w:tr>
        <w:trPr>
          <w:trHeight w:val="405"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7" w:right="0"/>
              <w:jc w:val="left"/>
              <w:rPr>
                <w:rFonts w:ascii="Times New Roman" w:hAnsi="Times New Roman" w:cs="Times New Roman" w:eastAsia="Times New Roman" w:hint="default"/>
                <w:sz w:val="18"/>
                <w:szCs w:val="18"/>
              </w:rPr>
            </w:pPr>
            <w:r>
              <w:rPr>
                <w:rFonts w:ascii="Times New Roman"/>
                <w:sz w:val="18"/>
              </w:rPr>
              <w:t>2</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135,676,994.88</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14.44%</w:t>
            </w:r>
            <w:r>
              <w:rPr>
                <w:rFonts w:ascii="Times New Roman"/>
                <w:sz w:val="18"/>
              </w:rPr>
            </w:r>
          </w:p>
        </w:tc>
      </w:tr>
      <w:tr>
        <w:trPr>
          <w:trHeight w:val="390"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7" w:right="0"/>
              <w:jc w:val="left"/>
              <w:rPr>
                <w:rFonts w:ascii="Times New Roman" w:hAnsi="Times New Roman" w:cs="Times New Roman" w:eastAsia="Times New Roman" w:hint="default"/>
                <w:sz w:val="18"/>
                <w:szCs w:val="18"/>
              </w:rPr>
            </w:pPr>
            <w:r>
              <w:rPr>
                <w:rFonts w:ascii="Times New Roman"/>
                <w:sz w:val="18"/>
              </w:rPr>
              <w:t>3</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30,449,062.83</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3.24%</w:t>
            </w:r>
            <w:r>
              <w:rPr>
                <w:rFonts w:ascii="Times New Roman"/>
                <w:sz w:val="18"/>
              </w:rPr>
            </w:r>
          </w:p>
        </w:tc>
      </w:tr>
      <w:tr>
        <w:trPr>
          <w:trHeight w:val="406"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4</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19,228,961.39</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2.05%</w:t>
            </w:r>
            <w:r>
              <w:rPr>
                <w:rFonts w:ascii="Times New Roman"/>
                <w:sz w:val="18"/>
              </w:rPr>
            </w:r>
          </w:p>
        </w:tc>
      </w:tr>
      <w:tr>
        <w:trPr>
          <w:trHeight w:val="405"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5</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19,091,953.91</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2.03%</w:t>
            </w:r>
            <w:r>
              <w:rPr>
                <w:rFonts w:ascii="Times New Roman"/>
                <w:sz w:val="18"/>
              </w:rPr>
            </w:r>
          </w:p>
        </w:tc>
      </w:tr>
      <w:tr>
        <w:trPr>
          <w:trHeight w:val="391"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center"/>
              <w:rPr>
                <w:rFonts w:ascii="Times New Roman" w:hAnsi="Times New Roman" w:cs="Times New Roman" w:eastAsia="Times New Roman" w:hint="default"/>
                <w:sz w:val="18"/>
                <w:szCs w:val="18"/>
              </w:rPr>
            </w:pPr>
            <w:r>
              <w:rPr>
                <w:rFonts w:ascii="Times New Roman"/>
                <w:sz w:val="18"/>
              </w:rPr>
              <w:t>--</w:t>
            </w:r>
          </w:p>
        </w:tc>
        <w:tc>
          <w:tcPr>
            <w:tcW w:w="2313"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426,398,760.30</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45.38%</w:t>
            </w:r>
            <w:r>
              <w:rPr>
                <w:rFonts w:ascii="Times New Roman"/>
                <w:sz w:val="18"/>
              </w:rPr>
            </w:r>
          </w:p>
        </w:tc>
      </w:tr>
    </w:tbl>
    <w:p>
      <w:pPr>
        <w:pStyle w:val="BodyText"/>
        <w:spacing w:line="240" w:lineRule="auto" w:before="44"/>
        <w:ind w:right="1100"/>
        <w:jc w:val="left"/>
      </w:pPr>
      <w:r>
        <w:rPr/>
        <w:t>主要客户其他情况说明</w:t>
      </w:r>
    </w:p>
    <w:p>
      <w:pPr>
        <w:pStyle w:val="BodyText"/>
        <w:spacing w:line="319" w:lineRule="auto" w:before="140"/>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公司主要供应商情况</w:t>
      </w:r>
    </w:p>
    <w:p>
      <w:pPr>
        <w:spacing w:line="240" w:lineRule="auto" w:before="11"/>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4258"/>
        <w:gridCol w:w="5324"/>
      </w:tblGrid>
      <w:tr>
        <w:trPr>
          <w:trHeight w:val="405"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127,422,105.39</w:t>
            </w:r>
          </w:p>
        </w:tc>
      </w:tr>
      <w:tr>
        <w:trPr>
          <w:trHeight w:val="405"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28.45%</w:t>
            </w:r>
            <w:r>
              <w:rPr>
                <w:rFonts w:ascii="Times New Roman"/>
                <w:sz w:val="18"/>
              </w:rPr>
            </w:r>
          </w:p>
        </w:tc>
      </w:tr>
      <w:tr>
        <w:trPr>
          <w:trHeight w:val="706"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85"/>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9"/>
        <w:ind w:right="1100"/>
        <w:jc w:val="left"/>
      </w:pPr>
      <w:r>
        <w:rPr/>
        <w:t>公司前</w:t>
      </w:r>
      <w:r>
        <w:rPr>
          <w:spacing w:val="-45"/>
        </w:rPr>
        <w:t> </w:t>
      </w:r>
      <w:r>
        <w:rPr>
          <w:rFonts w:ascii="Times New Roman" w:hAnsi="Times New Roman" w:cs="Times New Roman" w:eastAsia="Times New Roman" w:hint="default"/>
        </w:rPr>
        <w:t>5 </w:t>
      </w:r>
      <w:r>
        <w:rPr/>
        <w:t>名供应商资料</w:t>
      </w:r>
    </w:p>
    <w:p>
      <w:pPr>
        <w:spacing w:line="240" w:lineRule="auto" w:before="3"/>
        <w:rPr>
          <w:rFonts w:ascii="宋体" w:hAnsi="宋体" w:cs="宋体" w:eastAsia="宋体" w:hint="default"/>
          <w:sz w:val="6"/>
          <w:szCs w:val="6"/>
        </w:rPr>
      </w:pPr>
    </w:p>
    <w:tbl>
      <w:tblPr>
        <w:tblW w:w="0" w:type="auto"/>
        <w:jc w:val="left"/>
        <w:tblInd w:w="133" w:type="dxa"/>
        <w:tblLayout w:type="fixed"/>
        <w:tblCellMar>
          <w:top w:w="0" w:type="dxa"/>
          <w:left w:w="0" w:type="dxa"/>
          <w:bottom w:w="0" w:type="dxa"/>
          <w:right w:w="0" w:type="dxa"/>
        </w:tblCellMar>
        <w:tblLook w:val="01E0"/>
      </w:tblPr>
      <w:tblGrid>
        <w:gridCol w:w="916"/>
        <w:gridCol w:w="3192"/>
        <w:gridCol w:w="2313"/>
        <w:gridCol w:w="3154"/>
      </w:tblGrid>
      <w:tr>
        <w:trPr>
          <w:trHeight w:val="406"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6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6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5"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1</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60"/>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38,243,905.47</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8.54%</w:t>
            </w:r>
            <w:r>
              <w:rPr>
                <w:rFonts w:ascii="Times New Roman"/>
                <w:sz w:val="18"/>
              </w:rPr>
            </w:r>
          </w:p>
        </w:tc>
      </w:tr>
      <w:tr>
        <w:trPr>
          <w:trHeight w:val="405"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2</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35,253,526.29</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7.87%</w:t>
            </w:r>
            <w:r>
              <w:rPr>
                <w:rFonts w:ascii="Times New Roman"/>
                <w:sz w:val="18"/>
              </w:rPr>
            </w:r>
          </w:p>
        </w:tc>
      </w:tr>
      <w:tr>
        <w:trPr>
          <w:trHeight w:val="406"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3</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60"/>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20,148,993.38</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4.50%</w:t>
            </w:r>
            <w:r>
              <w:rPr>
                <w:rFonts w:ascii="Times New Roman"/>
                <w:sz w:val="18"/>
              </w:rPr>
            </w:r>
          </w:p>
        </w:tc>
      </w:tr>
      <w:tr>
        <w:trPr>
          <w:trHeight w:val="390"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7" w:right="0"/>
              <w:jc w:val="left"/>
              <w:rPr>
                <w:rFonts w:ascii="Times New Roman" w:hAnsi="Times New Roman" w:cs="Times New Roman" w:eastAsia="Times New Roman" w:hint="default"/>
                <w:sz w:val="18"/>
                <w:szCs w:val="18"/>
              </w:rPr>
            </w:pPr>
            <w:r>
              <w:rPr>
                <w:rFonts w:ascii="Times New Roman"/>
                <w:sz w:val="18"/>
              </w:rPr>
              <w:t>4</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18,232,716.93</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4.07%</w:t>
            </w:r>
            <w:r>
              <w:rPr>
                <w:rFonts w:ascii="Times New Roman"/>
                <w:sz w:val="18"/>
              </w:rPr>
            </w:r>
          </w:p>
        </w:tc>
      </w:tr>
      <w:tr>
        <w:trPr>
          <w:trHeight w:val="405"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5</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15,542,963.32</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3.47%</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931"/>
        <w:gridCol w:w="3169"/>
        <w:gridCol w:w="2328"/>
        <w:gridCol w:w="3154"/>
      </w:tblGrid>
      <w:tr>
        <w:trPr>
          <w:trHeight w:val="390" w:hRule="exact"/>
        </w:trPr>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232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left="1156" w:right="0"/>
              <w:jc w:val="left"/>
              <w:rPr>
                <w:rFonts w:ascii="Times New Roman" w:hAnsi="Times New Roman" w:cs="Times New Roman" w:eastAsia="Times New Roman" w:hint="default"/>
                <w:sz w:val="18"/>
                <w:szCs w:val="18"/>
              </w:rPr>
            </w:pPr>
            <w:r>
              <w:rPr>
                <w:rFonts w:ascii="Times New Roman"/>
                <w:sz w:val="18"/>
              </w:rPr>
              <w:t>127,422,105.39</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28.45%</w:t>
            </w:r>
            <w:r>
              <w:rPr>
                <w:rFonts w:ascii="Times New Roman"/>
                <w:sz w:val="18"/>
              </w:rPr>
            </w:r>
          </w:p>
        </w:tc>
      </w:tr>
    </w:tbl>
    <w:p>
      <w:pPr>
        <w:pStyle w:val="BodyText"/>
        <w:spacing w:line="240" w:lineRule="auto" w:before="45"/>
        <w:ind w:right="1100"/>
        <w:jc w:val="left"/>
      </w:pPr>
      <w:r>
        <w:rPr/>
        <w:t>主要供应商其他情况说明</w:t>
      </w:r>
    </w:p>
    <w:p>
      <w:pPr>
        <w:pStyle w:val="BodyText"/>
        <w:spacing w:line="240" w:lineRule="auto" w:before="139"/>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4"/>
        <w:spacing w:line="240" w:lineRule="auto"/>
        <w:ind w:right="110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900"/>
        <w:gridCol w:w="1652"/>
        <w:gridCol w:w="1637"/>
        <w:gridCol w:w="1457"/>
        <w:gridCol w:w="2929"/>
      </w:tblGrid>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0"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1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91"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5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110,788,751.98</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104,767,771.30</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5.75%</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5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118,753,054.40</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86,345,812.14</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37.53%</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主要系本期职工薪酬增加所致。</w:t>
            </w:r>
          </w:p>
        </w:tc>
      </w:tr>
      <w:tr>
        <w:trPr>
          <w:trHeight w:val="406"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5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-4,158,514.55</w:t>
            </w:r>
            <w:r>
              <w:rPr>
                <w:rFonts w:ascii="Times New Roman"/>
                <w:sz w:val="18"/>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-5,700,536.85</w:t>
            </w:r>
            <w:r>
              <w:rPr>
                <w:rFonts w:ascii="Times New Roman"/>
                <w:sz w:val="18"/>
              </w:rPr>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27.05%</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主要系汇兑损益减少所致。</w:t>
            </w:r>
          </w:p>
        </w:tc>
      </w:tr>
      <w:tr>
        <w:trPr>
          <w:trHeight w:val="390"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5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91,379,748.03</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118,343,498.99</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-22.78%</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主要系研发投入减少所致。</w:t>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5"/>
        <w:rPr>
          <w:rFonts w:ascii="宋体" w:hAnsi="宋体" w:cs="宋体" w:eastAsia="宋体" w:hint="default"/>
          <w:b/>
          <w:bCs/>
          <w:sz w:val="26"/>
          <w:szCs w:val="26"/>
        </w:rPr>
      </w:pPr>
    </w:p>
    <w:p>
      <w:pPr>
        <w:pStyle w:val="BodyText"/>
        <w:spacing w:line="326" w:lineRule="auto"/>
        <w:ind w:right="1194"/>
        <w:jc w:val="left"/>
      </w:pPr>
      <w:r>
        <w:rPr/>
        <w:pict>
          <v:shape style="position:absolute;margin-left:55.575001pt;margin-top:48.061729pt;width:484.75pt;height:382.8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85"/>
                    <w:gridCol w:w="1953"/>
                    <w:gridCol w:w="2373"/>
                    <w:gridCol w:w="2688"/>
                    <w:gridCol w:w="2072"/>
                  </w:tblGrid>
                  <w:tr>
                    <w:trPr>
                      <w:trHeight w:val="360" w:hRule="exact"/>
                    </w:trPr>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3"/>
                          <w:jc w:val="center"/>
                          <w:rPr>
                            <w:rFonts w:ascii="宋体" w:hAnsi="宋体" w:cs="宋体" w:eastAsia="宋体" w:hint="default"/>
                            <w:sz w:val="18"/>
                            <w:szCs w:val="18"/>
                          </w:rPr>
                        </w:pPr>
                        <w:r>
                          <w:rPr>
                            <w:rFonts w:ascii="宋体" w:hAnsi="宋体" w:cs="宋体" w:eastAsia="宋体" w:hint="default"/>
                            <w:sz w:val="18"/>
                            <w:szCs w:val="18"/>
                          </w:rPr>
                          <w:t>名称</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3" w:right="0"/>
                          <w:jc w:val="center"/>
                          <w:rPr>
                            <w:rFonts w:ascii="宋体" w:hAnsi="宋体" w:cs="宋体" w:eastAsia="宋体" w:hint="default"/>
                            <w:sz w:val="18"/>
                            <w:szCs w:val="18"/>
                          </w:rPr>
                        </w:pPr>
                        <w:r>
                          <w:rPr>
                            <w:rFonts w:ascii="宋体" w:hAnsi="宋体" w:cs="宋体" w:eastAsia="宋体" w:hint="default"/>
                            <w:sz w:val="18"/>
                            <w:szCs w:val="18"/>
                          </w:rPr>
                          <w:t>项目介绍</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项目进展</w:t>
                        </w:r>
                      </w:p>
                    </w:tc>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35" w:right="0"/>
                          <w:jc w:val="left"/>
                          <w:rPr>
                            <w:rFonts w:ascii="宋体" w:hAnsi="宋体" w:cs="宋体" w:eastAsia="宋体" w:hint="default"/>
                            <w:sz w:val="18"/>
                            <w:szCs w:val="18"/>
                          </w:rPr>
                        </w:pPr>
                        <w:r>
                          <w:rPr>
                            <w:rFonts w:ascii="宋体" w:hAnsi="宋体" w:cs="宋体" w:eastAsia="宋体" w:hint="default"/>
                            <w:sz w:val="18"/>
                            <w:szCs w:val="18"/>
                          </w:rPr>
                          <w:t>对公司生产经营的影响</w:t>
                        </w:r>
                      </w:p>
                    </w:tc>
                  </w:tr>
                  <w:tr>
                    <w:trPr>
                      <w:trHeight w:val="2523" w:hRule="exact"/>
                    </w:trPr>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18"/>
                            <w:szCs w:val="18"/>
                          </w:rPr>
                        </w:pPr>
                        <w:r>
                          <w:rPr>
                            <w:rFonts w:ascii="宋体"/>
                            <w:sz w:val="18"/>
                          </w:rPr>
                          <w:t>1</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right="135"/>
                          <w:jc w:val="left"/>
                          <w:rPr>
                            <w:rFonts w:ascii="宋体" w:hAnsi="宋体" w:cs="宋体" w:eastAsia="宋体" w:hint="default"/>
                            <w:sz w:val="18"/>
                            <w:szCs w:val="18"/>
                          </w:rPr>
                        </w:pPr>
                        <w:r>
                          <w:rPr>
                            <w:rFonts w:ascii="宋体" w:hAnsi="宋体" w:cs="宋体" w:eastAsia="宋体" w:hint="default"/>
                            <w:sz w:val="18"/>
                            <w:szCs w:val="18"/>
                          </w:rPr>
                          <w:t>蓝牙指纹卡门禁系统研 发</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ind w:left="15" w:right="2"/>
                          <w:jc w:val="left"/>
                          <w:rPr>
                            <w:rFonts w:ascii="宋体" w:hAnsi="宋体" w:cs="宋体" w:eastAsia="宋体" w:hint="default"/>
                            <w:sz w:val="18"/>
                            <w:szCs w:val="18"/>
                          </w:rPr>
                        </w:pPr>
                        <w:r>
                          <w:rPr>
                            <w:rFonts w:ascii="宋体" w:hAnsi="宋体" w:cs="宋体" w:eastAsia="宋体" w:hint="default"/>
                            <w:sz w:val="18"/>
                            <w:szCs w:val="18"/>
                          </w:rPr>
                          <w:t>基于指纹的身份识别功能，采 用非接触式指纹卡作为门禁 卡，在门禁系统中构建基于国 密算法的双因素身份鉴别体 系，打造更加安全的新一代门 禁系统，为冬奥会比赛场馆核 心区域、办公楼宇等重要设施 的出入控制提供安全保障。</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ind w:right="-27"/>
                          <w:jc w:val="both"/>
                          <w:rPr>
                            <w:rFonts w:ascii="宋体" w:hAnsi="宋体" w:cs="宋体" w:eastAsia="宋体" w:hint="default"/>
                            <w:sz w:val="18"/>
                            <w:szCs w:val="18"/>
                          </w:rPr>
                        </w:pPr>
                        <w:r>
                          <w:rPr>
                            <w:rFonts w:ascii="宋体" w:hAnsi="宋体" w:cs="宋体" w:eastAsia="宋体" w:hint="default"/>
                            <w:spacing w:val="-3"/>
                            <w:sz w:val="18"/>
                            <w:szCs w:val="18"/>
                          </w:rPr>
                          <w:t>目前，蓝牙指纹卡门禁系统已研发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成功，融合双因素身份鉴别体系， </w:t>
                        </w:r>
                        <w:r>
                          <w:rPr>
                            <w:rFonts w:ascii="宋体" w:hAnsi="宋体" w:cs="宋体" w:eastAsia="宋体" w:hint="default"/>
                            <w:spacing w:val="-3"/>
                            <w:sz w:val="18"/>
                            <w:szCs w:val="18"/>
                          </w:rPr>
                          <w:t>研发高性能、高安全的新一代门禁</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系统，能够在现有门禁系统硬件基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础上通过改造升级完成部署，从技</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术上保证“一人一卡”。本项目共</w:t>
                        </w:r>
                        <w:r>
                          <w:rPr>
                            <w:rFonts w:ascii="宋体" w:hAnsi="宋体" w:cs="宋体" w:eastAsia="宋体" w:hint="default"/>
                            <w:sz w:val="18"/>
                            <w:szCs w:val="18"/>
                          </w:rPr>
                          <w:t> 申请</w:t>
                        </w:r>
                        <w:r>
                          <w:rPr>
                            <w:rFonts w:ascii="宋体" w:hAnsi="宋体" w:cs="宋体" w:eastAsia="宋体" w:hint="default"/>
                            <w:sz w:val="18"/>
                            <w:szCs w:val="18"/>
                          </w:rPr>
                          <w:t>2</w:t>
                        </w:r>
                        <w:r>
                          <w:rPr>
                            <w:rFonts w:ascii="宋体" w:hAnsi="宋体" w:cs="宋体" w:eastAsia="宋体" w:hint="default"/>
                            <w:sz w:val="18"/>
                            <w:szCs w:val="18"/>
                          </w:rPr>
                          <w:t>项专利。</w:t>
                        </w:r>
                      </w:p>
                    </w:tc>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ind w:left="15" w:right="60"/>
                          <w:jc w:val="left"/>
                          <w:rPr>
                            <w:rFonts w:ascii="宋体" w:hAnsi="宋体" w:cs="宋体" w:eastAsia="宋体" w:hint="default"/>
                            <w:sz w:val="18"/>
                            <w:szCs w:val="18"/>
                          </w:rPr>
                        </w:pPr>
                        <w:r>
                          <w:rPr>
                            <w:rFonts w:ascii="宋体" w:hAnsi="宋体" w:cs="宋体" w:eastAsia="宋体" w:hint="default"/>
                            <w:sz w:val="18"/>
                            <w:szCs w:val="18"/>
                          </w:rPr>
                          <w:t>过本项目的新增技术优势 和产业化优势，将增强企 业持续盈利能力，努力将 飞天诚信建成一个现代 化、创新型的信息安全产 品研发、生产、销售和服 务基地。</w:t>
                        </w:r>
                      </w:p>
                    </w:tc>
                  </w:tr>
                  <w:tr>
                    <w:trPr>
                      <w:trHeight w:val="3167" w:hRule="exact"/>
                    </w:trPr>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sz w:val="18"/>
                          </w:rPr>
                          <w:t>2</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4"/>
                          <w:ind w:right="135"/>
                          <w:jc w:val="left"/>
                          <w:rPr>
                            <w:rFonts w:ascii="宋体" w:hAnsi="宋体" w:cs="宋体" w:eastAsia="宋体" w:hint="default"/>
                            <w:sz w:val="18"/>
                            <w:szCs w:val="18"/>
                          </w:rPr>
                        </w:pPr>
                        <w:r>
                          <w:rPr>
                            <w:rFonts w:ascii="宋体" w:hAnsi="宋体" w:cs="宋体" w:eastAsia="宋体" w:hint="default"/>
                            <w:sz w:val="18"/>
                            <w:szCs w:val="18"/>
                          </w:rPr>
                          <w:t>云音箱智能物联系统研 发</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4"/>
                          <w:ind w:left="15" w:right="-15"/>
                          <w:jc w:val="both"/>
                          <w:rPr>
                            <w:rFonts w:ascii="宋体" w:hAnsi="宋体" w:cs="宋体" w:eastAsia="宋体" w:hint="default"/>
                            <w:sz w:val="18"/>
                            <w:szCs w:val="18"/>
                          </w:rPr>
                        </w:pPr>
                        <w:r>
                          <w:rPr>
                            <w:rFonts w:ascii="宋体" w:hAnsi="宋体" w:cs="宋体" w:eastAsia="宋体" w:hint="default"/>
                            <w:sz w:val="18"/>
                            <w:szCs w:val="18"/>
                          </w:rPr>
                          <w:t>本项目研发的云音箱支持支付 宝、微信、云闪付等其他第三 方支付工具扫码支付，实时语 音播报收款内容，音量大，音 </w:t>
                        </w:r>
                        <w:r>
                          <w:rPr>
                            <w:rFonts w:ascii="宋体" w:hAnsi="宋体" w:cs="宋体" w:eastAsia="宋体" w:hint="default"/>
                            <w:spacing w:val="-12"/>
                            <w:sz w:val="18"/>
                            <w:szCs w:val="18"/>
                          </w:rPr>
                          <w:t>质清晰，操作简单，使用方便，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适用于各种中小型菜市场、奶</w:t>
                        </w:r>
                        <w:r>
                          <w:rPr>
                            <w:rFonts w:ascii="宋体" w:hAnsi="宋体" w:cs="宋体" w:eastAsia="宋体" w:hint="default"/>
                            <w:sz w:val="18"/>
                            <w:szCs w:val="18"/>
                          </w:rPr>
                          <w:t> 茶店、便利店、早餐店、小吃 街、快餐店等场景收银，能够 帮助商户快速确认消费者的付 款到账情况，确保收款安全。</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4"/>
                          <w:ind w:right="1"/>
                          <w:jc w:val="left"/>
                          <w:rPr>
                            <w:rFonts w:ascii="宋体" w:hAnsi="宋体" w:cs="宋体" w:eastAsia="宋体" w:hint="default"/>
                            <w:sz w:val="18"/>
                            <w:szCs w:val="18"/>
                          </w:rPr>
                        </w:pPr>
                        <w:r>
                          <w:rPr>
                            <w:rFonts w:ascii="宋体" w:hAnsi="宋体" w:cs="宋体" w:eastAsia="宋体" w:hint="default"/>
                            <w:sz w:val="18"/>
                            <w:szCs w:val="18"/>
                          </w:rPr>
                          <w:t>已经完成二维码收钱播报器云音 </w:t>
                        </w:r>
                        <w:r>
                          <w:rPr>
                            <w:rFonts w:ascii="宋体" w:hAnsi="宋体" w:cs="宋体" w:eastAsia="宋体" w:hint="default"/>
                            <w:spacing w:val="-3"/>
                            <w:sz w:val="18"/>
                            <w:szCs w:val="18"/>
                          </w:rPr>
                          <w:t>箱的研发工作，产品能够实现静态</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二维码收款，交易金额实时语音播</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8"/>
                            <w:sz w:val="18"/>
                            <w:szCs w:val="18"/>
                          </w:rPr>
                          <w:t>报，提醒商户、顾客确认交易信息</w:t>
                        </w:r>
                        <w:r>
                          <w:rPr>
                            <w:rFonts w:ascii="宋体" w:hAnsi="宋体" w:cs="宋体" w:eastAsia="宋体" w:hint="default"/>
                            <w:sz w:val="18"/>
                            <w:szCs w:val="18"/>
                          </w:rPr>
                          <w:t> </w:t>
                        </w:r>
                        <w:r>
                          <w:rPr>
                            <w:rFonts w:ascii="宋体" w:hAnsi="宋体" w:cs="宋体" w:eastAsia="宋体" w:hint="default"/>
                            <w:spacing w:val="-2"/>
                            <w:sz w:val="18"/>
                            <w:szCs w:val="18"/>
                          </w:rPr>
                          <w:t>提高收银员工作效率、准确率，确</w:t>
                        </w:r>
                        <w:r>
                          <w:rPr>
                            <w:rFonts w:ascii="宋体" w:hAnsi="宋体" w:cs="宋体" w:eastAsia="宋体" w:hint="default"/>
                            <w:sz w:val="18"/>
                            <w:szCs w:val="18"/>
                          </w:rPr>
                          <w:t> 保收款安全。</w:t>
                        </w:r>
                      </w:p>
                    </w:tc>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4"/>
                          <w:ind w:left="15" w:right="60"/>
                          <w:jc w:val="both"/>
                          <w:rPr>
                            <w:rFonts w:ascii="宋体" w:hAnsi="宋体" w:cs="宋体" w:eastAsia="宋体" w:hint="default"/>
                            <w:sz w:val="18"/>
                            <w:szCs w:val="18"/>
                          </w:rPr>
                        </w:pPr>
                        <w:r>
                          <w:rPr>
                            <w:rFonts w:ascii="宋体" w:hAnsi="宋体" w:cs="宋体" w:eastAsia="宋体" w:hint="default"/>
                            <w:sz w:val="18"/>
                            <w:szCs w:val="18"/>
                          </w:rPr>
                          <w:t>通过本项目的新增技术优 势和产业化优势，力争占 领更广阔的市场。</w:t>
                        </w:r>
                      </w:p>
                      <w:p>
                        <w:pPr>
                          <w:pStyle w:val="TableParagraph"/>
                          <w:spacing w:line="240" w:lineRule="auto" w:before="4"/>
                          <w:ind w:left="-109"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1592" w:hRule="exact"/>
                    </w:trPr>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18"/>
                            <w:szCs w:val="18"/>
                          </w:rPr>
                        </w:pPr>
                        <w:r>
                          <w:rPr>
                            <w:rFonts w:ascii="宋体"/>
                            <w:sz w:val="18"/>
                          </w:rPr>
                          <w:t>3</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35"/>
                          <w:jc w:val="center"/>
                          <w:rPr>
                            <w:rFonts w:ascii="宋体" w:hAnsi="宋体" w:cs="宋体" w:eastAsia="宋体" w:hint="default"/>
                            <w:sz w:val="18"/>
                            <w:szCs w:val="18"/>
                          </w:rPr>
                        </w:pPr>
                        <w:r>
                          <w:rPr>
                            <w:rFonts w:ascii="宋体" w:hAnsi="宋体" w:cs="宋体" w:eastAsia="宋体" w:hint="default"/>
                            <w:sz w:val="18"/>
                            <w:szCs w:val="18"/>
                          </w:rPr>
                          <w:t>统一身份认证平台研发</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ind w:left="15" w:right="2"/>
                          <w:jc w:val="both"/>
                          <w:rPr>
                            <w:rFonts w:ascii="宋体" w:hAnsi="宋体" w:cs="宋体" w:eastAsia="宋体" w:hint="default"/>
                            <w:sz w:val="18"/>
                            <w:szCs w:val="18"/>
                          </w:rPr>
                        </w:pPr>
                        <w:r>
                          <w:rPr>
                            <w:rFonts w:ascii="宋体" w:hAnsi="宋体" w:cs="宋体" w:eastAsia="宋体" w:hint="default"/>
                            <w:sz w:val="18"/>
                            <w:szCs w:val="18"/>
                          </w:rPr>
                          <w:t>统一身份认证平台将作为企业 基础服务系统系统，为各个业 务渠道及信息系统的登录、支 付等提供安全身份认证服务和 电子合同服务。</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ind w:right="-27"/>
                          <w:jc w:val="left"/>
                          <w:rPr>
                            <w:rFonts w:ascii="宋体" w:hAnsi="宋体" w:cs="宋体" w:eastAsia="宋体" w:hint="default"/>
                            <w:sz w:val="18"/>
                            <w:szCs w:val="18"/>
                          </w:rPr>
                        </w:pPr>
                        <w:r>
                          <w:rPr>
                            <w:rFonts w:ascii="宋体" w:hAnsi="宋体" w:cs="宋体" w:eastAsia="宋体" w:hint="default"/>
                            <w:spacing w:val="-3"/>
                            <w:sz w:val="18"/>
                            <w:szCs w:val="18"/>
                          </w:rPr>
                          <w:t>目前，统一身份认证平台已经研发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成功，提供多种强身份认证方式， 包含短信口令认证、</w:t>
                        </w:r>
                        <w:r>
                          <w:rPr>
                            <w:rFonts w:ascii="宋体" w:hAnsi="宋体" w:cs="宋体" w:eastAsia="宋体" w:hint="default"/>
                            <w:sz w:val="18"/>
                            <w:szCs w:val="18"/>
                          </w:rPr>
                          <w:t>OTP</w:t>
                        </w:r>
                        <w:r>
                          <w:rPr>
                            <w:rFonts w:ascii="宋体" w:hAnsi="宋体" w:cs="宋体" w:eastAsia="宋体" w:hint="default"/>
                            <w:sz w:val="18"/>
                            <w:szCs w:val="18"/>
                          </w:rPr>
                          <w:t>认证、推 送认证、人脸认证、</w:t>
                        </w:r>
                        <w:r>
                          <w:rPr>
                            <w:rFonts w:ascii="宋体" w:hAnsi="宋体" w:cs="宋体" w:eastAsia="宋体" w:hint="default"/>
                            <w:sz w:val="18"/>
                            <w:szCs w:val="18"/>
                          </w:rPr>
                          <w:t>FIDO</w:t>
                        </w:r>
                        <w:r>
                          <w:rPr>
                            <w:rFonts w:ascii="宋体" w:hAnsi="宋体" w:cs="宋体" w:eastAsia="宋体" w:hint="default"/>
                            <w:sz w:val="18"/>
                            <w:szCs w:val="18"/>
                          </w:rPr>
                          <w:t>指纹</w:t>
                        </w:r>
                        <w:r>
                          <w:rPr>
                            <w:rFonts w:ascii="宋体" w:hAnsi="宋体" w:cs="宋体" w:eastAsia="宋体" w:hint="default"/>
                            <w:sz w:val="18"/>
                            <w:szCs w:val="18"/>
                          </w:rPr>
                          <w:t>/</w:t>
                        </w:r>
                        <w:r>
                          <w:rPr>
                            <w:rFonts w:ascii="宋体" w:hAnsi="宋体" w:cs="宋体" w:eastAsia="宋体" w:hint="default"/>
                            <w:sz w:val="18"/>
                            <w:szCs w:val="18"/>
                          </w:rPr>
                          <w:t>虹 </w:t>
                        </w:r>
                        <w:r>
                          <w:rPr>
                            <w:rFonts w:ascii="宋体" w:hAnsi="宋体" w:cs="宋体" w:eastAsia="宋体" w:hint="default"/>
                            <w:spacing w:val="-3"/>
                            <w:sz w:val="18"/>
                            <w:szCs w:val="18"/>
                          </w:rPr>
                          <w:t>膜认证等，可满足不同业务渠道不</w:t>
                        </w:r>
                      </w:p>
                    </w:tc>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ind w:left="15" w:right="60"/>
                          <w:jc w:val="both"/>
                          <w:rPr>
                            <w:rFonts w:ascii="宋体" w:hAnsi="宋体" w:cs="宋体" w:eastAsia="宋体" w:hint="default"/>
                            <w:sz w:val="18"/>
                            <w:szCs w:val="18"/>
                          </w:rPr>
                        </w:pPr>
                        <w:r>
                          <w:rPr>
                            <w:rFonts w:ascii="宋体" w:hAnsi="宋体" w:cs="宋体" w:eastAsia="宋体" w:hint="default"/>
                            <w:sz w:val="18"/>
                            <w:szCs w:val="18"/>
                          </w:rPr>
                          <w:t>统一身份认证平台基于统 一的模式、集中的环境， 完成对企业内网用户的身 份认证和权限管理，使整 个平台具有先进性与安全</w:t>
                        </w:r>
                      </w:p>
                    </w:tc>
                  </w:tr>
                </w:tbl>
                <w:p>
                  <w:pP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报告期内公司一如既往地重视技术研发投入力度，报告期内研发投入费用</w:t>
      </w:r>
      <w:r>
        <w:rPr>
          <w:rFonts w:ascii="Times New Roman" w:hAnsi="Times New Roman" w:cs="Times New Roman" w:eastAsia="Times New Roman" w:hint="default"/>
        </w:rPr>
        <w:t>9,137.97</w:t>
      </w:r>
      <w:r>
        <w:rPr/>
        <w:t>万元，占营业收入的</w:t>
      </w:r>
      <w:r>
        <w:rPr>
          <w:rFonts w:ascii="Times New Roman" w:hAnsi="Times New Roman" w:cs="Times New Roman" w:eastAsia="Times New Roman" w:hint="default"/>
        </w:rPr>
        <w:t>9.73%</w:t>
      </w:r>
      <w:r>
        <w:rPr/>
        <w:t>，比上年同期</w:t>
      </w:r>
      <w:r>
        <w:rPr>
          <w:spacing w:val="-81"/>
        </w:rPr>
        <w:t> </w:t>
      </w:r>
      <w:r>
        <w:rPr/>
        <w:t>减少</w:t>
      </w:r>
      <w:r>
        <w:rPr>
          <w:rFonts w:ascii="Times New Roman" w:hAnsi="Times New Roman" w:cs="Times New Roman" w:eastAsia="Times New Roman" w:hint="default"/>
        </w:rPr>
        <w:t>1.34%</w:t>
      </w:r>
      <w:r>
        <w:rPr/>
        <w:t>，报告期内，公司研发计划顺利展开，按计划完成了研发项目的立项、验收工作。主要研发项目如下：</w:t>
      </w:r>
    </w:p>
    <w:p>
      <w:pPr>
        <w:spacing w:after="0" w:line="326" w:lineRule="auto"/>
        <w:jc w:val="lef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11" w:type="dxa"/>
        <w:tblLayout w:type="fixed"/>
        <w:tblCellMar>
          <w:top w:w="0" w:type="dxa"/>
          <w:left w:w="0" w:type="dxa"/>
          <w:bottom w:w="0" w:type="dxa"/>
          <w:right w:w="0" w:type="dxa"/>
        </w:tblCellMar>
        <w:tblLook w:val="01E0"/>
      </w:tblPr>
      <w:tblGrid>
        <w:gridCol w:w="585"/>
        <w:gridCol w:w="1953"/>
        <w:gridCol w:w="2373"/>
        <w:gridCol w:w="2688"/>
        <w:gridCol w:w="2072"/>
      </w:tblGrid>
      <w:tr>
        <w:trPr>
          <w:trHeight w:val="1291" w:hRule="exact"/>
        </w:trPr>
        <w:tc>
          <w:tcPr>
            <w:tcW w:w="585" w:type="dxa"/>
            <w:tcBorders>
              <w:top w:val="single" w:sz="6" w:space="0" w:color="000000"/>
              <w:left w:val="single" w:sz="6" w:space="0" w:color="000000"/>
              <w:bottom w:val="single" w:sz="6" w:space="0" w:color="000000"/>
              <w:right w:val="single" w:sz="6" w:space="0" w:color="000000"/>
            </w:tcBorders>
          </w:tcPr>
          <w:p>
            <w:pPr/>
          </w:p>
        </w:tc>
        <w:tc>
          <w:tcPr>
            <w:tcW w:w="1953"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14"/>
              <w:ind w:right="1"/>
              <w:jc w:val="left"/>
              <w:rPr>
                <w:rFonts w:ascii="宋体" w:hAnsi="宋体" w:cs="宋体" w:eastAsia="宋体" w:hint="default"/>
                <w:sz w:val="18"/>
                <w:szCs w:val="18"/>
              </w:rPr>
            </w:pPr>
            <w:r>
              <w:rPr>
                <w:rFonts w:ascii="宋体" w:hAnsi="宋体" w:cs="宋体" w:eastAsia="宋体" w:hint="default"/>
                <w:spacing w:val="-3"/>
                <w:sz w:val="18"/>
                <w:szCs w:val="18"/>
              </w:rPr>
              <w:t>同用户群体的多层次需求。本项目</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共申请</w:t>
            </w:r>
            <w:r>
              <w:rPr>
                <w:rFonts w:ascii="宋体" w:hAnsi="宋体" w:cs="宋体" w:eastAsia="宋体" w:hint="default"/>
                <w:sz w:val="18"/>
                <w:szCs w:val="18"/>
              </w:rPr>
              <w:t>3</w:t>
            </w:r>
            <w:r>
              <w:rPr>
                <w:rFonts w:ascii="宋体" w:hAnsi="宋体" w:cs="宋体" w:eastAsia="宋体" w:hint="default"/>
                <w:sz w:val="18"/>
                <w:szCs w:val="18"/>
              </w:rPr>
              <w:t>项专利，均为发明专利。</w:t>
            </w:r>
          </w:p>
        </w:tc>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4"/>
              <w:ind w:left="15" w:right="60"/>
              <w:jc w:val="left"/>
              <w:rPr>
                <w:rFonts w:ascii="宋体" w:hAnsi="宋体" w:cs="宋体" w:eastAsia="宋体" w:hint="default"/>
                <w:sz w:val="18"/>
                <w:szCs w:val="18"/>
              </w:rPr>
            </w:pPr>
            <w:r>
              <w:rPr>
                <w:rFonts w:ascii="宋体" w:hAnsi="宋体" w:cs="宋体" w:eastAsia="宋体" w:hint="default"/>
                <w:sz w:val="18"/>
                <w:szCs w:val="18"/>
              </w:rPr>
              <w:t>性，有助于推进我国网络 可信身份认证互通互认将 增强企业的持续盈利能 力。</w:t>
            </w:r>
          </w:p>
        </w:tc>
      </w:tr>
    </w:tbl>
    <w:p>
      <w:pPr>
        <w:spacing w:line="240" w:lineRule="auto" w:before="13"/>
        <w:rPr>
          <w:rFonts w:ascii="宋体" w:hAnsi="宋体" w:cs="宋体" w:eastAsia="宋体" w:hint="default"/>
          <w:sz w:val="22"/>
          <w:szCs w:val="22"/>
        </w:rPr>
      </w:pPr>
    </w:p>
    <w:p>
      <w:pPr>
        <w:pStyle w:val="BodyText"/>
        <w:spacing w:line="240" w:lineRule="auto" w:before="44"/>
        <w:ind w:right="1100"/>
        <w:jc w:val="left"/>
      </w:pPr>
      <w:r>
        <w:rPr/>
        <w:t>近三年公司研发投入金额及占营业收入的比例</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373"/>
        <w:gridCol w:w="2411"/>
        <w:gridCol w:w="2388"/>
        <w:gridCol w:w="2403"/>
      </w:tblGrid>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59"/>
              <w:ind w:right="13"/>
              <w:jc w:val="right"/>
              <w:rPr>
                <w:rFonts w:ascii="宋体" w:hAnsi="宋体" w:cs="宋体" w:eastAsia="宋体" w:hint="default"/>
                <w:sz w:val="18"/>
                <w:szCs w:val="18"/>
              </w:rPr>
            </w:pPr>
            <w:r>
              <w:rPr>
                <w:rFonts w:ascii="Times New Roman" w:hAnsi="Times New Roman" w:cs="Times New Roman" w:eastAsia="Times New Roman" w:hint="default"/>
                <w:sz w:val="18"/>
                <w:szCs w:val="18"/>
              </w:rPr>
              <w:t>258 </w:t>
            </w:r>
            <w:r>
              <w:rPr>
                <w:rFonts w:ascii="宋体" w:hAnsi="宋体" w:cs="宋体" w:eastAsia="宋体" w:hint="default"/>
                <w:sz w:val="18"/>
                <w:szCs w:val="18"/>
              </w:rPr>
              <w:t>人</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331</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343</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27.68%</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36.17%</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37.90%</w:t>
            </w:r>
            <w:r>
              <w:rPr>
                <w:rFonts w:ascii="Times New Roman"/>
                <w:sz w:val="18"/>
              </w:rPr>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91,379,748.03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118,598,215.97</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121,578,601.92</w:t>
            </w:r>
          </w:p>
        </w:tc>
      </w:tr>
      <w:tr>
        <w:trPr>
          <w:trHeight w:val="391"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9.73%</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11.07%</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11.02%</w:t>
            </w:r>
            <w:r>
              <w:rPr>
                <w:rFonts w:ascii="Times New Roman"/>
                <w:sz w:val="18"/>
              </w:rPr>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254,716.98</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1,181,985.46</w:t>
            </w:r>
          </w:p>
        </w:tc>
      </w:tr>
      <w:tr>
        <w:trPr>
          <w:trHeight w:val="721"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188"/>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0.21%</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0.97%</w:t>
            </w:r>
            <w:r>
              <w:rPr>
                <w:rFonts w:ascii="Times New Roman"/>
                <w:sz w:val="18"/>
              </w:rPr>
            </w:r>
          </w:p>
        </w:tc>
      </w:tr>
      <w:tr>
        <w:trPr>
          <w:trHeight w:val="7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188"/>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0.19%</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1.13%</w:t>
            </w:r>
            <w:r>
              <w:rPr>
                <w:rFonts w:ascii="Times New Roman"/>
                <w:sz w:val="18"/>
              </w:rPr>
            </w:r>
          </w:p>
        </w:tc>
      </w:tr>
    </w:tbl>
    <w:p>
      <w:pPr>
        <w:pStyle w:val="BodyText"/>
        <w:spacing w:line="240" w:lineRule="auto" w:before="44"/>
        <w:ind w:right="1100"/>
        <w:jc w:val="left"/>
      </w:pPr>
      <w:r>
        <w:rPr/>
        <w:t>研发投入总额占营业收入的比重较上年发生显著变化的原因</w:t>
      </w:r>
    </w:p>
    <w:p>
      <w:pPr>
        <w:pStyle w:val="BodyText"/>
        <w:spacing w:line="333" w:lineRule="auto" w:before="125"/>
        <w:ind w:right="67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研发投入资本化率大幅变动的原因及其合理性说明</w:t>
      </w:r>
    </w:p>
    <w:p>
      <w:pPr>
        <w:pStyle w:val="BodyText"/>
        <w:spacing w:line="240" w:lineRule="auto" w:before="54"/>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pStyle w:val="BodyText"/>
        <w:spacing w:line="240" w:lineRule="auto" w:before="111"/>
        <w:ind w:right="1100"/>
        <w:jc w:val="left"/>
      </w:pPr>
      <w:r>
        <w:rPr/>
        <w:t>公司需遵守《深圳证券交易所行业信息披露指引第</w:t>
      </w:r>
      <w:r>
        <w:rPr>
          <w:spacing w:val="-40"/>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6"/>
        <w:rPr>
          <w:rFonts w:ascii="宋体" w:hAnsi="宋体" w:cs="宋体" w:eastAsia="宋体" w:hint="default"/>
          <w:sz w:val="26"/>
          <w:szCs w:val="26"/>
        </w:rPr>
      </w:pPr>
    </w:p>
    <w:p>
      <w:pPr>
        <w:pStyle w:val="Heading4"/>
        <w:spacing w:line="240" w:lineRule="auto"/>
        <w:ind w:right="110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373"/>
        <w:gridCol w:w="2411"/>
        <w:gridCol w:w="2388"/>
        <w:gridCol w:w="2403"/>
      </w:tblGrid>
      <w:tr>
        <w:trPr>
          <w:trHeight w:val="4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4"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390"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1,064,105,503.96</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1,254,557,529.16</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sz w:val="18"/>
              </w:rPr>
              <w:t>-15.18%</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944,948,644.23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1,246,403,095.80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-24.19%</w:t>
            </w:r>
          </w:p>
        </w:tc>
      </w:tr>
      <w:tr>
        <w:trPr>
          <w:trHeight w:val="721"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188"/>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119,156,859.73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8,154,433.36</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1,361.25%</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2,019,737,949.71</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2,165,457,471.46</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-6.73%</w:t>
            </w:r>
          </w:p>
        </w:tc>
      </w:tr>
      <w:tr>
        <w:trPr>
          <w:trHeight w:val="391"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2,278,137,083.92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2,082,530,223.73</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9.39%</w:t>
            </w:r>
            <w:r>
              <w:rPr>
                <w:rFonts w:ascii="Times New Roman"/>
                <w:sz w:val="18"/>
              </w:rPr>
            </w:r>
          </w:p>
        </w:tc>
      </w:tr>
      <w:tr>
        <w:trPr>
          <w:trHeight w:val="720"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188"/>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-258,399,134.21</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82,927,247.73</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-411.60%</w:t>
            </w:r>
            <w:r>
              <w:rPr>
                <w:rFonts w:ascii="Times New Roman"/>
                <w:sz w:val="18"/>
              </w:rPr>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20,922,681.58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20,922,548.11</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7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188"/>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-20,922,681.58</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-20,922,548.11</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-158,727,529.39</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74,234,193.73</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-313.82%</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right="1100"/>
        <w:jc w:val="left"/>
      </w:pPr>
      <w:r>
        <w:rPr/>
        <w:t>相关数据同比发生重大变动的主要影响因素说明</w:t>
      </w:r>
    </w:p>
    <w:p>
      <w:pPr>
        <w:pStyle w:val="BodyText"/>
        <w:spacing w:line="240" w:lineRule="auto" w:before="125"/>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304" w:lineRule="auto" w:before="111"/>
        <w:ind w:right="1141"/>
        <w:jc w:val="left"/>
      </w:pPr>
      <w:r>
        <w:rPr>
          <w:rFonts w:ascii="Times New Roman" w:hAnsi="Times New Roman" w:cs="Times New Roman" w:eastAsia="Times New Roman" w:hint="default"/>
        </w:rPr>
        <w:t>1.</w:t>
      </w:r>
      <w:r>
        <w:rPr/>
        <w:t>报告期内，</w:t>
      </w:r>
      <w:r>
        <w:rPr>
          <w:spacing w:val="-7"/>
        </w:rPr>
        <w:t> </w:t>
      </w:r>
      <w:r>
        <w:rPr/>
        <w:t>经营活动产生的现金流量净额较上年同期增加</w:t>
      </w:r>
      <w:r>
        <w:rPr>
          <w:rFonts w:ascii="Times New Roman" w:hAnsi="Times New Roman" w:cs="Times New Roman" w:eastAsia="Times New Roman" w:hint="default"/>
        </w:rPr>
        <w:t>1361.25%</w:t>
      </w:r>
      <w:r>
        <w:rPr/>
        <w:t>，其中经营活动现金流入较上年同期减少</w:t>
      </w:r>
      <w:r>
        <w:rPr>
          <w:rFonts w:ascii="Times New Roman" w:hAnsi="Times New Roman" w:cs="Times New Roman" w:eastAsia="Times New Roman" w:hint="default"/>
        </w:rPr>
        <w:t>15.18%</w:t>
      </w:r>
      <w:r>
        <w:rPr/>
        <w:t>，主 要原因为本期销售商品、提供劳务收到的现金及收到的税费返还减少所致；经营活动现金流出较上年同期减少</w:t>
      </w:r>
      <w:r>
        <w:rPr>
          <w:rFonts w:ascii="Times New Roman" w:hAnsi="Times New Roman" w:cs="Times New Roman" w:eastAsia="Times New Roman" w:hint="default"/>
        </w:rPr>
        <w:t>24.19%</w:t>
      </w:r>
      <w:r>
        <w:rPr/>
        <w:t>，主</w:t>
      </w:r>
      <w:r>
        <w:rPr>
          <w:spacing w:val="-79"/>
        </w:rPr>
        <w:t> </w:t>
      </w:r>
      <w:r>
        <w:rPr/>
        <w:t>要原因是购买商品、接受劳务支付的现金减少所致。 </w:t>
      </w:r>
      <w:r>
        <w:rPr>
          <w:rFonts w:ascii="Times New Roman" w:hAnsi="Times New Roman" w:cs="Times New Roman" w:eastAsia="Times New Roman" w:hint="default"/>
        </w:rPr>
        <w:t>2.</w:t>
      </w:r>
      <w:r>
        <w:rPr/>
        <w:t>报告期内，投资活动产生的现金流量净额较上年同期减少</w:t>
      </w:r>
      <w:r>
        <w:rPr>
          <w:rFonts w:ascii="Times New Roman" w:hAnsi="Times New Roman" w:cs="Times New Roman" w:eastAsia="Times New Roman" w:hint="default"/>
        </w:rPr>
        <w:t>411.60%</w:t>
      </w:r>
      <w:r>
        <w:rPr/>
        <w:t>，主要系本期理财净支出增加所致。</w:t>
      </w:r>
    </w:p>
    <w:p>
      <w:pPr>
        <w:pStyle w:val="BodyText"/>
        <w:spacing w:line="290" w:lineRule="auto" w:before="12"/>
        <w:ind w:right="1149"/>
        <w:jc w:val="left"/>
      </w:pPr>
      <w:r>
        <w:rPr>
          <w:rFonts w:ascii="Times New Roman" w:hAnsi="Times New Roman" w:cs="Times New Roman" w:eastAsia="Times New Roman" w:hint="default"/>
        </w:rPr>
        <w:t>3.</w:t>
      </w:r>
      <w:r>
        <w:rPr/>
        <w:t>报告期内，现金及现金等价物净增加额较上年同期减少了</w:t>
      </w:r>
      <w:r>
        <w:rPr>
          <w:rFonts w:ascii="Times New Roman" w:hAnsi="Times New Roman" w:cs="Times New Roman" w:eastAsia="Times New Roman" w:hint="default"/>
        </w:rPr>
        <w:t>313.82%</w:t>
      </w:r>
      <w:r>
        <w:rPr/>
        <w:t>，主要系本期理财投入增加及购买商品、接受劳务支付</w:t>
      </w:r>
      <w:r>
        <w:rPr>
          <w:spacing w:val="-84"/>
        </w:rPr>
        <w:t> </w:t>
      </w:r>
      <w:r>
        <w:rPr/>
        <w:t>的现金减少所致。</w:t>
      </w:r>
    </w:p>
    <w:p>
      <w:pPr>
        <w:pStyle w:val="BodyText"/>
        <w:spacing w:line="240" w:lineRule="auto" w:before="87"/>
        <w:ind w:right="1100"/>
        <w:jc w:val="left"/>
      </w:pPr>
      <w:r>
        <w:rPr/>
        <w:t>报告期内公司经营活动产生的现金净流量与本年度净利润存在重大差异的原因说明</w:t>
      </w:r>
    </w:p>
    <w:p>
      <w:pPr>
        <w:pStyle w:val="BodyText"/>
        <w:spacing w:line="333" w:lineRule="auto" w:before="124"/>
        <w:ind w:right="36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报告期内，经营活动产生的现金流量净额较本年度净利润差异为</w:t>
      </w:r>
      <w:r>
        <w:rPr>
          <w:rFonts w:ascii="Times New Roman" w:hAnsi="Times New Roman" w:cs="Times New Roman" w:eastAsia="Times New Roman" w:hint="default"/>
        </w:rPr>
        <w:t>2,638.89</w:t>
      </w:r>
      <w:r>
        <w:rPr/>
        <w:t>万元，具体如下：</w:t>
      </w:r>
    </w:p>
    <w:tbl>
      <w:tblPr>
        <w:tblW w:w="0" w:type="auto"/>
        <w:jc w:val="left"/>
        <w:tblInd w:w="126" w:type="dxa"/>
        <w:tblLayout w:type="fixed"/>
        <w:tblCellMar>
          <w:top w:w="0" w:type="dxa"/>
          <w:left w:w="0" w:type="dxa"/>
          <w:bottom w:w="0" w:type="dxa"/>
          <w:right w:w="0" w:type="dxa"/>
        </w:tblCellMar>
        <w:tblLook w:val="01E0"/>
      </w:tblPr>
      <w:tblGrid>
        <w:gridCol w:w="5948"/>
        <w:gridCol w:w="3349"/>
      </w:tblGrid>
      <w:tr>
        <w:trPr>
          <w:trHeight w:val="346" w:hRule="exact"/>
        </w:trPr>
        <w:tc>
          <w:tcPr>
            <w:tcW w:w="594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24" w:lineRule="exact"/>
              <w:ind w:left="-1"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349"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24"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45" w:hRule="exact"/>
        </w:trPr>
        <w:tc>
          <w:tcPr>
            <w:tcW w:w="594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3"/>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349"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w:t>
            </w:r>
          </w:p>
        </w:tc>
      </w:tr>
      <w:tr>
        <w:trPr>
          <w:trHeight w:val="353" w:hRule="exact"/>
        </w:trPr>
        <w:tc>
          <w:tcPr>
            <w:tcW w:w="594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24" w:lineRule="exact"/>
              <w:ind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18"/>
                <w:szCs w:val="18"/>
              </w:rPr>
            </w:pPr>
            <w:r>
              <w:rPr>
                <w:rFonts w:ascii="Times New Roman"/>
                <w:sz w:val="18"/>
              </w:rPr>
              <w:t>92,767,943.34</w:t>
            </w:r>
          </w:p>
        </w:tc>
      </w:tr>
      <w:tr>
        <w:trPr>
          <w:trHeight w:val="345" w:hRule="exact"/>
        </w:trPr>
        <w:tc>
          <w:tcPr>
            <w:tcW w:w="594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16" w:lineRule="exact"/>
              <w:ind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right"/>
              <w:rPr>
                <w:rFonts w:ascii="Times New Roman" w:hAnsi="Times New Roman" w:cs="Times New Roman" w:eastAsia="Times New Roman" w:hint="default"/>
                <w:sz w:val="18"/>
                <w:szCs w:val="18"/>
              </w:rPr>
            </w:pPr>
            <w:r>
              <w:rPr>
                <w:rFonts w:ascii="Times New Roman"/>
                <w:sz w:val="18"/>
              </w:rPr>
              <w:t>6,685,575.48</w:t>
            </w:r>
          </w:p>
        </w:tc>
      </w:tr>
      <w:tr>
        <w:trPr>
          <w:trHeight w:val="345" w:hRule="exact"/>
        </w:trPr>
        <w:tc>
          <w:tcPr>
            <w:tcW w:w="594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17" w:lineRule="exact"/>
              <w:ind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right"/>
              <w:rPr>
                <w:rFonts w:ascii="Times New Roman" w:hAnsi="Times New Roman" w:cs="Times New Roman" w:eastAsia="Times New Roman" w:hint="default"/>
                <w:sz w:val="18"/>
                <w:szCs w:val="18"/>
              </w:rPr>
            </w:pPr>
            <w:r>
              <w:rPr>
                <w:rFonts w:ascii="Times New Roman"/>
                <w:sz w:val="18"/>
              </w:rPr>
              <w:t>11,113,541.38</w:t>
            </w:r>
          </w:p>
        </w:tc>
      </w:tr>
      <w:tr>
        <w:trPr>
          <w:trHeight w:val="346" w:hRule="exact"/>
        </w:trPr>
        <w:tc>
          <w:tcPr>
            <w:tcW w:w="594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16" w:lineRule="exact"/>
              <w:ind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right"/>
              <w:rPr>
                <w:rFonts w:ascii="Times New Roman" w:hAnsi="Times New Roman" w:cs="Times New Roman" w:eastAsia="Times New Roman" w:hint="default"/>
                <w:sz w:val="18"/>
                <w:szCs w:val="18"/>
              </w:rPr>
            </w:pPr>
            <w:r>
              <w:rPr>
                <w:rFonts w:ascii="Times New Roman"/>
                <w:sz w:val="18"/>
              </w:rPr>
              <w:t>3,722,644.06</w:t>
            </w:r>
          </w:p>
        </w:tc>
      </w:tr>
      <w:tr>
        <w:trPr>
          <w:trHeight w:val="345" w:hRule="exact"/>
        </w:trPr>
        <w:tc>
          <w:tcPr>
            <w:tcW w:w="594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31" w:lineRule="exact"/>
              <w:ind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z w:val="18"/>
              </w:rPr>
              <w:t>4,049,185.04</w:t>
            </w:r>
          </w:p>
        </w:tc>
      </w:tr>
      <w:tr>
        <w:trPr>
          <w:trHeight w:val="345" w:hRule="exact"/>
        </w:trPr>
        <w:tc>
          <w:tcPr>
            <w:tcW w:w="594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w w:val="95"/>
                <w:sz w:val="18"/>
              </w:rPr>
              <w:t>-8,574,837.24</w:t>
            </w:r>
            <w:r>
              <w:rPr>
                <w:rFonts w:ascii="Times New Roman"/>
                <w:sz w:val="18"/>
              </w:rPr>
            </w:r>
          </w:p>
        </w:tc>
      </w:tr>
      <w:tr>
        <w:trPr>
          <w:trHeight w:val="345" w:hRule="exact"/>
        </w:trPr>
        <w:tc>
          <w:tcPr>
            <w:tcW w:w="594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z w:val="18"/>
              </w:rPr>
              <w:t>12,051.24</w:t>
            </w:r>
          </w:p>
        </w:tc>
      </w:tr>
      <w:tr>
        <w:trPr>
          <w:trHeight w:val="345" w:hRule="exact"/>
        </w:trPr>
        <w:tc>
          <w:tcPr>
            <w:tcW w:w="594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w w:val="95"/>
                <w:sz w:val="18"/>
              </w:rPr>
              <w:t>-3,272,637.59</w:t>
            </w:r>
            <w:r>
              <w:rPr>
                <w:rFonts w:ascii="Times New Roman"/>
                <w:sz w:val="18"/>
              </w:rPr>
            </w:r>
          </w:p>
        </w:tc>
      </w:tr>
      <w:tr>
        <w:trPr>
          <w:trHeight w:val="361" w:hRule="exact"/>
        </w:trPr>
        <w:tc>
          <w:tcPr>
            <w:tcW w:w="594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w w:val="95"/>
                <w:sz w:val="18"/>
              </w:rPr>
              <w:t>-685,295.85</w:t>
            </w:r>
            <w:r>
              <w:rPr>
                <w:rFonts w:ascii="Times New Roman"/>
                <w:sz w:val="18"/>
              </w:rPr>
            </w:r>
          </w:p>
        </w:tc>
      </w:tr>
      <w:tr>
        <w:trPr>
          <w:trHeight w:val="345" w:hRule="exact"/>
        </w:trPr>
        <w:tc>
          <w:tcPr>
            <w:tcW w:w="594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5" w:lineRule="exact"/>
              <w:ind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right"/>
              <w:rPr>
                <w:rFonts w:ascii="Times New Roman" w:hAnsi="Times New Roman" w:cs="Times New Roman" w:eastAsia="Times New Roman" w:hint="default"/>
                <w:sz w:val="18"/>
                <w:szCs w:val="18"/>
              </w:rPr>
            </w:pPr>
            <w:r>
              <w:rPr>
                <w:rFonts w:ascii="Times New Roman"/>
                <w:w w:val="95"/>
                <w:sz w:val="18"/>
              </w:rPr>
              <w:t>-24,174,995.00</w:t>
            </w:r>
            <w:r>
              <w:rPr>
                <w:rFonts w:ascii="Times New Roman"/>
                <w:sz w:val="18"/>
              </w:rPr>
            </w:r>
          </w:p>
        </w:tc>
      </w:tr>
      <w:tr>
        <w:trPr>
          <w:trHeight w:val="346" w:hRule="exact"/>
        </w:trPr>
        <w:tc>
          <w:tcPr>
            <w:tcW w:w="594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5" w:lineRule="exact"/>
              <w:ind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right"/>
              <w:rPr>
                <w:rFonts w:ascii="Times New Roman" w:hAnsi="Times New Roman" w:cs="Times New Roman" w:eastAsia="Times New Roman" w:hint="default"/>
                <w:sz w:val="18"/>
                <w:szCs w:val="18"/>
              </w:rPr>
            </w:pPr>
            <w:r>
              <w:rPr>
                <w:rFonts w:ascii="Times New Roman"/>
                <w:w w:val="95"/>
                <w:sz w:val="18"/>
              </w:rPr>
              <w:t>-282,570.99</w:t>
            </w:r>
            <w:r>
              <w:rPr>
                <w:rFonts w:ascii="Times New Roman"/>
                <w:sz w:val="18"/>
              </w:rPr>
            </w:r>
          </w:p>
        </w:tc>
      </w:tr>
      <w:tr>
        <w:trPr>
          <w:trHeight w:val="345" w:hRule="exact"/>
        </w:trPr>
        <w:tc>
          <w:tcPr>
            <w:tcW w:w="594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w w:val="95"/>
                <w:sz w:val="18"/>
              </w:rPr>
              <w:t>-1,251,495.07</w:t>
            </w:r>
            <w:r>
              <w:rPr>
                <w:rFonts w:ascii="Times New Roman"/>
                <w:sz w:val="18"/>
              </w:rPr>
            </w:r>
          </w:p>
        </w:tc>
      </w:tr>
      <w:tr>
        <w:trPr>
          <w:trHeight w:val="345" w:hRule="exact"/>
        </w:trPr>
        <w:tc>
          <w:tcPr>
            <w:tcW w:w="594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92,772,075.61</w:t>
            </w:r>
          </w:p>
        </w:tc>
      </w:tr>
      <w:tr>
        <w:trPr>
          <w:trHeight w:val="346" w:hRule="exact"/>
        </w:trPr>
        <w:tc>
          <w:tcPr>
            <w:tcW w:w="594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right"/>
              <w:rPr>
                <w:rFonts w:ascii="Times New Roman" w:hAnsi="Times New Roman" w:cs="Times New Roman" w:eastAsia="Times New Roman" w:hint="default"/>
                <w:sz w:val="18"/>
                <w:szCs w:val="18"/>
              </w:rPr>
            </w:pPr>
            <w:r>
              <w:rPr>
                <w:rFonts w:ascii="Times New Roman"/>
                <w:w w:val="95"/>
                <w:sz w:val="18"/>
              </w:rPr>
              <w:t>-43,871,811.07</w:t>
            </w:r>
            <w:r>
              <w:rPr>
                <w:rFonts w:ascii="Times New Roman"/>
                <w:sz w:val="18"/>
              </w:rPr>
            </w:r>
          </w:p>
        </w:tc>
      </w:tr>
      <w:tr>
        <w:trPr>
          <w:trHeight w:val="345" w:hRule="exact"/>
        </w:trPr>
        <w:tc>
          <w:tcPr>
            <w:tcW w:w="594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w w:val="95"/>
                <w:sz w:val="18"/>
              </w:rPr>
              <w:t>-9,852,513.61</w:t>
            </w:r>
            <w:r>
              <w:rPr>
                <w:rFonts w:ascii="Times New Roman"/>
                <w:sz w:val="18"/>
              </w:rPr>
            </w:r>
          </w:p>
        </w:tc>
      </w:tr>
      <w:tr>
        <w:trPr>
          <w:trHeight w:val="360" w:hRule="exact"/>
        </w:trPr>
        <w:tc>
          <w:tcPr>
            <w:tcW w:w="594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32" w:lineRule="exact"/>
              <w:ind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349" w:type="dxa"/>
            <w:tcBorders>
              <w:top w:val="single" w:sz="6" w:space="0" w:color="000000"/>
              <w:left w:val="single" w:sz="6" w:space="0" w:color="000000"/>
              <w:bottom w:val="single" w:sz="6" w:space="0" w:color="000000"/>
              <w:right w:val="single" w:sz="6" w:space="0" w:color="000000"/>
            </w:tcBorders>
          </w:tcPr>
          <w:p>
            <w:pPr/>
          </w:p>
        </w:tc>
      </w:tr>
      <w:tr>
        <w:trPr>
          <w:trHeight w:val="338" w:hRule="exact"/>
        </w:trPr>
        <w:tc>
          <w:tcPr>
            <w:tcW w:w="594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16" w:lineRule="exact"/>
              <w:ind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right"/>
              <w:rPr>
                <w:rFonts w:ascii="Times New Roman" w:hAnsi="Times New Roman" w:cs="Times New Roman" w:eastAsia="Times New Roman" w:hint="default"/>
                <w:sz w:val="18"/>
                <w:szCs w:val="18"/>
              </w:rPr>
            </w:pPr>
            <w:r>
              <w:rPr>
                <w:rFonts w:ascii="Times New Roman"/>
                <w:sz w:val="18"/>
              </w:rPr>
              <w:t>119,156,859.73</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Heading2"/>
        <w:spacing w:line="240" w:lineRule="auto" w:before="26"/>
        <w:ind w:right="110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before="44"/>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96"/>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510"/>
        <w:gridCol w:w="1922"/>
        <w:gridCol w:w="1622"/>
        <w:gridCol w:w="2185"/>
        <w:gridCol w:w="2335"/>
      </w:tblGrid>
      <w:tr>
        <w:trPr>
          <w:trHeight w:val="405" w:hRule="exact"/>
        </w:trPr>
        <w:tc>
          <w:tcPr>
            <w:tcW w:w="151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80"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233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8"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5" w:hRule="exact"/>
        </w:trPr>
        <w:tc>
          <w:tcPr>
            <w:tcW w:w="15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24,174,995.00</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24.64%</w:t>
            </w:r>
            <w:r>
              <w:rPr>
                <w:rFonts w:ascii="Times New Roman"/>
                <w:sz w:val="18"/>
              </w:rPr>
            </w:r>
          </w:p>
        </w:tc>
        <w:tc>
          <w:tcPr>
            <w:tcW w:w="21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30" w:right="-28"/>
              <w:jc w:val="center"/>
              <w:rPr>
                <w:rFonts w:ascii="宋体" w:hAnsi="宋体" w:cs="宋体" w:eastAsia="宋体" w:hint="default"/>
                <w:sz w:val="18"/>
                <w:szCs w:val="18"/>
              </w:rPr>
            </w:pPr>
            <w:r>
              <w:rPr>
                <w:rFonts w:ascii="宋体" w:hAnsi="宋体" w:cs="宋体" w:eastAsia="宋体" w:hint="default"/>
                <w:sz w:val="18"/>
                <w:szCs w:val="18"/>
              </w:rPr>
              <w:t>主要系取得理财收益所致。</w:t>
            </w:r>
          </w:p>
        </w:tc>
        <w:tc>
          <w:tcPr>
            <w:tcW w:w="23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5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3,272,637.59</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3.34%</w:t>
            </w:r>
            <w:r>
              <w:rPr>
                <w:rFonts w:ascii="Times New Roman"/>
                <w:sz w:val="18"/>
              </w:rPr>
            </w:r>
          </w:p>
        </w:tc>
        <w:tc>
          <w:tcPr>
            <w:tcW w:w="21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30" w:right="-28"/>
              <w:jc w:val="center"/>
              <w:rPr>
                <w:rFonts w:ascii="宋体" w:hAnsi="宋体" w:cs="宋体" w:eastAsia="宋体" w:hint="default"/>
                <w:sz w:val="18"/>
                <w:szCs w:val="18"/>
              </w:rPr>
            </w:pPr>
            <w:r>
              <w:rPr>
                <w:rFonts w:ascii="宋体" w:hAnsi="宋体" w:cs="宋体" w:eastAsia="宋体" w:hint="default"/>
                <w:sz w:val="18"/>
                <w:szCs w:val="18"/>
              </w:rPr>
              <w:t>主要系取得理财收益所致。</w:t>
            </w:r>
          </w:p>
        </w:tc>
        <w:tc>
          <w:tcPr>
            <w:tcW w:w="23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532"/>
        <w:gridCol w:w="1907"/>
        <w:gridCol w:w="1622"/>
        <w:gridCol w:w="2178"/>
        <w:gridCol w:w="2343"/>
      </w:tblGrid>
      <w:tr>
        <w:trPr>
          <w:trHeight w:val="720" w:hRule="exact"/>
        </w:trPr>
        <w:tc>
          <w:tcPr>
            <w:tcW w:w="15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4,470,530.79</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4.56%</w:t>
            </w:r>
            <w:r>
              <w:rPr>
                <w:rFonts w:ascii="Times New Roman"/>
                <w:sz w:val="18"/>
              </w:rPr>
            </w:r>
          </w:p>
        </w:tc>
        <w:tc>
          <w:tcPr>
            <w:tcW w:w="2178" w:type="dxa"/>
            <w:tcBorders>
              <w:top w:val="single" w:sz="6" w:space="0" w:color="000000"/>
              <w:left w:val="single" w:sz="6" w:space="0" w:color="000000"/>
              <w:bottom w:val="single" w:sz="6" w:space="0" w:color="000000"/>
              <w:right w:val="single" w:sz="12" w:space="0" w:color="000000"/>
            </w:tcBorders>
          </w:tcPr>
          <w:p>
            <w:pPr>
              <w:pStyle w:val="TableParagraph"/>
              <w:spacing w:line="307" w:lineRule="auto" w:before="44"/>
              <w:ind w:left="30" w:right="-36"/>
              <w:jc w:val="left"/>
              <w:rPr>
                <w:rFonts w:ascii="宋体" w:hAnsi="宋体" w:cs="宋体" w:eastAsia="宋体" w:hint="default"/>
                <w:sz w:val="18"/>
                <w:szCs w:val="18"/>
              </w:rPr>
            </w:pPr>
            <w:r>
              <w:rPr>
                <w:rFonts w:ascii="宋体" w:hAnsi="宋体" w:cs="宋体" w:eastAsia="宋体" w:hint="default"/>
                <w:sz w:val="18"/>
                <w:szCs w:val="18"/>
              </w:rPr>
              <w:t>主要系计提存货跌价损失、 固定资产减值损失所致。</w:t>
            </w:r>
          </w:p>
        </w:tc>
        <w:tc>
          <w:tcPr>
            <w:tcW w:w="234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15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16,094,126.84</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16.40%</w:t>
            </w:r>
            <w:r>
              <w:rPr>
                <w:rFonts w:ascii="Times New Roman"/>
                <w:sz w:val="18"/>
              </w:rPr>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150"/>
              <w:jc w:val="left"/>
              <w:rPr>
                <w:rFonts w:ascii="宋体" w:hAnsi="宋体" w:cs="宋体" w:eastAsia="宋体" w:hint="default"/>
                <w:sz w:val="18"/>
                <w:szCs w:val="18"/>
              </w:rPr>
            </w:pPr>
            <w:r>
              <w:rPr>
                <w:rFonts w:ascii="宋体" w:hAnsi="宋体" w:cs="宋体" w:eastAsia="宋体" w:hint="default"/>
                <w:sz w:val="18"/>
                <w:szCs w:val="18"/>
              </w:rPr>
              <w:t>主要系取得与收益相关的 政府补助所致。</w:t>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5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298,792.50</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0.30%</w:t>
            </w:r>
            <w:r>
              <w:rPr>
                <w:rFonts w:ascii="Times New Roman"/>
                <w:sz w:val="18"/>
              </w:rPr>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150"/>
              <w:jc w:val="left"/>
              <w:rPr>
                <w:rFonts w:ascii="宋体" w:hAnsi="宋体" w:cs="宋体" w:eastAsia="宋体" w:hint="default"/>
                <w:sz w:val="18"/>
                <w:szCs w:val="18"/>
              </w:rPr>
            </w:pPr>
            <w:r>
              <w:rPr>
                <w:rFonts w:ascii="宋体" w:hAnsi="宋体" w:cs="宋体" w:eastAsia="宋体" w:hint="default"/>
                <w:sz w:val="18"/>
                <w:szCs w:val="18"/>
              </w:rPr>
              <w:t>主要系支付租房违约金所 致。</w:t>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8,574,837.24</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8.74%</w:t>
            </w:r>
            <w:r>
              <w:rPr>
                <w:rFonts w:ascii="Times New Roman"/>
                <w:sz w:val="18"/>
              </w:rPr>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150"/>
              <w:jc w:val="left"/>
              <w:rPr>
                <w:rFonts w:ascii="宋体" w:hAnsi="宋体" w:cs="宋体" w:eastAsia="宋体" w:hint="default"/>
                <w:sz w:val="18"/>
                <w:szCs w:val="18"/>
              </w:rPr>
            </w:pPr>
            <w:r>
              <w:rPr>
                <w:rFonts w:ascii="宋体" w:hAnsi="宋体" w:cs="宋体" w:eastAsia="宋体" w:hint="default"/>
                <w:sz w:val="18"/>
                <w:szCs w:val="18"/>
              </w:rPr>
              <w:t>主要系非流动资产处置利 得所致。</w:t>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2"/>
        <w:rPr>
          <w:rFonts w:ascii="宋体" w:hAnsi="宋体" w:cs="宋体" w:eastAsia="宋体" w:hint="default"/>
          <w:sz w:val="17"/>
          <w:szCs w:val="17"/>
        </w:rPr>
      </w:pPr>
    </w:p>
    <w:p>
      <w:pPr>
        <w:pStyle w:val="Heading2"/>
        <w:spacing w:line="240" w:lineRule="auto" w:before="26"/>
        <w:ind w:right="110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9"/>
        <w:rPr>
          <w:rFonts w:ascii="宋体" w:hAnsi="宋体" w:cs="宋体" w:eastAsia="宋体" w:hint="default"/>
          <w:b/>
          <w:bCs/>
          <w:sz w:val="25"/>
          <w:szCs w:val="25"/>
        </w:rPr>
      </w:pPr>
    </w:p>
    <w:p>
      <w:pPr>
        <w:pStyle w:val="Heading4"/>
        <w:spacing w:line="240" w:lineRule="auto"/>
        <w:ind w:right="110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50"/>
          <w:pgMar w:header="731" w:footer="981" w:top="1040" w:bottom="1180" w:left="1000" w:right="0"/>
        </w:sectPr>
      </w:pPr>
    </w:p>
    <w:p>
      <w:pPr>
        <w:pStyle w:val="BodyText"/>
        <w:spacing w:line="240" w:lineRule="auto" w:before="44"/>
        <w:ind w:right="-19"/>
        <w:jc w:val="left"/>
      </w:pPr>
      <w:r>
        <w:rPr/>
        <w:t>公司</w:t>
      </w:r>
      <w:r>
        <w:rPr>
          <w:spacing w:val="-45"/>
        </w:rPr>
        <w:t> </w:t>
      </w:r>
      <w:r>
        <w:rPr>
          <w:rFonts w:ascii="Times New Roman" w:hAnsi="Times New Roman" w:cs="Times New Roman" w:eastAsia="Times New Roman" w:hint="default"/>
        </w:rPr>
        <w:t>2019 </w:t>
      </w:r>
      <w:r>
        <w:rPr/>
        <w:t>年起首次执行新金融工具准则、新收入准则或新租赁准则且调整执行当年年初财务报表相关项目</w:t>
      </w:r>
    </w:p>
    <w:p>
      <w:pPr>
        <w:pStyle w:val="BodyText"/>
        <w:spacing w:line="240" w:lineRule="auto" w:before="96"/>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pStyle w:val="BodyText"/>
        <w:spacing w:line="240" w:lineRule="auto"/>
        <w:ind w:right="0"/>
        <w:jc w:val="left"/>
      </w:pPr>
      <w:r>
        <w:rPr/>
        <w:t>单位：元</w:t>
      </w:r>
    </w:p>
    <w:p>
      <w:pPr>
        <w:spacing w:after="0" w:line="240" w:lineRule="auto"/>
        <w:jc w:val="left"/>
        <w:sectPr>
          <w:type w:val="continuous"/>
          <w:pgSz w:w="11910" w:h="16850"/>
          <w:pgMar w:top="1040" w:bottom="1180" w:left="1000" w:right="0"/>
          <w:cols w:num="2" w:equalWidth="0">
            <w:col w:w="8513" w:space="423"/>
            <w:col w:w="1974"/>
          </w:cols>
        </w:sectPr>
      </w:pP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172"/>
        <w:gridCol w:w="1066"/>
        <w:gridCol w:w="1187"/>
        <w:gridCol w:w="1066"/>
        <w:gridCol w:w="796"/>
        <w:gridCol w:w="2929"/>
      </w:tblGrid>
      <w:tr>
        <w:trPr>
          <w:trHeight w:val="406" w:hRule="exact"/>
        </w:trPr>
        <w:tc>
          <w:tcPr>
            <w:tcW w:w="1367" w:type="dxa"/>
            <w:vMerge w:val="restart"/>
            <w:tcBorders>
              <w:top w:val="single" w:sz="6" w:space="0" w:color="000000"/>
              <w:left w:val="single" w:sz="6" w:space="0" w:color="000000"/>
              <w:right w:val="single" w:sz="6" w:space="0" w:color="000000"/>
            </w:tcBorders>
            <w:shd w:val="clear" w:color="auto" w:fill="D2D2D2"/>
          </w:tcPr>
          <w:p>
            <w:pPr/>
          </w:p>
        </w:tc>
        <w:tc>
          <w:tcPr>
            <w:tcW w:w="2238"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年末</w:t>
            </w:r>
          </w:p>
        </w:tc>
        <w:tc>
          <w:tcPr>
            <w:tcW w:w="225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年初</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2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91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57" w:hRule="exact"/>
        </w:trPr>
        <w:tc>
          <w:tcPr>
            <w:tcW w:w="1367" w:type="dxa"/>
            <w:vMerge/>
            <w:tcBorders>
              <w:left w:val="single" w:sz="6" w:space="0" w:color="000000"/>
              <w:right w:val="single" w:sz="6" w:space="0" w:color="000000"/>
            </w:tcBorders>
            <w:shd w:val="clear" w:color="auto" w:fill="D2D2D2"/>
          </w:tcPr>
          <w:p>
            <w:pPr/>
          </w:p>
        </w:tc>
        <w:tc>
          <w:tcPr>
            <w:tcW w:w="1172" w:type="dxa"/>
            <w:tcBorders>
              <w:top w:val="single" w:sz="6" w:space="0" w:color="000000"/>
              <w:left w:val="single" w:sz="6" w:space="0" w:color="000000"/>
              <w:bottom w:val="nil" w:sz="6" w:space="0" w:color="auto"/>
              <w:right w:val="single" w:sz="6" w:space="0" w:color="000000"/>
            </w:tcBorders>
            <w:shd w:val="clear" w:color="auto" w:fill="D2D2D2"/>
          </w:tcPr>
          <w:p>
            <w:pPr/>
          </w:p>
        </w:tc>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44"/>
              <w:ind w:left="420" w:right="89"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8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44"/>
              <w:ind w:left="435"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6" w:type="dxa"/>
            <w:vMerge/>
            <w:tcBorders>
              <w:left w:val="single" w:sz="6" w:space="0" w:color="000000"/>
              <w:right w:val="single" w:sz="6" w:space="0" w:color="000000"/>
            </w:tcBorders>
            <w:shd w:val="clear" w:color="auto" w:fill="D2D2D2"/>
          </w:tcPr>
          <w:p>
            <w:pPr/>
          </w:p>
        </w:tc>
        <w:tc>
          <w:tcPr>
            <w:tcW w:w="2929" w:type="dxa"/>
            <w:vMerge/>
            <w:tcBorders>
              <w:left w:val="single" w:sz="6" w:space="0" w:color="000000"/>
              <w:right w:val="single" w:sz="6" w:space="0" w:color="000000"/>
            </w:tcBorders>
            <w:shd w:val="clear" w:color="auto" w:fill="D2D2D2"/>
          </w:tcPr>
          <w:p>
            <w:pPr/>
          </w:p>
        </w:tc>
      </w:tr>
      <w:tr>
        <w:trPr>
          <w:trHeight w:val="390" w:hRule="exact"/>
        </w:trPr>
        <w:tc>
          <w:tcPr>
            <w:tcW w:w="1367" w:type="dxa"/>
            <w:vMerge/>
            <w:tcBorders>
              <w:left w:val="single" w:sz="6" w:space="0" w:color="000000"/>
              <w:right w:val="single" w:sz="6" w:space="0" w:color="000000"/>
            </w:tcBorders>
            <w:shd w:val="clear" w:color="auto" w:fill="D2D2D2"/>
          </w:tcPr>
          <w:p>
            <w:pPr/>
          </w:p>
        </w:tc>
        <w:tc>
          <w:tcPr>
            <w:tcW w:w="117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6"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2929" w:type="dxa"/>
            <w:vMerge/>
            <w:tcBorders>
              <w:left w:val="single" w:sz="6" w:space="0" w:color="000000"/>
              <w:right w:val="single" w:sz="6" w:space="0" w:color="000000"/>
            </w:tcBorders>
            <w:shd w:val="clear" w:color="auto" w:fill="D2D2D2"/>
          </w:tcPr>
          <w:p>
            <w:pPr/>
          </w:p>
        </w:tc>
      </w:tr>
      <w:tr>
        <w:trPr>
          <w:trHeight w:val="173"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172" w:type="dxa"/>
            <w:tcBorders>
              <w:top w:val="nil" w:sz="6" w:space="0" w:color="auto"/>
              <w:left w:val="single" w:sz="6" w:space="0" w:color="000000"/>
              <w:bottom w:val="single" w:sz="6" w:space="0" w:color="000000"/>
              <w:right w:val="single" w:sz="6" w:space="0" w:color="000000"/>
            </w:tcBorders>
            <w:shd w:val="clear" w:color="auto" w:fill="D2D2D2"/>
          </w:tcPr>
          <w:p>
            <w:pPr/>
          </w:p>
        </w:tc>
        <w:tc>
          <w:tcPr>
            <w:tcW w:w="1066" w:type="dxa"/>
            <w:vMerge/>
            <w:tcBorders>
              <w:left w:val="single" w:sz="6" w:space="0" w:color="000000"/>
              <w:bottom w:val="single" w:sz="6" w:space="0" w:color="000000"/>
              <w:right w:val="single" w:sz="6" w:space="0" w:color="000000"/>
            </w:tcBorders>
            <w:shd w:val="clear" w:color="auto" w:fill="D2D2D2"/>
          </w:tcPr>
          <w:p>
            <w:pPr/>
          </w:p>
        </w:tc>
        <w:tc>
          <w:tcPr>
            <w:tcW w:w="1187" w:type="dxa"/>
            <w:vMerge/>
            <w:tcBorders>
              <w:left w:val="single" w:sz="6" w:space="0" w:color="000000"/>
              <w:bottom w:val="single" w:sz="6" w:space="0" w:color="000000"/>
              <w:right w:val="single" w:sz="6" w:space="0" w:color="000000"/>
            </w:tcBorders>
            <w:shd w:val="clear" w:color="auto" w:fill="D2D2D2"/>
          </w:tcPr>
          <w:p>
            <w:pPr/>
          </w:p>
        </w:tc>
        <w:tc>
          <w:tcPr>
            <w:tcW w:w="106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2929" w:type="dxa"/>
            <w:vMerge/>
            <w:tcBorders>
              <w:left w:val="single" w:sz="6" w:space="0" w:color="000000"/>
              <w:bottom w:val="single" w:sz="6" w:space="0" w:color="000000"/>
              <w:right w:val="single" w:sz="6" w:space="0" w:color="000000"/>
            </w:tcBorders>
            <w:shd w:val="clear" w:color="auto" w:fill="D2D2D2"/>
          </w:tcPr>
          <w:p>
            <w:pP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503,005,768.2</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25.09%</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662,539,376.26</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32.85%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-7.76%</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1"/>
              <w:jc w:val="left"/>
              <w:rPr>
                <w:rFonts w:ascii="宋体" w:hAnsi="宋体" w:cs="宋体" w:eastAsia="宋体" w:hint="default"/>
                <w:sz w:val="18"/>
                <w:szCs w:val="18"/>
              </w:rPr>
            </w:pPr>
            <w:r>
              <w:rPr>
                <w:rFonts w:ascii="宋体" w:hAnsi="宋体" w:cs="宋体" w:eastAsia="宋体" w:hint="default"/>
                <w:sz w:val="18"/>
                <w:szCs w:val="18"/>
              </w:rPr>
              <w:t>主要系本期理财投入增加及购买商 品、接受劳务支付的现金减少所致。</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123,971,307.1</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6.18%</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97,244,483.23</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4.82%</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1.36%</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346,103,965.4</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17.26%</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442,820,282.02</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21.96%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-4.70%</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主要系本期生产采购减少所致。</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48,360,210.70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w w:val="95"/>
                <w:sz w:val="18"/>
              </w:rPr>
              <w:t>2.41%</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47,264,091.69</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w w:val="95"/>
                <w:sz w:val="18"/>
              </w:rPr>
              <w:t>2.34%</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w w:val="95"/>
                <w:sz w:val="18"/>
              </w:rPr>
              <w:t>0.07%</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19,350,287.48</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0.97%</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29,603,257.61</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1.47%</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-0.50%</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543,842.86</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0.03%</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156,915.24</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0.01%</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0.02%</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72" w:type="dxa"/>
            <w:tcBorders>
              <w:top w:val="single" w:sz="6" w:space="0" w:color="000000"/>
              <w:left w:val="single" w:sz="12"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18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72" w:type="dxa"/>
            <w:tcBorders>
              <w:top w:val="single" w:sz="6" w:space="0" w:color="000000"/>
              <w:left w:val="single" w:sz="12"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18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3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746,272,637.5</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9</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37.22%</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544,976,057.27</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27.02%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10.20%</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30" w:right="181"/>
              <w:jc w:val="both"/>
              <w:rPr>
                <w:rFonts w:ascii="宋体" w:hAnsi="宋体" w:cs="宋体" w:eastAsia="宋体" w:hint="default"/>
                <w:sz w:val="18"/>
                <w:szCs w:val="18"/>
              </w:rPr>
            </w:pPr>
            <w:r>
              <w:rPr>
                <w:rFonts w:ascii="宋体" w:hAnsi="宋体" w:cs="宋体" w:eastAsia="宋体" w:hint="default"/>
                <w:sz w:val="18"/>
                <w:szCs w:val="18"/>
              </w:rPr>
              <w:t>主要系本期执行新金融工具准则理 财产品重分类至交易性金融资产列 示所致</w:t>
            </w:r>
          </w:p>
        </w:tc>
      </w:tr>
      <w:tr>
        <w:trPr>
          <w:trHeight w:val="10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9,580,834.20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0.48%</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8,742,556.44</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0.43%</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0.05%</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181"/>
              <w:jc w:val="both"/>
              <w:rPr>
                <w:rFonts w:ascii="宋体" w:hAnsi="宋体" w:cs="宋体" w:eastAsia="宋体" w:hint="default"/>
                <w:sz w:val="18"/>
                <w:szCs w:val="18"/>
              </w:rPr>
            </w:pPr>
            <w:r>
              <w:rPr>
                <w:rFonts w:ascii="宋体" w:hAnsi="宋体" w:cs="宋体" w:eastAsia="宋体" w:hint="default"/>
                <w:sz w:val="18"/>
                <w:szCs w:val="18"/>
              </w:rPr>
              <w:t>主要系本期执行新金融工具准则理 财产品重分类至交易性金融资产列 示所致</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可供出售金融资 产</w:t>
            </w:r>
          </w:p>
        </w:tc>
        <w:tc>
          <w:tcPr>
            <w:tcW w:w="1172"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18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2929"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50"/>
          <w:pgMar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367"/>
        <w:gridCol w:w="1172"/>
        <w:gridCol w:w="1066"/>
        <w:gridCol w:w="1187"/>
        <w:gridCol w:w="1066"/>
        <w:gridCol w:w="796"/>
        <w:gridCol w:w="2929"/>
      </w:tblGrid>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其他权益工具投 资</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38,348,394.04</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1.91%</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20,909,091.00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1.04%</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0.87%</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102,294,256.3</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5</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5.10%</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102,294,256.35</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5.07%</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0.03%</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81"/>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972"/>
        <w:gridCol w:w="1033"/>
        <w:gridCol w:w="1059"/>
        <w:gridCol w:w="1198"/>
        <w:gridCol w:w="927"/>
        <w:gridCol w:w="1202"/>
        <w:gridCol w:w="1055"/>
        <w:gridCol w:w="920"/>
        <w:gridCol w:w="1216"/>
      </w:tblGrid>
      <w:tr>
        <w:trPr>
          <w:trHeight w:val="158" w:hRule="exact"/>
        </w:trPr>
        <w:tc>
          <w:tcPr>
            <w:tcW w:w="972" w:type="dxa"/>
            <w:vMerge w:val="restart"/>
            <w:tcBorders>
              <w:top w:val="single" w:sz="6" w:space="0" w:color="000000"/>
              <w:left w:val="single" w:sz="6" w:space="0" w:color="000000"/>
              <w:right w:val="single" w:sz="6" w:space="0" w:color="000000"/>
            </w:tcBorders>
            <w:shd w:val="clear" w:color="auto" w:fill="D2D2D2"/>
          </w:tcPr>
          <w:p>
            <w:pPr/>
          </w:p>
        </w:tc>
        <w:tc>
          <w:tcPr>
            <w:tcW w:w="1033" w:type="dxa"/>
            <w:vMerge w:val="restart"/>
            <w:tcBorders>
              <w:top w:val="single" w:sz="6" w:space="0" w:color="000000"/>
              <w:left w:val="single" w:sz="6" w:space="0" w:color="000000"/>
              <w:right w:val="single" w:sz="6" w:space="0" w:color="000000"/>
            </w:tcBorders>
            <w:shd w:val="clear" w:color="auto" w:fill="D2D2D2"/>
          </w:tcPr>
          <w:p>
            <w:pPr/>
          </w:p>
        </w:tc>
        <w:tc>
          <w:tcPr>
            <w:tcW w:w="1059" w:type="dxa"/>
            <w:tcBorders>
              <w:top w:val="single" w:sz="6" w:space="0" w:color="000000"/>
              <w:left w:val="single" w:sz="6" w:space="0" w:color="000000"/>
              <w:bottom w:val="nil" w:sz="6" w:space="0" w:color="auto"/>
              <w:right w:val="single" w:sz="6" w:space="0" w:color="000000"/>
            </w:tcBorders>
            <w:shd w:val="clear" w:color="auto" w:fill="D2D2D2"/>
          </w:tcPr>
          <w:p>
            <w:pPr/>
          </w:p>
        </w:tc>
        <w:tc>
          <w:tcPr>
            <w:tcW w:w="1198"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44" w:right="55"/>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927" w:type="dxa"/>
            <w:tcBorders>
              <w:top w:val="single" w:sz="6" w:space="0" w:color="000000"/>
              <w:left w:val="single" w:sz="6" w:space="0" w:color="000000"/>
              <w:bottom w:val="nil" w:sz="6" w:space="0" w:color="auto"/>
              <w:right w:val="single" w:sz="6" w:space="0" w:color="000000"/>
            </w:tcBorders>
            <w:shd w:val="clear" w:color="auto" w:fill="D2D2D2"/>
          </w:tcPr>
          <w:p>
            <w:pPr/>
          </w:p>
        </w:tc>
        <w:tc>
          <w:tcPr>
            <w:tcW w:w="1202" w:type="dxa"/>
            <w:vMerge w:val="restart"/>
            <w:tcBorders>
              <w:top w:val="single" w:sz="6" w:space="0" w:color="000000"/>
              <w:left w:val="single" w:sz="6" w:space="0" w:color="000000"/>
              <w:right w:val="single" w:sz="6" w:space="0" w:color="000000"/>
            </w:tcBorders>
            <w:shd w:val="clear" w:color="auto" w:fill="D2D2D2"/>
          </w:tcPr>
          <w:p>
            <w:pPr/>
          </w:p>
        </w:tc>
        <w:tc>
          <w:tcPr>
            <w:tcW w:w="1055" w:type="dxa"/>
            <w:tcBorders>
              <w:top w:val="single" w:sz="6" w:space="0" w:color="000000"/>
              <w:left w:val="single" w:sz="6" w:space="0" w:color="000000"/>
              <w:bottom w:val="nil" w:sz="6" w:space="0" w:color="auto"/>
              <w:right w:val="single" w:sz="6" w:space="0" w:color="000000"/>
            </w:tcBorders>
            <w:shd w:val="clear" w:color="auto" w:fill="D2D2D2"/>
          </w:tcPr>
          <w:p>
            <w:pPr/>
          </w:p>
        </w:tc>
        <w:tc>
          <w:tcPr>
            <w:tcW w:w="920" w:type="dxa"/>
            <w:vMerge w:val="restart"/>
            <w:tcBorders>
              <w:top w:val="single" w:sz="6" w:space="0" w:color="000000"/>
              <w:left w:val="single" w:sz="6" w:space="0" w:color="000000"/>
              <w:right w:val="single" w:sz="6" w:space="0" w:color="000000"/>
            </w:tcBorders>
            <w:shd w:val="clear" w:color="auto" w:fill="D2D2D2"/>
          </w:tcPr>
          <w:p>
            <w:pPr/>
          </w:p>
        </w:tc>
        <w:tc>
          <w:tcPr>
            <w:tcW w:w="1216" w:type="dxa"/>
            <w:vMerge w:val="restart"/>
            <w:tcBorders>
              <w:top w:val="single" w:sz="6" w:space="0" w:color="000000"/>
              <w:left w:val="single" w:sz="6" w:space="0" w:color="000000"/>
              <w:right w:val="single" w:sz="6" w:space="0" w:color="000000"/>
            </w:tcBorders>
            <w:shd w:val="clear" w:color="auto" w:fill="D2D2D2"/>
          </w:tcPr>
          <w:p>
            <w:pPr/>
          </w:p>
        </w:tc>
      </w:tr>
      <w:tr>
        <w:trPr>
          <w:trHeight w:val="150" w:hRule="exact"/>
        </w:trPr>
        <w:tc>
          <w:tcPr>
            <w:tcW w:w="972" w:type="dxa"/>
            <w:vMerge/>
            <w:tcBorders>
              <w:left w:val="single" w:sz="6" w:space="0" w:color="000000"/>
              <w:bottom w:val="nil" w:sz="6" w:space="0" w:color="auto"/>
              <w:right w:val="single" w:sz="6" w:space="0" w:color="000000"/>
            </w:tcBorders>
            <w:shd w:val="clear" w:color="auto" w:fill="D2D2D2"/>
          </w:tcPr>
          <w:p>
            <w:pPr/>
          </w:p>
        </w:tc>
        <w:tc>
          <w:tcPr>
            <w:tcW w:w="1033" w:type="dxa"/>
            <w:vMerge/>
            <w:tcBorders>
              <w:left w:val="single" w:sz="6" w:space="0" w:color="000000"/>
              <w:bottom w:val="nil" w:sz="6" w:space="0" w:color="auto"/>
              <w:right w:val="single" w:sz="6" w:space="0" w:color="000000"/>
            </w:tcBorders>
            <w:shd w:val="clear" w:color="auto" w:fill="D2D2D2"/>
          </w:tcPr>
          <w:p>
            <w:pPr/>
          </w:p>
        </w:tc>
        <w:tc>
          <w:tcPr>
            <w:tcW w:w="1059"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67" w:right="74"/>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98" w:type="dxa"/>
            <w:vMerge/>
            <w:tcBorders>
              <w:left w:val="single" w:sz="6" w:space="0" w:color="000000"/>
              <w:right w:val="single" w:sz="6" w:space="0" w:color="000000"/>
            </w:tcBorders>
            <w:shd w:val="clear" w:color="auto" w:fill="D2D2D2"/>
          </w:tcPr>
          <w:p>
            <w:pPr/>
          </w:p>
        </w:tc>
        <w:tc>
          <w:tcPr>
            <w:tcW w:w="927"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183" w:right="96" w:hanging="90"/>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202" w:type="dxa"/>
            <w:vMerge/>
            <w:tcBorders>
              <w:left w:val="single" w:sz="6" w:space="0" w:color="000000"/>
              <w:bottom w:val="nil" w:sz="6" w:space="0" w:color="auto"/>
              <w:right w:val="single" w:sz="6" w:space="0" w:color="000000"/>
            </w:tcBorders>
            <w:shd w:val="clear" w:color="auto" w:fill="D2D2D2"/>
          </w:tcPr>
          <w:p>
            <w:pPr/>
          </w:p>
        </w:tc>
        <w:tc>
          <w:tcPr>
            <w:tcW w:w="1055"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427" w:right="70" w:hanging="361"/>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920" w:type="dxa"/>
            <w:vMerge/>
            <w:tcBorders>
              <w:left w:val="single" w:sz="6" w:space="0" w:color="000000"/>
              <w:bottom w:val="nil" w:sz="6" w:space="0" w:color="auto"/>
              <w:right w:val="single" w:sz="6" w:space="0" w:color="000000"/>
            </w:tcBorders>
            <w:shd w:val="clear" w:color="auto" w:fill="D2D2D2"/>
          </w:tcPr>
          <w:p>
            <w:pPr/>
          </w:p>
        </w:tc>
        <w:tc>
          <w:tcPr>
            <w:tcW w:w="1216" w:type="dxa"/>
            <w:vMerge/>
            <w:tcBorders>
              <w:left w:val="single" w:sz="6" w:space="0" w:color="000000"/>
              <w:bottom w:val="nil" w:sz="6" w:space="0" w:color="auto"/>
              <w:right w:val="single" w:sz="6" w:space="0" w:color="000000"/>
            </w:tcBorders>
            <w:shd w:val="clear" w:color="auto" w:fill="D2D2D2"/>
          </w:tcPr>
          <w:p>
            <w:pPr/>
          </w:p>
        </w:tc>
      </w:tr>
      <w:tr>
        <w:trPr>
          <w:trHeight w:val="391" w:hRule="exact"/>
        </w:trPr>
        <w:tc>
          <w:tcPr>
            <w:tcW w:w="97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294"/>
              <w:jc w:val="right"/>
              <w:rPr>
                <w:rFonts w:ascii="宋体" w:hAnsi="宋体" w:cs="宋体" w:eastAsia="宋体" w:hint="default"/>
                <w:sz w:val="18"/>
                <w:szCs w:val="18"/>
              </w:rPr>
            </w:pPr>
            <w:r>
              <w:rPr>
                <w:rFonts w:ascii="宋体" w:hAnsi="宋体" w:cs="宋体" w:eastAsia="宋体" w:hint="default"/>
                <w:sz w:val="18"/>
                <w:szCs w:val="18"/>
              </w:rPr>
              <w:t>项目</w:t>
            </w:r>
          </w:p>
        </w:tc>
        <w:tc>
          <w:tcPr>
            <w:tcW w:w="103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24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59" w:type="dxa"/>
            <w:vMerge/>
            <w:tcBorders>
              <w:left w:val="single" w:sz="6" w:space="0" w:color="000000"/>
              <w:right w:val="single" w:sz="6" w:space="0" w:color="000000"/>
            </w:tcBorders>
            <w:shd w:val="clear" w:color="auto" w:fill="D2D2D2"/>
          </w:tcPr>
          <w:p>
            <w:pPr/>
          </w:p>
        </w:tc>
        <w:tc>
          <w:tcPr>
            <w:tcW w:w="1198" w:type="dxa"/>
            <w:vMerge/>
            <w:tcBorders>
              <w:left w:val="single" w:sz="6" w:space="0" w:color="000000"/>
              <w:right w:val="single" w:sz="6" w:space="0" w:color="000000"/>
            </w:tcBorders>
            <w:shd w:val="clear" w:color="auto" w:fill="D2D2D2"/>
          </w:tcPr>
          <w:p>
            <w:pPr/>
          </w:p>
        </w:tc>
        <w:tc>
          <w:tcPr>
            <w:tcW w:w="927" w:type="dxa"/>
            <w:vMerge/>
            <w:tcBorders>
              <w:left w:val="single" w:sz="6" w:space="0" w:color="000000"/>
              <w:right w:val="single" w:sz="6" w:space="0" w:color="000000"/>
            </w:tcBorders>
            <w:shd w:val="clear" w:color="auto" w:fill="D2D2D2"/>
          </w:tcPr>
          <w:p>
            <w:pPr/>
          </w:p>
        </w:tc>
        <w:tc>
          <w:tcPr>
            <w:tcW w:w="120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52"/>
              <w:jc w:val="right"/>
              <w:rPr>
                <w:rFonts w:ascii="宋体" w:hAnsi="宋体" w:cs="宋体" w:eastAsia="宋体" w:hint="default"/>
                <w:sz w:val="18"/>
                <w:szCs w:val="18"/>
              </w:rPr>
            </w:pPr>
            <w:r>
              <w:rPr>
                <w:rFonts w:ascii="宋体" w:hAnsi="宋体" w:cs="宋体" w:eastAsia="宋体" w:hint="default"/>
                <w:sz w:val="18"/>
                <w:szCs w:val="18"/>
              </w:rPr>
              <w:t>本期购买金额</w:t>
            </w:r>
          </w:p>
        </w:tc>
        <w:tc>
          <w:tcPr>
            <w:tcW w:w="1055" w:type="dxa"/>
            <w:vMerge/>
            <w:tcBorders>
              <w:left w:val="single" w:sz="6" w:space="0" w:color="000000"/>
              <w:right w:val="single" w:sz="6" w:space="0" w:color="000000"/>
            </w:tcBorders>
            <w:shd w:val="clear" w:color="auto" w:fill="D2D2D2"/>
          </w:tcPr>
          <w:p>
            <w:pPr/>
          </w:p>
        </w:tc>
        <w:tc>
          <w:tcPr>
            <w:tcW w:w="920"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94"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1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65" w:hRule="exact"/>
        </w:trPr>
        <w:tc>
          <w:tcPr>
            <w:tcW w:w="972" w:type="dxa"/>
            <w:vMerge w:val="restart"/>
            <w:tcBorders>
              <w:top w:val="nil" w:sz="6" w:space="0" w:color="auto"/>
              <w:left w:val="single" w:sz="6" w:space="0" w:color="000000"/>
              <w:right w:val="single" w:sz="6" w:space="0" w:color="000000"/>
            </w:tcBorders>
            <w:shd w:val="clear" w:color="auto" w:fill="D2D2D2"/>
          </w:tcPr>
          <w:p>
            <w:pPr/>
          </w:p>
        </w:tc>
        <w:tc>
          <w:tcPr>
            <w:tcW w:w="1033" w:type="dxa"/>
            <w:vMerge w:val="restart"/>
            <w:tcBorders>
              <w:top w:val="nil" w:sz="6" w:space="0" w:color="auto"/>
              <w:left w:val="single" w:sz="6" w:space="0" w:color="000000"/>
              <w:right w:val="single" w:sz="6" w:space="0" w:color="000000"/>
            </w:tcBorders>
            <w:shd w:val="clear" w:color="auto" w:fill="D2D2D2"/>
          </w:tcPr>
          <w:p>
            <w:pPr/>
          </w:p>
        </w:tc>
        <w:tc>
          <w:tcPr>
            <w:tcW w:w="1059" w:type="dxa"/>
            <w:vMerge/>
            <w:tcBorders>
              <w:left w:val="single" w:sz="6" w:space="0" w:color="000000"/>
              <w:bottom w:val="nil" w:sz="6" w:space="0" w:color="auto"/>
              <w:right w:val="single" w:sz="6" w:space="0" w:color="000000"/>
            </w:tcBorders>
            <w:shd w:val="clear" w:color="auto" w:fill="D2D2D2"/>
          </w:tcPr>
          <w:p>
            <w:pPr/>
          </w:p>
        </w:tc>
        <w:tc>
          <w:tcPr>
            <w:tcW w:w="1198" w:type="dxa"/>
            <w:vMerge/>
            <w:tcBorders>
              <w:left w:val="single" w:sz="6" w:space="0" w:color="000000"/>
              <w:right w:val="single" w:sz="6" w:space="0" w:color="000000"/>
            </w:tcBorders>
            <w:shd w:val="clear" w:color="auto" w:fill="D2D2D2"/>
          </w:tcPr>
          <w:p>
            <w:pPr/>
          </w:p>
        </w:tc>
        <w:tc>
          <w:tcPr>
            <w:tcW w:w="927" w:type="dxa"/>
            <w:vMerge/>
            <w:tcBorders>
              <w:left w:val="single" w:sz="6" w:space="0" w:color="000000"/>
              <w:bottom w:val="nil" w:sz="6" w:space="0" w:color="auto"/>
              <w:right w:val="single" w:sz="6" w:space="0" w:color="000000"/>
            </w:tcBorders>
            <w:shd w:val="clear" w:color="auto" w:fill="D2D2D2"/>
          </w:tcPr>
          <w:p>
            <w:pPr/>
          </w:p>
        </w:tc>
        <w:tc>
          <w:tcPr>
            <w:tcW w:w="1202" w:type="dxa"/>
            <w:vMerge w:val="restart"/>
            <w:tcBorders>
              <w:top w:val="nil" w:sz="6" w:space="0" w:color="auto"/>
              <w:left w:val="single" w:sz="6" w:space="0" w:color="000000"/>
              <w:right w:val="single" w:sz="6" w:space="0" w:color="000000"/>
            </w:tcBorders>
            <w:shd w:val="clear" w:color="auto" w:fill="D2D2D2"/>
          </w:tcPr>
          <w:p>
            <w:pPr/>
          </w:p>
        </w:tc>
        <w:tc>
          <w:tcPr>
            <w:tcW w:w="1055" w:type="dxa"/>
            <w:vMerge/>
            <w:tcBorders>
              <w:left w:val="single" w:sz="6" w:space="0" w:color="000000"/>
              <w:bottom w:val="nil" w:sz="6" w:space="0" w:color="auto"/>
              <w:right w:val="single" w:sz="6" w:space="0" w:color="000000"/>
            </w:tcBorders>
            <w:shd w:val="clear" w:color="auto" w:fill="D2D2D2"/>
          </w:tcPr>
          <w:p>
            <w:pPr/>
          </w:p>
        </w:tc>
        <w:tc>
          <w:tcPr>
            <w:tcW w:w="920" w:type="dxa"/>
            <w:vMerge w:val="restart"/>
            <w:tcBorders>
              <w:top w:val="nil" w:sz="6" w:space="0" w:color="auto"/>
              <w:left w:val="single" w:sz="6" w:space="0" w:color="000000"/>
              <w:right w:val="single" w:sz="6" w:space="0" w:color="000000"/>
            </w:tcBorders>
            <w:shd w:val="clear" w:color="auto" w:fill="D2D2D2"/>
          </w:tcPr>
          <w:p>
            <w:pPr/>
          </w:p>
        </w:tc>
        <w:tc>
          <w:tcPr>
            <w:tcW w:w="1216" w:type="dxa"/>
            <w:vMerge w:val="restart"/>
            <w:tcBorders>
              <w:top w:val="nil" w:sz="6" w:space="0" w:color="auto"/>
              <w:left w:val="single" w:sz="6" w:space="0" w:color="000000"/>
              <w:right w:val="single" w:sz="6" w:space="0" w:color="000000"/>
            </w:tcBorders>
            <w:shd w:val="clear" w:color="auto" w:fill="D2D2D2"/>
          </w:tcPr>
          <w:p>
            <w:pPr/>
          </w:p>
        </w:tc>
      </w:tr>
      <w:tr>
        <w:trPr>
          <w:trHeight w:val="166" w:hRule="exact"/>
        </w:trPr>
        <w:tc>
          <w:tcPr>
            <w:tcW w:w="972" w:type="dxa"/>
            <w:vMerge/>
            <w:tcBorders>
              <w:left w:val="single" w:sz="6" w:space="0" w:color="000000"/>
              <w:bottom w:val="single" w:sz="6" w:space="0" w:color="000000"/>
              <w:right w:val="single" w:sz="6" w:space="0" w:color="000000"/>
            </w:tcBorders>
            <w:shd w:val="clear" w:color="auto" w:fill="D2D2D2"/>
          </w:tcPr>
          <w:p>
            <w:pPr/>
          </w:p>
        </w:tc>
        <w:tc>
          <w:tcPr>
            <w:tcW w:w="1033" w:type="dxa"/>
            <w:vMerge/>
            <w:tcBorders>
              <w:left w:val="single" w:sz="6" w:space="0" w:color="000000"/>
              <w:bottom w:val="single" w:sz="6" w:space="0" w:color="000000"/>
              <w:right w:val="single" w:sz="6" w:space="0" w:color="000000"/>
            </w:tcBorders>
            <w:shd w:val="clear" w:color="auto" w:fill="D2D2D2"/>
          </w:tcPr>
          <w:p>
            <w:pPr/>
          </w:p>
        </w:tc>
        <w:tc>
          <w:tcPr>
            <w:tcW w:w="1059" w:type="dxa"/>
            <w:tcBorders>
              <w:top w:val="nil" w:sz="6" w:space="0" w:color="auto"/>
              <w:left w:val="single" w:sz="6" w:space="0" w:color="000000"/>
              <w:bottom w:val="single" w:sz="6" w:space="0" w:color="000000"/>
              <w:right w:val="single" w:sz="6" w:space="0" w:color="000000"/>
            </w:tcBorders>
            <w:shd w:val="clear" w:color="auto" w:fill="D2D2D2"/>
          </w:tcPr>
          <w:p>
            <w:pPr/>
          </w:p>
        </w:tc>
        <w:tc>
          <w:tcPr>
            <w:tcW w:w="1198" w:type="dxa"/>
            <w:vMerge/>
            <w:tcBorders>
              <w:left w:val="single" w:sz="6" w:space="0" w:color="000000"/>
              <w:bottom w:val="single" w:sz="6" w:space="0" w:color="000000"/>
              <w:right w:val="single" w:sz="6" w:space="0" w:color="000000"/>
            </w:tcBorders>
            <w:shd w:val="clear" w:color="auto" w:fill="D2D2D2"/>
          </w:tcPr>
          <w:p>
            <w:pPr/>
          </w:p>
        </w:tc>
        <w:tc>
          <w:tcPr>
            <w:tcW w:w="927" w:type="dxa"/>
            <w:tcBorders>
              <w:top w:val="nil" w:sz="6" w:space="0" w:color="auto"/>
              <w:left w:val="single" w:sz="6" w:space="0" w:color="000000"/>
              <w:bottom w:val="single" w:sz="6" w:space="0" w:color="000000"/>
              <w:right w:val="single" w:sz="6" w:space="0" w:color="000000"/>
            </w:tcBorders>
            <w:shd w:val="clear" w:color="auto" w:fill="D2D2D2"/>
          </w:tcPr>
          <w:p>
            <w:pPr/>
          </w:p>
        </w:tc>
        <w:tc>
          <w:tcPr>
            <w:tcW w:w="1202" w:type="dxa"/>
            <w:vMerge/>
            <w:tcBorders>
              <w:left w:val="single" w:sz="6" w:space="0" w:color="000000"/>
              <w:bottom w:val="single" w:sz="6" w:space="0" w:color="000000"/>
              <w:right w:val="single" w:sz="6" w:space="0" w:color="000000"/>
            </w:tcBorders>
            <w:shd w:val="clear" w:color="auto" w:fill="D2D2D2"/>
          </w:tcPr>
          <w:p>
            <w:pPr/>
          </w:p>
        </w:tc>
        <w:tc>
          <w:tcPr>
            <w:tcW w:w="1055" w:type="dxa"/>
            <w:tcBorders>
              <w:top w:val="nil" w:sz="6" w:space="0" w:color="auto"/>
              <w:left w:val="single" w:sz="6" w:space="0" w:color="000000"/>
              <w:bottom w:val="single" w:sz="6" w:space="0" w:color="000000"/>
              <w:right w:val="single" w:sz="6" w:space="0" w:color="000000"/>
            </w:tcBorders>
            <w:shd w:val="clear" w:color="auto" w:fill="D2D2D2"/>
          </w:tcPr>
          <w:p>
            <w:pPr/>
          </w:p>
        </w:tc>
        <w:tc>
          <w:tcPr>
            <w:tcW w:w="920" w:type="dxa"/>
            <w:vMerge/>
            <w:tcBorders>
              <w:left w:val="single" w:sz="6" w:space="0" w:color="000000"/>
              <w:bottom w:val="single" w:sz="6" w:space="0" w:color="000000"/>
              <w:right w:val="single" w:sz="6" w:space="0" w:color="000000"/>
            </w:tcBorders>
            <w:shd w:val="clear" w:color="auto" w:fill="D2D2D2"/>
          </w:tcPr>
          <w:p>
            <w:pPr/>
          </w:p>
        </w:tc>
        <w:tc>
          <w:tcPr>
            <w:tcW w:w="1216" w:type="dxa"/>
            <w:vMerge/>
            <w:tcBorders>
              <w:left w:val="single" w:sz="6" w:space="0" w:color="000000"/>
              <w:bottom w:val="single" w:sz="6" w:space="0" w:color="000000"/>
              <w:right w:val="single" w:sz="6" w:space="0" w:color="000000"/>
            </w:tcBorders>
            <w:shd w:val="clear" w:color="auto" w:fill="D2D2D2"/>
          </w:tcPr>
          <w:p>
            <w:pPr/>
          </w:p>
        </w:tc>
      </w:tr>
      <w:tr>
        <w:trPr>
          <w:trHeight w:val="398" w:hRule="exact"/>
        </w:trPr>
        <w:tc>
          <w:tcPr>
            <w:tcW w:w="9582"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7"/>
              <w:ind w:left="15"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337" w:hRule="exact"/>
        </w:trPr>
        <w:tc>
          <w:tcPr>
            <w:tcW w:w="9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4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 融资产（不 含衍生金融</w:t>
            </w:r>
          </w:p>
          <w:p>
            <w:pPr>
              <w:pStyle w:val="TableParagraph"/>
              <w:spacing w:line="240" w:lineRule="auto" w:before="37"/>
              <w:ind w:left="15" w:right="0"/>
              <w:jc w:val="both"/>
              <w:rPr>
                <w:rFonts w:ascii="宋体" w:hAnsi="宋体" w:cs="宋体" w:eastAsia="宋体" w:hint="default"/>
                <w:sz w:val="18"/>
                <w:szCs w:val="18"/>
              </w:rPr>
            </w:pPr>
            <w:r>
              <w:rPr>
                <w:rFonts w:ascii="宋体" w:hAnsi="宋体" w:cs="宋体" w:eastAsia="宋体" w:hint="default"/>
                <w:sz w:val="18"/>
                <w:szCs w:val="18"/>
              </w:rPr>
              <w:t>资产）</w:t>
            </w:r>
          </w:p>
        </w:tc>
        <w:tc>
          <w:tcPr>
            <w:tcW w:w="103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544,976,057.</w:t>
            </w:r>
          </w:p>
          <w:p>
            <w:pPr>
              <w:pStyle w:val="TableParagraph"/>
              <w:spacing w:line="240" w:lineRule="auto" w:before="108"/>
              <w:ind w:right="20"/>
              <w:jc w:val="right"/>
              <w:rPr>
                <w:rFonts w:ascii="Times New Roman" w:hAnsi="Times New Roman" w:cs="Times New Roman" w:eastAsia="Times New Roman" w:hint="default"/>
                <w:sz w:val="18"/>
                <w:szCs w:val="18"/>
              </w:rPr>
            </w:pPr>
            <w:r>
              <w:rPr>
                <w:rFonts w:ascii="Times New Roman"/>
                <w:sz w:val="18"/>
              </w:rPr>
              <w:t>27</w:t>
            </w:r>
          </w:p>
        </w:tc>
        <w:tc>
          <w:tcPr>
            <w:tcW w:w="1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3,272,637.59</w:t>
            </w:r>
          </w:p>
        </w:tc>
        <w:tc>
          <w:tcPr>
            <w:tcW w:w="1198" w:type="dxa"/>
            <w:tcBorders>
              <w:top w:val="single" w:sz="6" w:space="0" w:color="000000"/>
              <w:left w:val="single" w:sz="6" w:space="0" w:color="000000"/>
              <w:bottom w:val="single" w:sz="6" w:space="0" w:color="000000"/>
              <w:right w:val="single" w:sz="6" w:space="0" w:color="000000"/>
            </w:tcBorders>
          </w:tcPr>
          <w:p>
            <w:pPr/>
          </w:p>
        </w:tc>
        <w:tc>
          <w:tcPr>
            <w:tcW w:w="927"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2,724,000,000.</w:t>
            </w:r>
          </w:p>
          <w:p>
            <w:pPr>
              <w:pStyle w:val="TableParagraph"/>
              <w:spacing w:line="240" w:lineRule="auto" w:before="108"/>
              <w:ind w:right="21"/>
              <w:jc w:val="right"/>
              <w:rPr>
                <w:rFonts w:ascii="Times New Roman" w:hAnsi="Times New Roman" w:cs="Times New Roman" w:eastAsia="Times New Roman" w:hint="default"/>
                <w:sz w:val="18"/>
                <w:szCs w:val="18"/>
              </w:rPr>
            </w:pPr>
            <w:r>
              <w:rPr>
                <w:rFonts w:ascii="Times New Roman"/>
                <w:sz w:val="18"/>
              </w:rPr>
              <w:t>00</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1,999,097,96</w:t>
            </w:r>
          </w:p>
          <w:p>
            <w:pPr>
              <w:pStyle w:val="TableParagraph"/>
              <w:spacing w:line="240" w:lineRule="auto" w:before="108"/>
              <w:ind w:right="9"/>
              <w:jc w:val="right"/>
              <w:rPr>
                <w:rFonts w:ascii="Times New Roman" w:hAnsi="Times New Roman" w:cs="Times New Roman" w:eastAsia="Times New Roman" w:hint="default"/>
                <w:sz w:val="18"/>
                <w:szCs w:val="18"/>
              </w:rPr>
            </w:pPr>
            <w:r>
              <w:rPr>
                <w:rFonts w:ascii="Times New Roman"/>
                <w:sz w:val="18"/>
              </w:rPr>
              <w:t>3.51</w:t>
            </w:r>
          </w:p>
        </w:tc>
        <w:tc>
          <w:tcPr>
            <w:tcW w:w="920"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746,272,637.59</w:t>
            </w:r>
          </w:p>
        </w:tc>
      </w:tr>
      <w:tr>
        <w:trPr>
          <w:trHeight w:val="157" w:hRule="exact"/>
        </w:trPr>
        <w:tc>
          <w:tcPr>
            <w:tcW w:w="972" w:type="dxa"/>
            <w:tcBorders>
              <w:top w:val="single" w:sz="6" w:space="0" w:color="000000"/>
              <w:left w:val="single" w:sz="6" w:space="0" w:color="000000"/>
              <w:bottom w:val="nil" w:sz="6" w:space="0" w:color="auto"/>
              <w:right w:val="single" w:sz="6" w:space="0" w:color="000000"/>
            </w:tcBorders>
            <w:shd w:val="clear" w:color="auto" w:fill="D2D2D2"/>
          </w:tcPr>
          <w:p>
            <w:pPr/>
          </w:p>
        </w:tc>
        <w:tc>
          <w:tcPr>
            <w:tcW w:w="1033" w:type="dxa"/>
            <w:vMerge w:val="restart"/>
            <w:tcBorders>
              <w:top w:val="single" w:sz="6" w:space="0" w:color="000000"/>
              <w:left w:val="single" w:sz="12" w:space="0" w:color="D2D2D2"/>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20,909,091.0</w:t>
            </w:r>
          </w:p>
          <w:p>
            <w:pPr>
              <w:pStyle w:val="TableParagraph"/>
              <w:spacing w:line="240" w:lineRule="auto" w:before="108"/>
              <w:ind w:right="20"/>
              <w:jc w:val="right"/>
              <w:rPr>
                <w:rFonts w:ascii="Times New Roman" w:hAnsi="Times New Roman" w:cs="Times New Roman" w:eastAsia="Times New Roman" w:hint="default"/>
                <w:sz w:val="18"/>
                <w:szCs w:val="18"/>
              </w:rPr>
            </w:pPr>
            <w:r>
              <w:rPr>
                <w:rFonts w:ascii="Times New Roman"/>
                <w:sz w:val="18"/>
              </w:rPr>
              <w:t>0</w:t>
            </w:r>
          </w:p>
        </w:tc>
        <w:tc>
          <w:tcPr>
            <w:tcW w:w="1059" w:type="dxa"/>
            <w:vMerge w:val="restart"/>
            <w:tcBorders>
              <w:top w:val="single" w:sz="6" w:space="0" w:color="000000"/>
              <w:left w:val="single" w:sz="6" w:space="0" w:color="000000"/>
              <w:right w:val="single" w:sz="6" w:space="0" w:color="000000"/>
            </w:tcBorders>
          </w:tcPr>
          <w:p>
            <w:pPr/>
          </w:p>
        </w:tc>
        <w:tc>
          <w:tcPr>
            <w:tcW w:w="119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09" w:right="0"/>
              <w:jc w:val="left"/>
              <w:rPr>
                <w:rFonts w:ascii="Times New Roman" w:hAnsi="Times New Roman" w:cs="Times New Roman" w:eastAsia="Times New Roman" w:hint="default"/>
                <w:sz w:val="18"/>
                <w:szCs w:val="18"/>
              </w:rPr>
            </w:pPr>
            <w:r>
              <w:rPr>
                <w:rFonts w:ascii="Times New Roman"/>
                <w:sz w:val="18"/>
              </w:rPr>
              <w:t>5,297,328.57</w:t>
            </w:r>
          </w:p>
        </w:tc>
        <w:tc>
          <w:tcPr>
            <w:tcW w:w="927" w:type="dxa"/>
            <w:vMerge w:val="restart"/>
            <w:tcBorders>
              <w:top w:val="single" w:sz="6" w:space="0" w:color="000000"/>
              <w:left w:val="single" w:sz="6" w:space="0" w:color="000000"/>
              <w:right w:val="single" w:sz="6" w:space="0" w:color="000000"/>
            </w:tcBorders>
          </w:tcPr>
          <w:p>
            <w:pPr/>
          </w:p>
        </w:tc>
        <w:tc>
          <w:tcPr>
            <w:tcW w:w="120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13,699,121.16</w:t>
            </w:r>
          </w:p>
        </w:tc>
        <w:tc>
          <w:tcPr>
            <w:tcW w:w="105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82" w:right="0"/>
              <w:jc w:val="left"/>
              <w:rPr>
                <w:rFonts w:ascii="Times New Roman" w:hAnsi="Times New Roman" w:cs="Times New Roman" w:eastAsia="Times New Roman" w:hint="default"/>
                <w:sz w:val="18"/>
                <w:szCs w:val="18"/>
              </w:rPr>
            </w:pPr>
            <w:r>
              <w:rPr>
                <w:rFonts w:ascii="Times New Roman"/>
                <w:sz w:val="18"/>
              </w:rPr>
              <w:t>5,906,252.06</w:t>
            </w:r>
          </w:p>
        </w:tc>
        <w:tc>
          <w:tcPr>
            <w:tcW w:w="920" w:type="dxa"/>
            <w:vMerge w:val="restart"/>
            <w:tcBorders>
              <w:top w:val="single" w:sz="6" w:space="0" w:color="000000"/>
              <w:left w:val="single" w:sz="6" w:space="0" w:color="000000"/>
              <w:right w:val="single" w:sz="6" w:space="0" w:color="000000"/>
            </w:tcBorders>
          </w:tcPr>
          <w:p>
            <w:pPr/>
          </w:p>
        </w:tc>
        <w:tc>
          <w:tcPr>
            <w:tcW w:w="121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38,348,394.04</w:t>
            </w:r>
          </w:p>
        </w:tc>
      </w:tr>
      <w:tr>
        <w:trPr>
          <w:trHeight w:val="705" w:hRule="exact"/>
        </w:trPr>
        <w:tc>
          <w:tcPr>
            <w:tcW w:w="97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88" w:lineRule="auto" w:before="60"/>
              <w:ind w:left="15" w:right="8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其他权益 工具投资</w:t>
            </w:r>
          </w:p>
        </w:tc>
        <w:tc>
          <w:tcPr>
            <w:tcW w:w="1033" w:type="dxa"/>
            <w:vMerge/>
            <w:tcBorders>
              <w:left w:val="single" w:sz="12" w:space="0" w:color="D2D2D2"/>
              <w:right w:val="single" w:sz="6" w:space="0" w:color="000000"/>
            </w:tcBorders>
          </w:tcPr>
          <w:p>
            <w:pPr/>
          </w:p>
        </w:tc>
        <w:tc>
          <w:tcPr>
            <w:tcW w:w="1059" w:type="dxa"/>
            <w:vMerge/>
            <w:tcBorders>
              <w:left w:val="single" w:sz="6" w:space="0" w:color="000000"/>
              <w:right w:val="single" w:sz="6" w:space="0" w:color="000000"/>
            </w:tcBorders>
          </w:tcPr>
          <w:p>
            <w:pPr/>
          </w:p>
        </w:tc>
        <w:tc>
          <w:tcPr>
            <w:tcW w:w="1198" w:type="dxa"/>
            <w:vMerge/>
            <w:tcBorders>
              <w:left w:val="single" w:sz="6" w:space="0" w:color="000000"/>
              <w:right w:val="single" w:sz="6" w:space="0" w:color="000000"/>
            </w:tcBorders>
          </w:tcPr>
          <w:p>
            <w:pPr/>
          </w:p>
        </w:tc>
        <w:tc>
          <w:tcPr>
            <w:tcW w:w="927" w:type="dxa"/>
            <w:vMerge/>
            <w:tcBorders>
              <w:left w:val="single" w:sz="6" w:space="0" w:color="000000"/>
              <w:right w:val="single" w:sz="6" w:space="0" w:color="000000"/>
            </w:tcBorders>
          </w:tcPr>
          <w:p>
            <w:pPr/>
          </w:p>
        </w:tc>
        <w:tc>
          <w:tcPr>
            <w:tcW w:w="1202" w:type="dxa"/>
            <w:vMerge/>
            <w:tcBorders>
              <w:left w:val="single" w:sz="6" w:space="0" w:color="000000"/>
              <w:right w:val="single" w:sz="6" w:space="0" w:color="000000"/>
            </w:tcBorders>
          </w:tcPr>
          <w:p>
            <w:pPr/>
          </w:p>
        </w:tc>
        <w:tc>
          <w:tcPr>
            <w:tcW w:w="1055" w:type="dxa"/>
            <w:vMerge/>
            <w:tcBorders>
              <w:left w:val="single" w:sz="6" w:space="0" w:color="000000"/>
              <w:right w:val="single" w:sz="6" w:space="0" w:color="000000"/>
            </w:tcBorders>
          </w:tcPr>
          <w:p>
            <w:pPr/>
          </w:p>
        </w:tc>
        <w:tc>
          <w:tcPr>
            <w:tcW w:w="920" w:type="dxa"/>
            <w:vMerge/>
            <w:tcBorders>
              <w:left w:val="single" w:sz="6" w:space="0" w:color="000000"/>
              <w:right w:val="single" w:sz="6" w:space="0" w:color="000000"/>
            </w:tcBorders>
          </w:tcPr>
          <w:p>
            <w:pPr/>
          </w:p>
        </w:tc>
        <w:tc>
          <w:tcPr>
            <w:tcW w:w="1216" w:type="dxa"/>
            <w:vMerge/>
            <w:tcBorders>
              <w:left w:val="single" w:sz="6" w:space="0" w:color="000000"/>
              <w:right w:val="single" w:sz="6" w:space="0" w:color="000000"/>
            </w:tcBorders>
          </w:tcPr>
          <w:p>
            <w:pPr/>
          </w:p>
        </w:tc>
      </w:tr>
      <w:tr>
        <w:trPr>
          <w:trHeight w:val="158" w:hRule="exact"/>
        </w:trPr>
        <w:tc>
          <w:tcPr>
            <w:tcW w:w="972" w:type="dxa"/>
            <w:tcBorders>
              <w:top w:val="nil" w:sz="6" w:space="0" w:color="auto"/>
              <w:left w:val="single" w:sz="6" w:space="0" w:color="000000"/>
              <w:bottom w:val="single" w:sz="6" w:space="0" w:color="000000"/>
              <w:right w:val="single" w:sz="6" w:space="0" w:color="000000"/>
            </w:tcBorders>
            <w:shd w:val="clear" w:color="auto" w:fill="D2D2D2"/>
          </w:tcPr>
          <w:p>
            <w:pPr/>
          </w:p>
        </w:tc>
        <w:tc>
          <w:tcPr>
            <w:tcW w:w="1033" w:type="dxa"/>
            <w:vMerge/>
            <w:tcBorders>
              <w:left w:val="single" w:sz="12" w:space="0" w:color="D2D2D2"/>
              <w:bottom w:val="single" w:sz="6" w:space="0" w:color="000000"/>
              <w:right w:val="single" w:sz="6" w:space="0" w:color="000000"/>
            </w:tcBorders>
          </w:tcPr>
          <w:p>
            <w:pPr/>
          </w:p>
        </w:tc>
        <w:tc>
          <w:tcPr>
            <w:tcW w:w="1059" w:type="dxa"/>
            <w:vMerge/>
            <w:tcBorders>
              <w:left w:val="single" w:sz="6" w:space="0" w:color="000000"/>
              <w:bottom w:val="single" w:sz="6" w:space="0" w:color="000000"/>
              <w:right w:val="single" w:sz="6" w:space="0" w:color="000000"/>
            </w:tcBorders>
          </w:tcPr>
          <w:p>
            <w:pPr/>
          </w:p>
        </w:tc>
        <w:tc>
          <w:tcPr>
            <w:tcW w:w="1198" w:type="dxa"/>
            <w:vMerge/>
            <w:tcBorders>
              <w:left w:val="single" w:sz="6" w:space="0" w:color="000000"/>
              <w:bottom w:val="single" w:sz="6" w:space="0" w:color="000000"/>
              <w:right w:val="single" w:sz="6" w:space="0" w:color="000000"/>
            </w:tcBorders>
          </w:tcPr>
          <w:p>
            <w:pPr/>
          </w:p>
        </w:tc>
        <w:tc>
          <w:tcPr>
            <w:tcW w:w="927" w:type="dxa"/>
            <w:vMerge/>
            <w:tcBorders>
              <w:left w:val="single" w:sz="6" w:space="0" w:color="000000"/>
              <w:bottom w:val="single" w:sz="6" w:space="0" w:color="000000"/>
              <w:right w:val="single" w:sz="6" w:space="0" w:color="000000"/>
            </w:tcBorders>
          </w:tcPr>
          <w:p>
            <w:pPr/>
          </w:p>
        </w:tc>
        <w:tc>
          <w:tcPr>
            <w:tcW w:w="1202" w:type="dxa"/>
            <w:vMerge/>
            <w:tcBorders>
              <w:left w:val="single" w:sz="6" w:space="0" w:color="000000"/>
              <w:bottom w:val="single" w:sz="6" w:space="0" w:color="000000"/>
              <w:right w:val="single" w:sz="6" w:space="0" w:color="000000"/>
            </w:tcBorders>
          </w:tcPr>
          <w:p>
            <w:pPr/>
          </w:p>
        </w:tc>
        <w:tc>
          <w:tcPr>
            <w:tcW w:w="1055" w:type="dxa"/>
            <w:vMerge/>
            <w:tcBorders>
              <w:left w:val="single" w:sz="6" w:space="0" w:color="000000"/>
              <w:bottom w:val="single" w:sz="6" w:space="0" w:color="000000"/>
              <w:right w:val="single" w:sz="6" w:space="0" w:color="000000"/>
            </w:tcBorders>
          </w:tcPr>
          <w:p>
            <w:pPr/>
          </w:p>
        </w:tc>
        <w:tc>
          <w:tcPr>
            <w:tcW w:w="920" w:type="dxa"/>
            <w:vMerge/>
            <w:tcBorders>
              <w:left w:val="single" w:sz="6" w:space="0" w:color="000000"/>
              <w:bottom w:val="single" w:sz="6" w:space="0" w:color="000000"/>
              <w:right w:val="single" w:sz="6" w:space="0" w:color="000000"/>
            </w:tcBorders>
          </w:tcPr>
          <w:p>
            <w:pPr/>
          </w:p>
        </w:tc>
        <w:tc>
          <w:tcPr>
            <w:tcW w:w="1216" w:type="dxa"/>
            <w:vMerge/>
            <w:tcBorders>
              <w:left w:val="single" w:sz="6" w:space="0" w:color="000000"/>
              <w:bottom w:val="single" w:sz="6" w:space="0" w:color="000000"/>
              <w:right w:val="single" w:sz="6" w:space="0" w:color="000000"/>
            </w:tcBorders>
          </w:tcPr>
          <w:p>
            <w:pPr/>
          </w:p>
        </w:tc>
      </w:tr>
      <w:tr>
        <w:trPr>
          <w:trHeight w:val="721" w:hRule="exact"/>
        </w:trPr>
        <w:tc>
          <w:tcPr>
            <w:tcW w:w="9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40"/>
              <w:jc w:val="left"/>
              <w:rPr>
                <w:rFonts w:ascii="宋体" w:hAnsi="宋体" w:cs="宋体" w:eastAsia="宋体" w:hint="default"/>
                <w:sz w:val="18"/>
                <w:szCs w:val="18"/>
              </w:rPr>
            </w:pPr>
            <w:r>
              <w:rPr>
                <w:rFonts w:ascii="宋体" w:hAnsi="宋体" w:cs="宋体" w:eastAsia="宋体" w:hint="default"/>
                <w:sz w:val="18"/>
                <w:szCs w:val="18"/>
              </w:rPr>
              <w:t>金融资产小 计</w:t>
            </w:r>
          </w:p>
        </w:tc>
        <w:tc>
          <w:tcPr>
            <w:tcW w:w="103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22"/>
              <w:jc w:val="right"/>
              <w:rPr>
                <w:rFonts w:ascii="Times New Roman" w:hAnsi="Times New Roman" w:cs="Times New Roman" w:eastAsia="Times New Roman" w:hint="default"/>
                <w:sz w:val="18"/>
                <w:szCs w:val="18"/>
              </w:rPr>
            </w:pPr>
            <w:r>
              <w:rPr>
                <w:rFonts w:ascii="Times New Roman"/>
                <w:sz w:val="18"/>
              </w:rPr>
              <w:t>565,885,148.</w:t>
            </w:r>
          </w:p>
          <w:p>
            <w:pPr>
              <w:pStyle w:val="TableParagraph"/>
              <w:spacing w:line="240" w:lineRule="auto" w:before="108"/>
              <w:ind w:right="20"/>
              <w:jc w:val="right"/>
              <w:rPr>
                <w:rFonts w:ascii="Times New Roman" w:hAnsi="Times New Roman" w:cs="Times New Roman" w:eastAsia="Times New Roman" w:hint="default"/>
                <w:sz w:val="18"/>
                <w:szCs w:val="18"/>
              </w:rPr>
            </w:pPr>
            <w:r>
              <w:rPr>
                <w:rFonts w:ascii="Times New Roman"/>
                <w:sz w:val="18"/>
              </w:rPr>
              <w:t>27</w:t>
            </w:r>
          </w:p>
        </w:tc>
        <w:tc>
          <w:tcPr>
            <w:tcW w:w="1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3,272,637.59</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09" w:right="0"/>
              <w:jc w:val="left"/>
              <w:rPr>
                <w:rFonts w:ascii="Times New Roman" w:hAnsi="Times New Roman" w:cs="Times New Roman" w:eastAsia="Times New Roman" w:hint="default"/>
                <w:sz w:val="18"/>
                <w:szCs w:val="18"/>
              </w:rPr>
            </w:pPr>
            <w:r>
              <w:rPr>
                <w:rFonts w:ascii="Times New Roman"/>
                <w:sz w:val="18"/>
              </w:rPr>
              <w:t>5,297,328.57</w:t>
            </w:r>
          </w:p>
        </w:tc>
        <w:tc>
          <w:tcPr>
            <w:tcW w:w="927"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2"/>
              <w:jc w:val="right"/>
              <w:rPr>
                <w:rFonts w:ascii="Times New Roman" w:hAnsi="Times New Roman" w:cs="Times New Roman" w:eastAsia="Times New Roman" w:hint="default"/>
                <w:sz w:val="18"/>
                <w:szCs w:val="18"/>
              </w:rPr>
            </w:pPr>
            <w:r>
              <w:rPr>
                <w:rFonts w:ascii="Times New Roman"/>
                <w:sz w:val="18"/>
              </w:rPr>
              <w:t>2,737,699,121.</w:t>
            </w:r>
          </w:p>
          <w:p>
            <w:pPr>
              <w:pStyle w:val="TableParagraph"/>
              <w:spacing w:line="240" w:lineRule="auto" w:before="108"/>
              <w:ind w:right="21"/>
              <w:jc w:val="right"/>
              <w:rPr>
                <w:rFonts w:ascii="Times New Roman" w:hAnsi="Times New Roman" w:cs="Times New Roman" w:eastAsia="Times New Roman" w:hint="default"/>
                <w:sz w:val="18"/>
                <w:szCs w:val="18"/>
              </w:rPr>
            </w:pPr>
            <w:r>
              <w:rPr>
                <w:rFonts w:ascii="Times New Roman"/>
                <w:sz w:val="18"/>
              </w:rPr>
              <w:t>16</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
              <w:jc w:val="right"/>
              <w:rPr>
                <w:rFonts w:ascii="Times New Roman" w:hAnsi="Times New Roman" w:cs="Times New Roman" w:eastAsia="Times New Roman" w:hint="default"/>
                <w:sz w:val="18"/>
                <w:szCs w:val="18"/>
              </w:rPr>
            </w:pPr>
            <w:r>
              <w:rPr>
                <w:rFonts w:ascii="Times New Roman"/>
                <w:sz w:val="18"/>
              </w:rPr>
              <w:t>2,005,004,21</w:t>
            </w:r>
          </w:p>
          <w:p>
            <w:pPr>
              <w:pStyle w:val="TableParagraph"/>
              <w:spacing w:line="240" w:lineRule="auto" w:before="108"/>
              <w:ind w:right="9"/>
              <w:jc w:val="right"/>
              <w:rPr>
                <w:rFonts w:ascii="Times New Roman" w:hAnsi="Times New Roman" w:cs="Times New Roman" w:eastAsia="Times New Roman" w:hint="default"/>
                <w:sz w:val="18"/>
                <w:szCs w:val="18"/>
              </w:rPr>
            </w:pPr>
            <w:r>
              <w:rPr>
                <w:rFonts w:ascii="Times New Roman"/>
                <w:sz w:val="18"/>
              </w:rPr>
              <w:t>5.57</w:t>
            </w:r>
          </w:p>
        </w:tc>
        <w:tc>
          <w:tcPr>
            <w:tcW w:w="920"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784,621,031.63</w:t>
            </w:r>
          </w:p>
        </w:tc>
      </w:tr>
      <w:tr>
        <w:trPr>
          <w:trHeight w:val="473" w:hRule="exact"/>
        </w:trPr>
        <w:tc>
          <w:tcPr>
            <w:tcW w:w="972" w:type="dxa"/>
            <w:tcBorders>
              <w:top w:val="single" w:sz="6" w:space="0" w:color="000000"/>
              <w:left w:val="single" w:sz="6" w:space="0" w:color="000000"/>
              <w:bottom w:val="nil" w:sz="6" w:space="0" w:color="auto"/>
              <w:right w:val="single" w:sz="6" w:space="0" w:color="000000"/>
            </w:tcBorders>
            <w:shd w:val="clear" w:color="auto" w:fill="D2D2D2"/>
          </w:tcPr>
          <w:p>
            <w:pPr/>
          </w:p>
        </w:tc>
        <w:tc>
          <w:tcPr>
            <w:tcW w:w="1033" w:type="dxa"/>
            <w:vMerge w:val="restart"/>
            <w:tcBorders>
              <w:top w:val="single" w:sz="6" w:space="0" w:color="000000"/>
              <w:left w:val="single" w:sz="12" w:space="0" w:color="D2D2D2"/>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565,885,148.</w:t>
            </w:r>
          </w:p>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27</w:t>
            </w:r>
          </w:p>
        </w:tc>
        <w:tc>
          <w:tcPr>
            <w:tcW w:w="105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3,272,637.59</w:t>
            </w:r>
          </w:p>
        </w:tc>
        <w:tc>
          <w:tcPr>
            <w:tcW w:w="119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09" w:right="0"/>
              <w:jc w:val="left"/>
              <w:rPr>
                <w:rFonts w:ascii="Times New Roman" w:hAnsi="Times New Roman" w:cs="Times New Roman" w:eastAsia="Times New Roman" w:hint="default"/>
                <w:sz w:val="18"/>
                <w:szCs w:val="18"/>
              </w:rPr>
            </w:pPr>
            <w:r>
              <w:rPr>
                <w:rFonts w:ascii="Times New Roman"/>
                <w:sz w:val="18"/>
              </w:rPr>
              <w:t>5,297,328.57</w:t>
            </w:r>
          </w:p>
        </w:tc>
        <w:tc>
          <w:tcPr>
            <w:tcW w:w="927" w:type="dxa"/>
            <w:vMerge w:val="restart"/>
            <w:tcBorders>
              <w:top w:val="single" w:sz="6" w:space="0" w:color="000000"/>
              <w:left w:val="single" w:sz="6" w:space="0" w:color="000000"/>
              <w:right w:val="single" w:sz="6" w:space="0" w:color="000000"/>
            </w:tcBorders>
          </w:tcPr>
          <w:p>
            <w:pPr/>
          </w:p>
        </w:tc>
        <w:tc>
          <w:tcPr>
            <w:tcW w:w="120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2,737,699,121.</w:t>
            </w:r>
          </w:p>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16</w:t>
            </w:r>
          </w:p>
        </w:tc>
        <w:tc>
          <w:tcPr>
            <w:tcW w:w="105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0"/>
              <w:jc w:val="right"/>
              <w:rPr>
                <w:rFonts w:ascii="Times New Roman" w:hAnsi="Times New Roman" w:cs="Times New Roman" w:eastAsia="Times New Roman" w:hint="default"/>
                <w:sz w:val="18"/>
                <w:szCs w:val="18"/>
              </w:rPr>
            </w:pPr>
            <w:r>
              <w:rPr>
                <w:rFonts w:ascii="Times New Roman"/>
                <w:sz w:val="18"/>
              </w:rPr>
              <w:t>2,005,004,21</w:t>
            </w:r>
          </w:p>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z w:val="18"/>
              </w:rPr>
              <w:t>5.57</w:t>
            </w:r>
          </w:p>
        </w:tc>
        <w:tc>
          <w:tcPr>
            <w:tcW w:w="920" w:type="dxa"/>
            <w:vMerge w:val="restart"/>
            <w:tcBorders>
              <w:top w:val="single" w:sz="6" w:space="0" w:color="000000"/>
              <w:left w:val="single" w:sz="6" w:space="0" w:color="000000"/>
              <w:right w:val="single" w:sz="6" w:space="0" w:color="000000"/>
            </w:tcBorders>
          </w:tcPr>
          <w:p>
            <w:pPr/>
          </w:p>
        </w:tc>
        <w:tc>
          <w:tcPr>
            <w:tcW w:w="121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784,621,031.63</w:t>
            </w:r>
          </w:p>
        </w:tc>
      </w:tr>
      <w:tr>
        <w:trPr>
          <w:trHeight w:val="390" w:hRule="exact"/>
        </w:trPr>
        <w:tc>
          <w:tcPr>
            <w:tcW w:w="97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220"/>
              <w:jc w:val="right"/>
              <w:rPr>
                <w:rFonts w:ascii="宋体" w:hAnsi="宋体" w:cs="宋体" w:eastAsia="宋体" w:hint="default"/>
                <w:sz w:val="18"/>
                <w:szCs w:val="18"/>
              </w:rPr>
            </w:pPr>
            <w:r>
              <w:rPr>
                <w:rFonts w:ascii="宋体" w:hAnsi="宋体" w:cs="宋体" w:eastAsia="宋体" w:hint="default"/>
                <w:sz w:val="18"/>
                <w:szCs w:val="18"/>
              </w:rPr>
              <w:t>上述合计</w:t>
            </w:r>
          </w:p>
        </w:tc>
        <w:tc>
          <w:tcPr>
            <w:tcW w:w="1033" w:type="dxa"/>
            <w:vMerge/>
            <w:tcBorders>
              <w:left w:val="single" w:sz="12" w:space="0" w:color="D2D2D2"/>
              <w:right w:val="single" w:sz="6" w:space="0" w:color="000000"/>
            </w:tcBorders>
          </w:tcPr>
          <w:p>
            <w:pPr/>
          </w:p>
        </w:tc>
        <w:tc>
          <w:tcPr>
            <w:tcW w:w="1059" w:type="dxa"/>
            <w:vMerge/>
            <w:tcBorders>
              <w:left w:val="single" w:sz="6" w:space="0" w:color="000000"/>
              <w:right w:val="single" w:sz="6" w:space="0" w:color="000000"/>
            </w:tcBorders>
          </w:tcPr>
          <w:p>
            <w:pPr/>
          </w:p>
        </w:tc>
        <w:tc>
          <w:tcPr>
            <w:tcW w:w="1198" w:type="dxa"/>
            <w:vMerge/>
            <w:tcBorders>
              <w:left w:val="single" w:sz="6" w:space="0" w:color="000000"/>
              <w:right w:val="single" w:sz="6" w:space="0" w:color="000000"/>
            </w:tcBorders>
          </w:tcPr>
          <w:p>
            <w:pPr/>
          </w:p>
        </w:tc>
        <w:tc>
          <w:tcPr>
            <w:tcW w:w="927" w:type="dxa"/>
            <w:vMerge/>
            <w:tcBorders>
              <w:left w:val="single" w:sz="6" w:space="0" w:color="000000"/>
              <w:right w:val="single" w:sz="6" w:space="0" w:color="000000"/>
            </w:tcBorders>
          </w:tcPr>
          <w:p>
            <w:pPr/>
          </w:p>
        </w:tc>
        <w:tc>
          <w:tcPr>
            <w:tcW w:w="1202" w:type="dxa"/>
            <w:vMerge/>
            <w:tcBorders>
              <w:left w:val="single" w:sz="6" w:space="0" w:color="000000"/>
              <w:right w:val="single" w:sz="6" w:space="0" w:color="000000"/>
            </w:tcBorders>
          </w:tcPr>
          <w:p>
            <w:pPr/>
          </w:p>
        </w:tc>
        <w:tc>
          <w:tcPr>
            <w:tcW w:w="1055" w:type="dxa"/>
            <w:vMerge/>
            <w:tcBorders>
              <w:left w:val="single" w:sz="6" w:space="0" w:color="000000"/>
              <w:right w:val="single" w:sz="6" w:space="0" w:color="000000"/>
            </w:tcBorders>
          </w:tcPr>
          <w:p>
            <w:pPr/>
          </w:p>
        </w:tc>
        <w:tc>
          <w:tcPr>
            <w:tcW w:w="920" w:type="dxa"/>
            <w:vMerge/>
            <w:tcBorders>
              <w:left w:val="single" w:sz="6" w:space="0" w:color="000000"/>
              <w:right w:val="single" w:sz="6" w:space="0" w:color="000000"/>
            </w:tcBorders>
          </w:tcPr>
          <w:p>
            <w:pPr/>
          </w:p>
        </w:tc>
        <w:tc>
          <w:tcPr>
            <w:tcW w:w="1216" w:type="dxa"/>
            <w:vMerge/>
            <w:tcBorders>
              <w:left w:val="single" w:sz="6" w:space="0" w:color="000000"/>
              <w:right w:val="single" w:sz="6" w:space="0" w:color="000000"/>
            </w:tcBorders>
          </w:tcPr>
          <w:p>
            <w:pPr/>
          </w:p>
        </w:tc>
      </w:tr>
      <w:tr>
        <w:trPr>
          <w:trHeight w:val="473" w:hRule="exact"/>
        </w:trPr>
        <w:tc>
          <w:tcPr>
            <w:tcW w:w="972" w:type="dxa"/>
            <w:tcBorders>
              <w:top w:val="nil" w:sz="6" w:space="0" w:color="auto"/>
              <w:left w:val="single" w:sz="6" w:space="0" w:color="000000"/>
              <w:bottom w:val="single" w:sz="6" w:space="0" w:color="000000"/>
              <w:right w:val="single" w:sz="6" w:space="0" w:color="000000"/>
            </w:tcBorders>
            <w:shd w:val="clear" w:color="auto" w:fill="D2D2D2"/>
          </w:tcPr>
          <w:p>
            <w:pPr/>
          </w:p>
        </w:tc>
        <w:tc>
          <w:tcPr>
            <w:tcW w:w="1033" w:type="dxa"/>
            <w:vMerge/>
            <w:tcBorders>
              <w:left w:val="single" w:sz="12" w:space="0" w:color="D2D2D2"/>
              <w:bottom w:val="single" w:sz="6" w:space="0" w:color="000000"/>
              <w:right w:val="single" w:sz="6" w:space="0" w:color="000000"/>
            </w:tcBorders>
          </w:tcPr>
          <w:p>
            <w:pPr/>
          </w:p>
        </w:tc>
        <w:tc>
          <w:tcPr>
            <w:tcW w:w="1059" w:type="dxa"/>
            <w:vMerge/>
            <w:tcBorders>
              <w:left w:val="single" w:sz="6" w:space="0" w:color="000000"/>
              <w:bottom w:val="single" w:sz="6" w:space="0" w:color="000000"/>
              <w:right w:val="single" w:sz="6" w:space="0" w:color="000000"/>
            </w:tcBorders>
          </w:tcPr>
          <w:p>
            <w:pPr/>
          </w:p>
        </w:tc>
        <w:tc>
          <w:tcPr>
            <w:tcW w:w="1198" w:type="dxa"/>
            <w:vMerge/>
            <w:tcBorders>
              <w:left w:val="single" w:sz="6" w:space="0" w:color="000000"/>
              <w:bottom w:val="single" w:sz="6" w:space="0" w:color="000000"/>
              <w:right w:val="single" w:sz="6" w:space="0" w:color="000000"/>
            </w:tcBorders>
          </w:tcPr>
          <w:p>
            <w:pPr/>
          </w:p>
        </w:tc>
        <w:tc>
          <w:tcPr>
            <w:tcW w:w="927" w:type="dxa"/>
            <w:vMerge/>
            <w:tcBorders>
              <w:left w:val="single" w:sz="6" w:space="0" w:color="000000"/>
              <w:bottom w:val="single" w:sz="6" w:space="0" w:color="000000"/>
              <w:right w:val="single" w:sz="6" w:space="0" w:color="000000"/>
            </w:tcBorders>
          </w:tcPr>
          <w:p>
            <w:pPr/>
          </w:p>
        </w:tc>
        <w:tc>
          <w:tcPr>
            <w:tcW w:w="1202" w:type="dxa"/>
            <w:vMerge/>
            <w:tcBorders>
              <w:left w:val="single" w:sz="6" w:space="0" w:color="000000"/>
              <w:bottom w:val="single" w:sz="6" w:space="0" w:color="000000"/>
              <w:right w:val="single" w:sz="6" w:space="0" w:color="000000"/>
            </w:tcBorders>
          </w:tcPr>
          <w:p>
            <w:pPr/>
          </w:p>
        </w:tc>
        <w:tc>
          <w:tcPr>
            <w:tcW w:w="1055" w:type="dxa"/>
            <w:vMerge/>
            <w:tcBorders>
              <w:left w:val="single" w:sz="6" w:space="0" w:color="000000"/>
              <w:bottom w:val="single" w:sz="6" w:space="0" w:color="000000"/>
              <w:right w:val="single" w:sz="6" w:space="0" w:color="000000"/>
            </w:tcBorders>
          </w:tcPr>
          <w:p>
            <w:pPr/>
          </w:p>
        </w:tc>
        <w:tc>
          <w:tcPr>
            <w:tcW w:w="920" w:type="dxa"/>
            <w:vMerge/>
            <w:tcBorders>
              <w:left w:val="single" w:sz="6" w:space="0" w:color="000000"/>
              <w:bottom w:val="single" w:sz="6" w:space="0" w:color="000000"/>
              <w:right w:val="single" w:sz="6" w:space="0" w:color="000000"/>
            </w:tcBorders>
          </w:tcPr>
          <w:p>
            <w:pPr/>
          </w:p>
        </w:tc>
        <w:tc>
          <w:tcPr>
            <w:tcW w:w="1216" w:type="dxa"/>
            <w:vMerge/>
            <w:tcBorders>
              <w:left w:val="single" w:sz="6" w:space="0" w:color="000000"/>
              <w:bottom w:val="single" w:sz="6" w:space="0" w:color="000000"/>
              <w:right w:val="single" w:sz="6" w:space="0" w:color="000000"/>
            </w:tcBorders>
          </w:tcPr>
          <w:p>
            <w:pPr/>
          </w:p>
        </w:tc>
      </w:tr>
      <w:tr>
        <w:trPr>
          <w:trHeight w:val="406" w:hRule="exact"/>
        </w:trPr>
        <w:tc>
          <w:tcPr>
            <w:tcW w:w="9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20"/>
              <w:jc w:val="right"/>
              <w:rPr>
                <w:rFonts w:ascii="宋体" w:hAnsi="宋体" w:cs="宋体" w:eastAsia="宋体" w:hint="default"/>
                <w:sz w:val="18"/>
                <w:szCs w:val="18"/>
              </w:rPr>
            </w:pPr>
            <w:r>
              <w:rPr>
                <w:rFonts w:ascii="宋体" w:hAnsi="宋体" w:cs="宋体" w:eastAsia="宋体" w:hint="default"/>
                <w:sz w:val="18"/>
                <w:szCs w:val="18"/>
              </w:rPr>
              <w:t>金融负债</w:t>
            </w:r>
          </w:p>
        </w:tc>
        <w:tc>
          <w:tcPr>
            <w:tcW w:w="103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672" w:right="0"/>
              <w:jc w:val="left"/>
              <w:rPr>
                <w:rFonts w:ascii="Times New Roman" w:hAnsi="Times New Roman" w:cs="Times New Roman" w:eastAsia="Times New Roman" w:hint="default"/>
                <w:sz w:val="18"/>
                <w:szCs w:val="18"/>
              </w:rPr>
            </w:pPr>
            <w:r>
              <w:rPr>
                <w:rFonts w:ascii="Times New Roman"/>
                <w:sz w:val="18"/>
              </w:rPr>
              <w:t>0.00</w:t>
            </w:r>
          </w:p>
        </w:tc>
        <w:tc>
          <w:tcPr>
            <w:tcW w:w="1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198" w:type="dxa"/>
            <w:tcBorders>
              <w:top w:val="single" w:sz="6" w:space="0" w:color="000000"/>
              <w:left w:val="single" w:sz="6" w:space="0" w:color="000000"/>
              <w:bottom w:val="single" w:sz="6" w:space="0" w:color="000000"/>
              <w:right w:val="single" w:sz="6" w:space="0" w:color="000000"/>
            </w:tcBorders>
          </w:tcPr>
          <w:p>
            <w:pP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74" w:right="0"/>
              <w:jc w:val="left"/>
              <w:rPr>
                <w:rFonts w:ascii="Times New Roman" w:hAnsi="Times New Roman" w:cs="Times New Roman" w:eastAsia="Times New Roman" w:hint="default"/>
                <w:sz w:val="18"/>
                <w:szCs w:val="18"/>
              </w:rPr>
            </w:pPr>
            <w:r>
              <w:rPr>
                <w:rFonts w:ascii="Times New Roman"/>
                <w:sz w:val="18"/>
              </w:rPr>
              <w:t>0.00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0.00</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
              <w:jc w:val="right"/>
              <w:rPr>
                <w:rFonts w:ascii="Times New Roman" w:hAnsi="Times New Roman" w:cs="Times New Roman" w:eastAsia="Times New Roman" w:hint="default"/>
                <w:sz w:val="18"/>
                <w:szCs w:val="18"/>
              </w:rPr>
            </w:pPr>
            <w:r>
              <w:rPr>
                <w:rFonts w:ascii="Times New Roman"/>
                <w:sz w:val="18"/>
              </w:rPr>
              <w:t>0.00</w:t>
            </w:r>
          </w:p>
        </w:tc>
        <w:tc>
          <w:tcPr>
            <w:tcW w:w="920"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52" w:lineRule="auto" w:before="44"/>
        <w:ind w:right="6789"/>
        <w:jc w:val="left"/>
      </w:pPr>
      <w:r>
        <w:rPr/>
        <w:t>其他变动的内容 报告期内公司主要资产计量属性是否发生重大变化</w:t>
      </w:r>
    </w:p>
    <w:p>
      <w:pPr>
        <w:pStyle w:val="BodyText"/>
        <w:spacing w:line="240" w:lineRule="auto" w:before="40"/>
        <w:ind w:right="110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p>
    <w:p>
      <w:pPr>
        <w:pStyle w:val="Heading4"/>
        <w:spacing w:line="240" w:lineRule="auto" w:before="125"/>
        <w:ind w:right="1100"/>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
        <w:rPr>
          <w:rFonts w:ascii="宋体" w:hAnsi="宋体" w:cs="宋体" w:eastAsia="宋体" w:hint="default"/>
          <w:b/>
          <w:bCs/>
          <w:sz w:val="24"/>
          <w:szCs w:val="24"/>
        </w:rPr>
      </w:pPr>
    </w:p>
    <w:tbl>
      <w:tblPr>
        <w:tblW w:w="0" w:type="auto"/>
        <w:jc w:val="left"/>
        <w:tblInd w:w="111" w:type="dxa"/>
        <w:tblLayout w:type="fixed"/>
        <w:tblCellMar>
          <w:top w:w="0" w:type="dxa"/>
          <w:left w:w="0" w:type="dxa"/>
          <w:bottom w:w="0" w:type="dxa"/>
          <w:right w:w="0" w:type="dxa"/>
        </w:tblCellMar>
        <w:tblLook w:val="01E0"/>
      </w:tblPr>
      <w:tblGrid>
        <w:gridCol w:w="5122"/>
        <w:gridCol w:w="3094"/>
        <w:gridCol w:w="1457"/>
      </w:tblGrid>
      <w:tr>
        <w:trPr>
          <w:trHeight w:val="346" w:hRule="exact"/>
        </w:trPr>
        <w:tc>
          <w:tcPr>
            <w:tcW w:w="5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2356"/>
              <w:jc w:val="right"/>
              <w:rPr>
                <w:rFonts w:ascii="宋体" w:hAnsi="宋体" w:cs="宋体" w:eastAsia="宋体" w:hint="default"/>
                <w:sz w:val="18"/>
                <w:szCs w:val="18"/>
              </w:rPr>
            </w:pPr>
            <w:r>
              <w:rPr>
                <w:rFonts w:ascii="宋体" w:hAnsi="宋体" w:cs="宋体" w:eastAsia="宋体" w:hint="default"/>
                <w:b/>
                <w:bCs/>
                <w:w w:val="95"/>
                <w:sz w:val="18"/>
                <w:szCs w:val="18"/>
              </w:rPr>
              <w:t>项目</w:t>
            </w:r>
            <w:r>
              <w:rPr>
                <w:rFonts w:ascii="宋体" w:hAnsi="宋体" w:cs="宋体" w:eastAsia="宋体" w:hint="default"/>
                <w:sz w:val="18"/>
                <w:szCs w:val="18"/>
              </w:rPr>
            </w:r>
          </w:p>
        </w:tc>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991" w:right="0"/>
              <w:jc w:val="left"/>
              <w:rPr>
                <w:rFonts w:ascii="宋体" w:hAnsi="宋体" w:cs="宋体" w:eastAsia="宋体" w:hint="default"/>
                <w:sz w:val="18"/>
                <w:szCs w:val="18"/>
              </w:rPr>
            </w:pPr>
            <w:r>
              <w:rPr>
                <w:rFonts w:ascii="宋体" w:hAnsi="宋体" w:cs="宋体" w:eastAsia="宋体" w:hint="default"/>
                <w:b/>
                <w:bCs/>
                <w:sz w:val="18"/>
                <w:szCs w:val="18"/>
              </w:rPr>
              <w:t>期末账面价值</w:t>
            </w:r>
            <w:r>
              <w:rPr>
                <w:rFonts w:ascii="宋体" w:hAnsi="宋体" w:cs="宋体" w:eastAsia="宋体" w:hint="default"/>
                <w:sz w:val="18"/>
                <w:szCs w:val="18"/>
              </w:rPr>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b/>
                <w:bCs/>
                <w:sz w:val="18"/>
                <w:szCs w:val="18"/>
              </w:rPr>
              <w:t>受限原因</w:t>
            </w:r>
            <w:r>
              <w:rPr>
                <w:rFonts w:ascii="宋体" w:hAnsi="宋体" w:cs="宋体" w:eastAsia="宋体" w:hint="default"/>
                <w:sz w:val="18"/>
                <w:szCs w:val="18"/>
              </w:rPr>
            </w:r>
          </w:p>
        </w:tc>
      </w:tr>
      <w:tr>
        <w:trPr>
          <w:trHeight w:val="345" w:hRule="exact"/>
        </w:trPr>
        <w:tc>
          <w:tcPr>
            <w:tcW w:w="5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9,831,893.51</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保函保证金</w:t>
            </w:r>
          </w:p>
        </w:tc>
      </w:tr>
      <w:tr>
        <w:trPr>
          <w:trHeight w:val="345" w:hRule="exact"/>
        </w:trPr>
        <w:tc>
          <w:tcPr>
            <w:tcW w:w="5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356"/>
              <w:jc w:val="right"/>
              <w:rPr>
                <w:rFonts w:ascii="宋体" w:hAnsi="宋体" w:cs="宋体" w:eastAsia="宋体" w:hint="default"/>
                <w:sz w:val="18"/>
                <w:szCs w:val="18"/>
              </w:rPr>
            </w:pPr>
            <w:r>
              <w:rPr>
                <w:rFonts w:ascii="宋体" w:hAnsi="宋体" w:cs="宋体" w:eastAsia="宋体" w:hint="default"/>
                <w:sz w:val="18"/>
                <w:szCs w:val="18"/>
              </w:rPr>
              <w:t>合计</w:t>
            </w:r>
          </w:p>
        </w:tc>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9,831,893.51</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b/>
          <w:bCs/>
          <w:sz w:val="24"/>
          <w:szCs w:val="24"/>
        </w:rPr>
      </w:pPr>
    </w:p>
    <w:p>
      <w:pPr>
        <w:pStyle w:val="Heading2"/>
        <w:spacing w:line="240" w:lineRule="auto" w:before="26"/>
        <w:ind w:right="1100"/>
        <w:jc w:val="left"/>
        <w:rPr>
          <w:b w:val="0"/>
          <w:bCs w:val="0"/>
        </w:rPr>
      </w:pPr>
      <w:bookmarkStart w:name="五、投资状况分析" w:id="44"/>
      <w:bookmarkEnd w:id="44"/>
      <w:r>
        <w:rPr>
          <w:b w:val="0"/>
          <w:bCs w:val="0"/>
        </w:rPr>
      </w:r>
      <w:r>
        <w:rPr/>
        <w:t>五、投资状况分析</w:t>
      </w:r>
      <w:r>
        <w:rPr>
          <w:b w:val="0"/>
          <w:bCs w:val="0"/>
        </w:rPr>
      </w:r>
    </w:p>
    <w:p>
      <w:pPr>
        <w:spacing w:line="240" w:lineRule="auto" w:before="9"/>
        <w:rPr>
          <w:rFonts w:ascii="宋体" w:hAnsi="宋体" w:cs="宋体" w:eastAsia="宋体" w:hint="default"/>
          <w:b/>
          <w:bCs/>
          <w:sz w:val="25"/>
          <w:szCs w:val="25"/>
        </w:rPr>
      </w:pPr>
    </w:p>
    <w:p>
      <w:pPr>
        <w:pStyle w:val="Heading4"/>
        <w:spacing w:line="240" w:lineRule="auto"/>
        <w:ind w:right="110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66"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76"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17" w:right="0"/>
              <w:jc w:val="left"/>
              <w:rPr>
                <w:rFonts w:ascii="Times New Roman" w:hAnsi="Times New Roman" w:cs="Times New Roman" w:eastAsia="Times New Roman" w:hint="default"/>
                <w:sz w:val="18"/>
                <w:szCs w:val="18"/>
              </w:rPr>
            </w:pPr>
            <w:r>
              <w:rPr>
                <w:rFonts w:ascii="Times New Roman"/>
                <w:sz w:val="18"/>
              </w:rPr>
              <w:t>24,161,841.16</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42" w:right="0"/>
              <w:jc w:val="left"/>
              <w:rPr>
                <w:rFonts w:ascii="Times New Roman" w:hAnsi="Times New Roman" w:cs="Times New Roman" w:eastAsia="Times New Roman" w:hint="default"/>
                <w:sz w:val="18"/>
                <w:szCs w:val="18"/>
              </w:rPr>
            </w:pPr>
            <w:r>
              <w:rPr>
                <w:rFonts w:ascii="Times New Roman"/>
                <w:sz w:val="18"/>
              </w:rPr>
              <w:t>111,242,881.14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-78.28%</w:t>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4"/>
        <w:spacing w:line="240" w:lineRule="auto" w:before="126"/>
        <w:ind w:right="110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4"/>
        <w:spacing w:line="240" w:lineRule="auto" w:before="125"/>
        <w:ind w:right="110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81"/>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82"/>
        <w:gridCol w:w="902"/>
        <w:gridCol w:w="1096"/>
        <w:gridCol w:w="1171"/>
        <w:gridCol w:w="1202"/>
        <w:gridCol w:w="961"/>
        <w:gridCol w:w="946"/>
        <w:gridCol w:w="961"/>
        <w:gridCol w:w="961"/>
      </w:tblGrid>
      <w:tr>
        <w:trPr>
          <w:trHeight w:val="1021" w:hRule="exact"/>
        </w:trPr>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9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270" w:right="75"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0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90" w:right="90"/>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29" w:right="44"/>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420" w:right="44" w:hanging="361"/>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95" w:right="29" w:hanging="181"/>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375" w:right="15" w:hanging="361"/>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721" w:hRule="exact"/>
        </w:trPr>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13,699,121</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.16</w:t>
            </w:r>
          </w:p>
        </w:tc>
        <w:tc>
          <w:tcPr>
            <w:tcW w:w="1096" w:type="dxa"/>
            <w:tcBorders>
              <w:top w:val="single" w:sz="6" w:space="0" w:color="000000"/>
              <w:left w:val="single" w:sz="6" w:space="0" w:color="000000"/>
              <w:bottom w:val="single" w:sz="6" w:space="0" w:color="000000"/>
              <w:right w:val="single" w:sz="6" w:space="0" w:color="000000"/>
            </w:tcBorders>
          </w:tcPr>
          <w:p>
            <w:pP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3,936,531.51</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13,699,121.16</w:t>
            </w:r>
          </w:p>
        </w:tc>
        <w:tc>
          <w:tcPr>
            <w:tcW w:w="961"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18,348,394.</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04</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1021" w:hRule="exact"/>
        </w:trPr>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526,000,00</w:t>
            </w:r>
          </w:p>
          <w:p>
            <w:pPr>
              <w:pStyle w:val="TableParagraph"/>
              <w:spacing w:line="240" w:lineRule="auto" w:before="93"/>
              <w:ind w:left="555" w:right="0"/>
              <w:jc w:val="left"/>
              <w:rPr>
                <w:rFonts w:ascii="Times New Roman" w:hAnsi="Times New Roman" w:cs="Times New Roman" w:eastAsia="Times New Roman" w:hint="default"/>
                <w:sz w:val="18"/>
                <w:szCs w:val="18"/>
              </w:rPr>
            </w:pPr>
            <w:r>
              <w:rPr>
                <w:rFonts w:ascii="Times New Roman"/>
                <w:sz w:val="18"/>
              </w:rPr>
              <w:t>0.00</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3,272,637.59</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1,360,797.06</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2,724,000,000.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59" w:right="0"/>
              <w:jc w:val="left"/>
              <w:rPr>
                <w:rFonts w:ascii="Times New Roman" w:hAnsi="Times New Roman" w:cs="Times New Roman" w:eastAsia="Times New Roman" w:hint="default"/>
                <w:sz w:val="18"/>
                <w:szCs w:val="18"/>
              </w:rPr>
            </w:pPr>
            <w:r>
              <w:rPr>
                <w:rFonts w:ascii="Times New Roman"/>
                <w:sz w:val="18"/>
              </w:rPr>
              <w:t>2,005,004,2</w:t>
            </w:r>
          </w:p>
          <w:p>
            <w:pPr>
              <w:pStyle w:val="TableParagraph"/>
              <w:spacing w:line="240" w:lineRule="auto" w:before="108"/>
              <w:ind w:left="511" w:right="0"/>
              <w:jc w:val="left"/>
              <w:rPr>
                <w:rFonts w:ascii="Times New Roman" w:hAnsi="Times New Roman" w:cs="Times New Roman" w:eastAsia="Times New Roman" w:hint="default"/>
                <w:sz w:val="18"/>
                <w:szCs w:val="18"/>
              </w:rPr>
            </w:pPr>
            <w:r>
              <w:rPr>
                <w:rFonts w:ascii="Times New Roman"/>
                <w:sz w:val="18"/>
              </w:rPr>
              <w:t>15.57</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24,458,760.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57</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766,272,637</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.59</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05" w:hRule="exact"/>
        </w:trPr>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0" w:right="0"/>
              <w:jc w:val="left"/>
              <w:rPr>
                <w:rFonts w:ascii="Times New Roman" w:hAnsi="Times New Roman" w:cs="Times New Roman" w:eastAsia="Times New Roman" w:hint="default"/>
                <w:sz w:val="18"/>
                <w:szCs w:val="18"/>
              </w:rPr>
            </w:pPr>
            <w:r>
              <w:rPr>
                <w:rFonts w:ascii="Times New Roman"/>
                <w:sz w:val="18"/>
              </w:rPr>
              <w:t>539,699,12</w:t>
            </w:r>
          </w:p>
          <w:p>
            <w:pPr>
              <w:pStyle w:val="TableParagraph"/>
              <w:spacing w:line="240" w:lineRule="auto" w:before="93"/>
              <w:ind w:left="555" w:right="0"/>
              <w:jc w:val="left"/>
              <w:rPr>
                <w:rFonts w:ascii="Times New Roman" w:hAnsi="Times New Roman" w:cs="Times New Roman" w:eastAsia="Times New Roman" w:hint="default"/>
                <w:sz w:val="18"/>
                <w:szCs w:val="18"/>
              </w:rPr>
            </w:pPr>
            <w:r>
              <w:rPr>
                <w:rFonts w:ascii="Times New Roman"/>
                <w:sz w:val="18"/>
              </w:rPr>
              <w:t>1.16</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3,272,637.59</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5,297,328.57</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2,737,699,121.</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16</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9" w:right="0"/>
              <w:jc w:val="left"/>
              <w:rPr>
                <w:rFonts w:ascii="Times New Roman" w:hAnsi="Times New Roman" w:cs="Times New Roman" w:eastAsia="Times New Roman" w:hint="default"/>
                <w:sz w:val="18"/>
                <w:szCs w:val="18"/>
              </w:rPr>
            </w:pPr>
            <w:r>
              <w:rPr>
                <w:rFonts w:ascii="Times New Roman"/>
                <w:sz w:val="18"/>
              </w:rPr>
              <w:t>2,005,004,2</w:t>
            </w:r>
          </w:p>
          <w:p>
            <w:pPr>
              <w:pStyle w:val="TableParagraph"/>
              <w:spacing w:line="240" w:lineRule="auto" w:before="93"/>
              <w:ind w:left="511" w:right="0"/>
              <w:jc w:val="left"/>
              <w:rPr>
                <w:rFonts w:ascii="Times New Roman" w:hAnsi="Times New Roman" w:cs="Times New Roman" w:eastAsia="Times New Roman" w:hint="default"/>
                <w:sz w:val="18"/>
                <w:szCs w:val="18"/>
              </w:rPr>
            </w:pPr>
            <w:r>
              <w:rPr>
                <w:rFonts w:ascii="Times New Roman"/>
                <w:sz w:val="18"/>
              </w:rPr>
              <w:t>15.57</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24,458,760.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57</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784,621,031</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.63</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0"/>
        <w:rPr>
          <w:rFonts w:ascii="宋体" w:hAnsi="宋体" w:cs="宋体" w:eastAsia="宋体" w:hint="default"/>
          <w:sz w:val="18"/>
          <w:szCs w:val="18"/>
        </w:rPr>
      </w:pPr>
    </w:p>
    <w:p>
      <w:pPr>
        <w:pStyle w:val="Heading4"/>
        <w:spacing w:line="240" w:lineRule="auto" w:before="126"/>
        <w:ind w:right="110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81"/>
        <w:ind w:left="0" w:right="1110"/>
        <w:jc w:val="right"/>
      </w:pPr>
      <w:r>
        <w:rPr/>
        <w:t>单位：万元</w:t>
      </w:r>
    </w:p>
    <w:p>
      <w:pPr>
        <w:spacing w:after="0" w:line="240" w:lineRule="auto"/>
        <w:jc w:val="righ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BodyText"/>
        <w:spacing w:line="240" w:lineRule="auto" w:before="44"/>
        <w:ind w:left="0" w:right="1126"/>
        <w:jc w:val="right"/>
      </w:pPr>
      <w:r>
        <w:rPr/>
        <w:pict>
          <v:shape style="position:absolute;margin-left:56.325001pt;margin-top:-206.458282pt;width:480.25pt;height:288.2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71"/>
                    <w:gridCol w:w="871"/>
                    <w:gridCol w:w="871"/>
                    <w:gridCol w:w="871"/>
                    <w:gridCol w:w="871"/>
                    <w:gridCol w:w="871"/>
                    <w:gridCol w:w="871"/>
                    <w:gridCol w:w="871"/>
                    <w:gridCol w:w="871"/>
                    <w:gridCol w:w="857"/>
                    <w:gridCol w:w="886"/>
                  </w:tblGrid>
                  <w:tr>
                    <w:trPr>
                      <w:trHeight w:val="1336" w:hRule="exact"/>
                    </w:trPr>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240" w:right="75" w:hanging="181"/>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75"/>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75"/>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60" w:right="75"/>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60" w:right="75"/>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60" w:right="75"/>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75"/>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60" w:right="5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75" w:right="73"/>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406" w:hRule="exact"/>
                    </w:trPr>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2014</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04"/>
                          <w:jc w:val="center"/>
                          <w:rPr>
                            <w:rFonts w:ascii="宋体" w:hAnsi="宋体" w:cs="宋体" w:eastAsia="宋体" w:hint="default"/>
                            <w:sz w:val="18"/>
                            <w:szCs w:val="18"/>
                          </w:rPr>
                        </w:pPr>
                        <w:r>
                          <w:rPr>
                            <w:rFonts w:ascii="宋体" w:hAnsi="宋体" w:cs="宋体" w:eastAsia="宋体" w:hint="default"/>
                            <w:sz w:val="18"/>
                            <w:szCs w:val="18"/>
                          </w:rPr>
                          <w:t>公开发行</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61,849</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7,866.24</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4" w:right="0"/>
                          <w:jc w:val="center"/>
                          <w:rPr>
                            <w:rFonts w:ascii="Times New Roman" w:hAnsi="Times New Roman" w:cs="Times New Roman" w:eastAsia="Times New Roman" w:hint="default"/>
                            <w:sz w:val="18"/>
                            <w:szCs w:val="18"/>
                          </w:rPr>
                        </w:pPr>
                        <w:r>
                          <w:rPr>
                            <w:rFonts w:ascii="Times New Roman"/>
                            <w:sz w:val="18"/>
                          </w:rPr>
                          <w:t>63,685.23</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19,897.5</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32.17%</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61,849</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7,866.24</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4" w:right="0"/>
                          <w:jc w:val="center"/>
                          <w:rPr>
                            <w:rFonts w:ascii="Times New Roman" w:hAnsi="Times New Roman" w:cs="Times New Roman" w:eastAsia="Times New Roman" w:hint="default"/>
                            <w:sz w:val="18"/>
                            <w:szCs w:val="18"/>
                          </w:rPr>
                        </w:pPr>
                        <w:r>
                          <w:rPr>
                            <w:rFonts w:ascii="Times New Roman"/>
                            <w:sz w:val="18"/>
                          </w:rPr>
                          <w:t>63,685.23</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19,897.5</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32.17%</w:t>
                        </w:r>
                      </w:p>
                    </w:tc>
                    <w:tc>
                      <w:tcPr>
                        <w:tcW w:w="8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88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9582" w:type="dxa"/>
                        <w:gridSpan w:val="11"/>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 w:right="15"/>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198" w:hRule="exact"/>
                    </w:trPr>
                    <w:tc>
                      <w:tcPr>
                        <w:tcW w:w="9582" w:type="dxa"/>
                        <w:gridSpan w:val="11"/>
                        <w:tcBorders>
                          <w:top w:val="single" w:sz="6" w:space="0" w:color="000000"/>
                          <w:left w:val="single" w:sz="6" w:space="0" w:color="000000"/>
                          <w:bottom w:val="single" w:sz="6" w:space="0" w:color="000000"/>
                          <w:right w:val="single" w:sz="6" w:space="0" w:color="000000"/>
                        </w:tcBorders>
                      </w:tcPr>
                      <w:p>
                        <w:pPr>
                          <w:pStyle w:val="TableParagraph"/>
                          <w:spacing w:line="336" w:lineRule="auto" w:before="29"/>
                          <w:ind w:left="15" w:right="48"/>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（一）实际募集资金金额、资金到账时间经中国证券监督管理委员会《关于核准飞天诚信科技股份有限公司首次公开发行</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5"/>
                            <w:sz w:val="18"/>
                            <w:szCs w:val="18"/>
                          </w:rPr>
                          <w:t>股票的批复》（证监许可</w:t>
                        </w:r>
                        <w:r>
                          <w:rPr>
                            <w:rFonts w:ascii="Times New Roman" w:hAnsi="Times New Roman" w:cs="Times New Roman" w:eastAsia="Times New Roman" w:hint="default"/>
                            <w:spacing w:val="-5"/>
                            <w:sz w:val="18"/>
                            <w:szCs w:val="18"/>
                          </w:rPr>
                          <w:t>[2014]578</w:t>
                        </w:r>
                        <w:r>
                          <w:rPr>
                            <w:rFonts w:ascii="Times New Roman" w:hAnsi="Times New Roman" w:cs="Times New Roman" w:eastAsia="Times New Roman" w:hint="default"/>
                            <w:sz w:val="18"/>
                            <w:szCs w:val="18"/>
                          </w:rPr>
                          <w:t>  </w:t>
                        </w:r>
                        <w:r>
                          <w:rPr>
                            <w:rFonts w:ascii="宋体" w:hAnsi="宋体" w:cs="宋体" w:eastAsia="宋体" w:hint="default"/>
                            <w:sz w:val="18"/>
                            <w:szCs w:val="18"/>
                          </w:rPr>
                          <w:t>号）核准，公司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Times New Roman" w:hAnsi="Times New Roman" w:cs="Times New Roman" w:eastAsia="Times New Roman" w:hint="default"/>
                            <w:spacing w:val="18"/>
                            <w:sz w:val="18"/>
                            <w:szCs w:val="18"/>
                          </w:rPr>
                          <w:t> </w:t>
                        </w:r>
                        <w:r>
                          <w:rPr>
                            <w:rFonts w:ascii="宋体" w:hAnsi="宋体" w:cs="宋体" w:eastAsia="宋体" w:hint="default"/>
                            <w:w w:val="99"/>
                            <w:sz w:val="18"/>
                            <w:szCs w:val="18"/>
                          </w:rPr>
                          <w:t>月于深圳证券交易所向社会公众公开发行人民币普通股</w:t>
                        </w:r>
                        <w:r>
                          <w:rPr>
                            <w:rFonts w:ascii="Times New Roman" w:hAnsi="Times New Roman" w:cs="Times New Roman" w:eastAsia="Times New Roman" w:hint="default"/>
                            <w:w w:val="99"/>
                            <w:sz w:val="18"/>
                            <w:szCs w:val="18"/>
                          </w:rPr>
                          <w:t>(A</w:t>
                        </w:r>
                        <w:r>
                          <w:rPr>
                            <w:rFonts w:ascii="Times New Roman" w:hAnsi="Times New Roman" w:cs="Times New Roman" w:eastAsia="Times New Roman" w:hint="default"/>
                            <w:sz w:val="18"/>
                            <w:szCs w:val="18"/>
                          </w:rPr>
                        </w:r>
                      </w:p>
                      <w:p>
                        <w:pPr>
                          <w:pStyle w:val="TableParagraph"/>
                          <w:spacing w:line="236" w:lineRule="exact"/>
                          <w:ind w:left="15" w:right="0"/>
                          <w:jc w:val="left"/>
                          <w:rPr>
                            <w:rFonts w:ascii="宋体" w:hAnsi="宋体" w:cs="宋体" w:eastAsia="宋体" w:hint="default"/>
                            <w:sz w:val="18"/>
                            <w:szCs w:val="18"/>
                          </w:rPr>
                        </w:pPr>
                        <w:r>
                          <w:rPr>
                            <w:rFonts w:ascii="宋体" w:hAnsi="宋体" w:cs="宋体" w:eastAsia="宋体" w:hint="default"/>
                            <w:sz w:val="18"/>
                            <w:szCs w:val="18"/>
                          </w:rPr>
                          <w:t>股</w:t>
                        </w:r>
                        <w:r>
                          <w:rPr>
                            <w:rFonts w:ascii="Times New Roman" w:hAnsi="Times New Roman" w:cs="Times New Roman" w:eastAsia="Times New Roman" w:hint="default"/>
                            <w:sz w:val="18"/>
                            <w:szCs w:val="18"/>
                          </w:rPr>
                          <w:t>)2,376.00  </w:t>
                        </w:r>
                        <w:r>
                          <w:rPr>
                            <w:rFonts w:ascii="宋体" w:hAnsi="宋体" w:cs="宋体" w:eastAsia="宋体" w:hint="default"/>
                            <w:sz w:val="18"/>
                            <w:szCs w:val="18"/>
                          </w:rPr>
                          <w:t>万股，发行价为 </w:t>
                        </w:r>
                        <w:r>
                          <w:rPr>
                            <w:rFonts w:ascii="Times New Roman" w:hAnsi="Times New Roman" w:cs="Times New Roman" w:eastAsia="Times New Roman" w:hint="default"/>
                            <w:sz w:val="18"/>
                            <w:szCs w:val="18"/>
                          </w:rPr>
                          <w:t>33.13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股，股款以人民币缴足，共计人民币 </w:t>
                        </w:r>
                        <w:r>
                          <w:rPr>
                            <w:rFonts w:ascii="Times New Roman" w:hAnsi="Times New Roman" w:cs="Times New Roman" w:eastAsia="Times New Roman" w:hint="default"/>
                            <w:sz w:val="18"/>
                            <w:szCs w:val="18"/>
                          </w:rPr>
                          <w:t>78,716.88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万元，公司应募集资金人民币</w:t>
                        </w:r>
                      </w:p>
                      <w:p>
                        <w:pPr>
                          <w:pStyle w:val="TableParagraph"/>
                          <w:spacing w:line="240" w:lineRule="auto" w:before="51"/>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66,293.13  </w:t>
                        </w:r>
                        <w:r>
                          <w:rPr>
                            <w:rFonts w:ascii="宋体" w:hAnsi="宋体" w:cs="宋体" w:eastAsia="宋体" w:hint="default"/>
                            <w:sz w:val="18"/>
                            <w:szCs w:val="18"/>
                          </w:rPr>
                          <w:t>万元，根据规定扣除承销及保荐费用、中介机构费和其他发行费用人民币 </w:t>
                        </w:r>
                        <w:r>
                          <w:rPr>
                            <w:rFonts w:ascii="Times New Roman" w:hAnsi="Times New Roman" w:cs="Times New Roman" w:eastAsia="Times New Roman" w:hint="default"/>
                            <w:sz w:val="18"/>
                            <w:szCs w:val="18"/>
                          </w:rPr>
                          <w:t>4,444.13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万元后，实际募集资金净额</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为人民币 </w:t>
                        </w:r>
                        <w:r>
                          <w:rPr>
                            <w:rFonts w:ascii="Times New Roman" w:hAnsi="Times New Roman" w:cs="Times New Roman" w:eastAsia="Times New Roman" w:hint="default"/>
                            <w:sz w:val="18"/>
                            <w:szCs w:val="18"/>
                          </w:rPr>
                          <w:t>61,849.00  </w:t>
                        </w:r>
                        <w:r>
                          <w:rPr>
                            <w:rFonts w:ascii="宋体" w:hAnsi="宋体" w:cs="宋体" w:eastAsia="宋体" w:hint="default"/>
                            <w:sz w:val="18"/>
                            <w:szCs w:val="18"/>
                          </w:rPr>
                          <w:t>万元。上述募集资金于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 </w:t>
                        </w:r>
                        <w:r>
                          <w:rPr>
                            <w:rFonts w:ascii="Times New Roman" w:hAnsi="Times New Roman" w:cs="Times New Roman" w:eastAsia="Times New Roman" w:hint="default"/>
                            <w:sz w:val="18"/>
                            <w:szCs w:val="18"/>
                          </w:rPr>
                          <w:t>23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日到账，募集资金到位情况已经瑞华会计师事务所（特殊</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普通合伙</w:t>
                        </w:r>
                        <w:r>
                          <w:rPr>
                            <w:rFonts w:ascii="宋体" w:hAnsi="宋体" w:cs="宋体" w:eastAsia="宋体" w:hint="default"/>
                            <w:spacing w:val="-31"/>
                            <w:sz w:val="18"/>
                            <w:szCs w:val="18"/>
                          </w:rPr>
                          <w:t>）</w:t>
                        </w:r>
                        <w:r>
                          <w:rPr>
                            <w:rFonts w:ascii="宋体" w:hAnsi="宋体" w:cs="宋体" w:eastAsia="宋体" w:hint="default"/>
                            <w:sz w:val="18"/>
                            <w:szCs w:val="18"/>
                          </w:rPr>
                          <w:t>审验</w:t>
                        </w:r>
                        <w:r>
                          <w:rPr>
                            <w:rFonts w:ascii="宋体" w:hAnsi="宋体" w:cs="宋体" w:eastAsia="宋体" w:hint="default"/>
                            <w:spacing w:val="-31"/>
                            <w:sz w:val="18"/>
                            <w:szCs w:val="18"/>
                          </w:rPr>
                          <w:t>，</w:t>
                        </w:r>
                        <w:r>
                          <w:rPr>
                            <w:rFonts w:ascii="宋体" w:hAnsi="宋体" w:cs="宋体" w:eastAsia="宋体" w:hint="default"/>
                            <w:sz w:val="18"/>
                            <w:szCs w:val="18"/>
                          </w:rPr>
                          <w:t>并于</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2014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 </w:t>
                        </w:r>
                        <w:r>
                          <w:rPr>
                            <w:rFonts w:ascii="Times New Roman" w:hAnsi="Times New Roman" w:cs="Times New Roman" w:eastAsia="Times New Roman" w:hint="default"/>
                            <w:sz w:val="18"/>
                            <w:szCs w:val="18"/>
                          </w:rPr>
                          <w:t>23  </w:t>
                        </w:r>
                        <w:r>
                          <w:rPr>
                            <w:rFonts w:ascii="宋体" w:hAnsi="宋体" w:cs="宋体" w:eastAsia="宋体" w:hint="default"/>
                            <w:sz w:val="18"/>
                            <w:szCs w:val="18"/>
                          </w:rPr>
                          <w:t>日出具瑞华验</w:t>
                        </w:r>
                        <w:r>
                          <w:rPr>
                            <w:rFonts w:ascii="宋体" w:hAnsi="宋体" w:cs="宋体" w:eastAsia="宋体" w:hint="default"/>
                            <w:spacing w:val="1"/>
                            <w:sz w:val="18"/>
                            <w:szCs w:val="18"/>
                          </w:rPr>
                          <w:t>字</w:t>
                        </w:r>
                        <w:r>
                          <w:rPr>
                            <w:rFonts w:ascii="Times New Roman" w:hAnsi="Times New Roman" w:cs="Times New Roman" w:eastAsia="Times New Roman" w:hint="default"/>
                            <w:sz w:val="18"/>
                            <w:szCs w:val="18"/>
                          </w:rPr>
                          <w:t>[2014]</w:t>
                        </w:r>
                        <w:r>
                          <w:rPr>
                            <w:rFonts w:ascii="宋体" w:hAnsi="宋体" w:cs="宋体" w:eastAsia="宋体" w:hint="default"/>
                            <w:sz w:val="18"/>
                            <w:szCs w:val="18"/>
                          </w:rPr>
                          <w:t>第 </w:t>
                        </w:r>
                        <w:r>
                          <w:rPr>
                            <w:rFonts w:ascii="Times New Roman" w:hAnsi="Times New Roman" w:cs="Times New Roman" w:eastAsia="Times New Roman" w:hint="default"/>
                            <w:sz w:val="18"/>
                            <w:szCs w:val="18"/>
                          </w:rPr>
                          <w:t>01460011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号验资报告</w:t>
                        </w:r>
                        <w:r>
                          <w:rPr>
                            <w:rFonts w:ascii="宋体" w:hAnsi="宋体" w:cs="宋体" w:eastAsia="宋体" w:hint="default"/>
                            <w:spacing w:val="-135"/>
                            <w:sz w:val="18"/>
                            <w:szCs w:val="18"/>
                          </w:rPr>
                          <w:t>。</w:t>
                        </w:r>
                        <w:r>
                          <w:rPr>
                            <w:rFonts w:ascii="宋体" w:hAnsi="宋体" w:cs="宋体" w:eastAsia="宋体" w:hint="default"/>
                            <w:sz w:val="18"/>
                            <w:szCs w:val="18"/>
                          </w:rPr>
                          <w:t>（二</w:t>
                        </w:r>
                        <w:r>
                          <w:rPr>
                            <w:rFonts w:ascii="宋体" w:hAnsi="宋体" w:cs="宋体" w:eastAsia="宋体" w:hint="default"/>
                            <w:spacing w:val="-31"/>
                            <w:sz w:val="18"/>
                            <w:szCs w:val="18"/>
                          </w:rPr>
                          <w:t>）</w:t>
                        </w:r>
                        <w:r>
                          <w:rPr>
                            <w:rFonts w:ascii="宋体" w:hAnsi="宋体" w:cs="宋体" w:eastAsia="宋体" w:hint="default"/>
                            <w:sz w:val="18"/>
                            <w:szCs w:val="18"/>
                          </w:rPr>
                          <w:t>截止</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本公司累计使用募集资金人民币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63,685.23 </w:t>
                        </w:r>
                        <w:r>
                          <w:rPr>
                            <w:rFonts w:ascii="宋体" w:hAnsi="宋体" w:cs="宋体" w:eastAsia="宋体" w:hint="default"/>
                            <w:spacing w:val="-3"/>
                            <w:sz w:val="18"/>
                            <w:szCs w:val="18"/>
                          </w:rPr>
                          <w:t>万元，其中：以前年度使用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55,818.99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万元，本报告期使用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7,866.24 </w:t>
                        </w:r>
                        <w:r>
                          <w:rPr>
                            <w:rFonts w:ascii="宋体" w:hAnsi="宋体" w:cs="宋体" w:eastAsia="宋体" w:hint="default"/>
                            <w:spacing w:val="-3"/>
                            <w:sz w:val="18"/>
                            <w:szCs w:val="18"/>
                          </w:rPr>
                          <w:t>万元。截止</w:t>
                        </w:r>
                      </w:p>
                      <w:p>
                        <w:pPr>
                          <w:pStyle w:val="TableParagraph"/>
                          <w:spacing w:line="240" w:lineRule="auto" w:before="66"/>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日，本公司累计使用金额人民币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63,685.23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万元，募集资金专户余额为人民币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万元，与实际募集资金</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净额的差异金额为人民币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1,836.23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万元，系募集资金累计利息收入扣除银行手续费支出后的净额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2,484.45</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万元，补充流动</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648.22 </w:t>
                        </w:r>
                        <w:r>
                          <w:rPr>
                            <w:rFonts w:ascii="宋体" w:hAnsi="宋体" w:cs="宋体" w:eastAsia="宋体" w:hint="default"/>
                            <w:sz w:val="18"/>
                            <w:szCs w:val="18"/>
                          </w:rPr>
                          <w:t>万元。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Heading4"/>
        <w:spacing w:line="240" w:lineRule="auto" w:before="35"/>
        <w:ind w:right="110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96"/>
        <w:ind w:left="0" w:right="1110"/>
        <w:jc w:val="right"/>
      </w:pPr>
      <w:r>
        <w:rPr/>
        <w:t>单位：万元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721"/>
        <w:gridCol w:w="736"/>
        <w:gridCol w:w="887"/>
        <w:gridCol w:w="901"/>
        <w:gridCol w:w="721"/>
        <w:gridCol w:w="901"/>
        <w:gridCol w:w="901"/>
        <w:gridCol w:w="736"/>
        <w:gridCol w:w="721"/>
        <w:gridCol w:w="901"/>
        <w:gridCol w:w="721"/>
        <w:gridCol w:w="736"/>
      </w:tblGrid>
      <w:tr>
        <w:trPr>
          <w:trHeight w:val="1651" w:hRule="exact"/>
        </w:trPr>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75" w:right="90"/>
              <w:jc w:val="center"/>
              <w:rPr>
                <w:rFonts w:ascii="宋体" w:hAnsi="宋体" w:cs="宋体" w:eastAsia="宋体" w:hint="default"/>
                <w:sz w:val="18"/>
                <w:szCs w:val="18"/>
              </w:rPr>
            </w:pPr>
            <w:r>
              <w:rPr>
                <w:rFonts w:ascii="宋体" w:hAnsi="宋体" w:cs="宋体" w:eastAsia="宋体" w:hint="default"/>
                <w:sz w:val="18"/>
                <w:szCs w:val="18"/>
              </w:rPr>
              <w:t>承诺投 资项目 和超募 资金投 向</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58"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8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4"/>
              <w:ind w:left="75" w:right="75"/>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9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21" w:lineRule="auto"/>
              <w:ind w:left="75" w:right="58" w:firstLine="15"/>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4"/>
              <w:ind w:left="74" w:right="89"/>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9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24"/>
              <w:ind w:left="89" w:right="7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9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8" w:lineRule="auto"/>
              <w:ind w:left="90" w:right="75"/>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89" w:right="89"/>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4"/>
              <w:ind w:left="75" w:right="88"/>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9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90" w:right="74"/>
              <w:jc w:val="center"/>
              <w:rPr>
                <w:rFonts w:ascii="宋体" w:hAnsi="宋体" w:cs="宋体" w:eastAsia="宋体" w:hint="default"/>
                <w:sz w:val="18"/>
                <w:szCs w:val="18"/>
              </w:rPr>
            </w:pPr>
            <w:r>
              <w:rPr>
                <w:rFonts w:ascii="宋体" w:hAnsi="宋体" w:cs="宋体" w:eastAsia="宋体" w:hint="default"/>
                <w:sz w:val="18"/>
                <w:szCs w:val="18"/>
              </w:rPr>
              <w:t>截止报告 期末累计 实现的效 益</w:t>
            </w:r>
          </w:p>
        </w:tc>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4"/>
              <w:ind w:left="75" w:right="90"/>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90" w:right="88"/>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6" w:hRule="exact"/>
        </w:trPr>
        <w:tc>
          <w:tcPr>
            <w:tcW w:w="9582"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2897" w:hRule="exact"/>
        </w:trPr>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pacing w:val="-3"/>
                <w:sz w:val="18"/>
              </w:rPr>
              <w:t>USB</w:t>
            </w:r>
          </w:p>
          <w:p>
            <w:pPr>
              <w:pStyle w:val="TableParagraph"/>
              <w:spacing w:line="314" w:lineRule="auto" w:before="51"/>
              <w:ind w:left="15"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Key</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安 全产品 的技术 </w:t>
            </w:r>
            <w:r>
              <w:rPr>
                <w:rFonts w:ascii="宋体" w:hAnsi="宋体" w:cs="宋体" w:eastAsia="宋体" w:hint="default"/>
                <w:spacing w:val="-15"/>
                <w:sz w:val="18"/>
                <w:szCs w:val="18"/>
              </w:rPr>
              <w:t>升级、新</w:t>
            </w:r>
            <w:r>
              <w:rPr>
                <w:rFonts w:ascii="宋体" w:hAnsi="宋体" w:cs="宋体" w:eastAsia="宋体" w:hint="default"/>
                <w:sz w:val="18"/>
                <w:szCs w:val="18"/>
              </w:rPr>
              <w:t> 产品研 发及产 业化项</w:t>
            </w:r>
          </w:p>
          <w:p>
            <w:pPr>
              <w:pStyle w:val="TableParagraph"/>
              <w:spacing w:line="240" w:lineRule="auto" w:before="24"/>
              <w:ind w:left="15" w:right="0"/>
              <w:jc w:val="left"/>
              <w:rPr>
                <w:rFonts w:ascii="宋体" w:hAnsi="宋体" w:cs="宋体" w:eastAsia="宋体" w:hint="default"/>
                <w:sz w:val="18"/>
                <w:szCs w:val="18"/>
              </w:rPr>
            </w:pPr>
            <w:r>
              <w:rPr>
                <w:rFonts w:ascii="宋体" w:hAnsi="宋体" w:cs="宋体" w:eastAsia="宋体" w:hint="default"/>
                <w:sz w:val="18"/>
                <w:szCs w:val="18"/>
              </w:rPr>
              <w:t>目</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9,236</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9,236</w:t>
            </w:r>
          </w:p>
        </w:tc>
        <w:tc>
          <w:tcPr>
            <w:tcW w:w="721"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9,329.92</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101.02%</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p>
            <w:pPr>
              <w:pStyle w:val="TableParagraph"/>
              <w:spacing w:line="240" w:lineRule="auto" w:before="51"/>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p>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2,367.32</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45,053.54</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721"/>
        <w:gridCol w:w="736"/>
        <w:gridCol w:w="887"/>
        <w:gridCol w:w="901"/>
        <w:gridCol w:w="721"/>
        <w:gridCol w:w="901"/>
        <w:gridCol w:w="901"/>
        <w:gridCol w:w="736"/>
        <w:gridCol w:w="721"/>
        <w:gridCol w:w="901"/>
        <w:gridCol w:w="721"/>
        <w:gridCol w:w="736"/>
      </w:tblGrid>
      <w:tr>
        <w:trPr>
          <w:trHeight w:val="1966" w:hRule="exact"/>
        </w:trPr>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50"/>
              <w:jc w:val="both"/>
              <w:rPr>
                <w:rFonts w:ascii="宋体" w:hAnsi="宋体" w:cs="宋体" w:eastAsia="宋体" w:hint="default"/>
                <w:sz w:val="18"/>
                <w:szCs w:val="18"/>
              </w:rPr>
            </w:pPr>
            <w:r>
              <w:rPr>
                <w:rFonts w:ascii="宋体" w:hAnsi="宋体" w:cs="宋体" w:eastAsia="宋体" w:hint="default"/>
                <w:sz w:val="18"/>
                <w:szCs w:val="18"/>
              </w:rPr>
              <w:t>动态令 牌认证 系统的 研发及 产业化 项目</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8,298</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8,298</w:t>
            </w:r>
          </w:p>
        </w:tc>
        <w:tc>
          <w:tcPr>
            <w:tcW w:w="721"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8,379.67</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100.98%</w:t>
            </w:r>
            <w:r>
              <w:rPr>
                <w:rFonts w:ascii="Times New Roman"/>
                <w:sz w:val="18"/>
              </w:rPr>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p>
            <w:pPr>
              <w:pStyle w:val="TableParagraph"/>
              <w:spacing w:line="240" w:lineRule="auto" w:before="51"/>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p>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52.5</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16,491.39</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267" w:hRule="exact"/>
        </w:trPr>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9"/>
              <w:ind w:left="15" w:right="103"/>
              <w:jc w:val="left"/>
              <w:rPr>
                <w:rFonts w:ascii="宋体" w:hAnsi="宋体" w:cs="宋体" w:eastAsia="宋体" w:hint="default"/>
                <w:sz w:val="18"/>
                <w:szCs w:val="18"/>
              </w:rPr>
            </w:pPr>
            <w:r>
              <w:rPr>
                <w:rFonts w:ascii="宋体" w:hAnsi="宋体" w:cs="宋体" w:eastAsia="宋体" w:hint="default"/>
                <w:sz w:val="18"/>
                <w:szCs w:val="18"/>
              </w:rPr>
              <w:t>通用 </w:t>
            </w:r>
            <w:r>
              <w:rPr>
                <w:rFonts w:ascii="Times New Roman" w:hAnsi="Times New Roman" w:cs="Times New Roman" w:eastAsia="Times New Roman" w:hint="default"/>
                <w:sz w:val="18"/>
                <w:szCs w:val="18"/>
              </w:rPr>
              <w:t>Java</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卡 平台及</w:t>
            </w:r>
          </w:p>
          <w:p>
            <w:pPr>
              <w:pStyle w:val="TableParagraph"/>
              <w:spacing w:line="316" w:lineRule="auto" w:before="25"/>
              <w:ind w:left="15" w:right="150"/>
              <w:jc w:val="both"/>
              <w:rPr>
                <w:rFonts w:ascii="宋体" w:hAnsi="宋体" w:cs="宋体" w:eastAsia="宋体" w:hint="default"/>
                <w:sz w:val="18"/>
                <w:szCs w:val="18"/>
              </w:rPr>
            </w:pPr>
            <w:r>
              <w:rPr>
                <w:rFonts w:ascii="宋体" w:hAnsi="宋体" w:cs="宋体" w:eastAsia="宋体" w:hint="default"/>
                <w:sz w:val="18"/>
                <w:szCs w:val="18"/>
              </w:rPr>
              <w:t>智能卡 的研发 和产业 化项目</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8,977</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7,577</w:t>
            </w:r>
          </w:p>
        </w:tc>
        <w:tc>
          <w:tcPr>
            <w:tcW w:w="721"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7,798.29</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102.92%</w:t>
            </w:r>
            <w:r>
              <w:rPr>
                <w:rFonts w:ascii="Times New Roman"/>
                <w:sz w:val="18"/>
              </w:rPr>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p>
          <w:p>
            <w:pPr>
              <w:pStyle w:val="TableParagraph"/>
              <w:spacing w:line="240" w:lineRule="auto" w:before="66"/>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p>
          <w:p>
            <w:pPr>
              <w:pStyle w:val="TableParagraph"/>
              <w:spacing w:line="240" w:lineRule="auto" w:before="36"/>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-610.45</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-1,014.15</w:t>
            </w:r>
            <w:r>
              <w:rPr>
                <w:rFonts w:ascii="Times New Roman"/>
                <w:sz w:val="18"/>
              </w:rPr>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967" w:hRule="exact"/>
        </w:trPr>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44"/>
              <w:ind w:left="15" w:right="150"/>
              <w:jc w:val="both"/>
              <w:rPr>
                <w:rFonts w:ascii="宋体" w:hAnsi="宋体" w:cs="宋体" w:eastAsia="宋体" w:hint="default"/>
                <w:sz w:val="18"/>
                <w:szCs w:val="18"/>
              </w:rPr>
            </w:pPr>
            <w:r>
              <w:rPr>
                <w:rFonts w:ascii="宋体" w:hAnsi="宋体" w:cs="宋体" w:eastAsia="宋体" w:hint="default"/>
                <w:sz w:val="18"/>
                <w:szCs w:val="18"/>
              </w:rPr>
              <w:t>高规格 智能卡 读写器 研发及 产业化 项目</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2,756</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2,756</w:t>
            </w:r>
          </w:p>
        </w:tc>
        <w:tc>
          <w:tcPr>
            <w:tcW w:w="721"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2,778.74</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100.83%</w:t>
            </w:r>
            <w:r>
              <w:rPr>
                <w:rFonts w:ascii="Times New Roman"/>
                <w:sz w:val="18"/>
              </w:rPr>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p>
            <w:pPr>
              <w:pStyle w:val="TableParagraph"/>
              <w:spacing w:line="240" w:lineRule="auto" w:before="66"/>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p>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138.28</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2,494.13</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6" w:hRule="exact"/>
        </w:trPr>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5" w:right="150"/>
              <w:jc w:val="both"/>
              <w:rPr>
                <w:rFonts w:ascii="宋体" w:hAnsi="宋体" w:cs="宋体" w:eastAsia="宋体" w:hint="default"/>
                <w:sz w:val="18"/>
                <w:szCs w:val="18"/>
              </w:rPr>
            </w:pPr>
            <w:r>
              <w:rPr>
                <w:rFonts w:ascii="宋体" w:hAnsi="宋体" w:cs="宋体" w:eastAsia="宋体" w:hint="default"/>
                <w:sz w:val="18"/>
                <w:szCs w:val="18"/>
              </w:rPr>
              <w:t>营销服 务中心 建设项 目</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3"/>
              <w:jc w:val="right"/>
              <w:rPr>
                <w:rFonts w:ascii="Times New Roman" w:hAnsi="Times New Roman" w:cs="Times New Roman" w:eastAsia="Times New Roman" w:hint="default"/>
                <w:sz w:val="18"/>
                <w:szCs w:val="18"/>
              </w:rPr>
            </w:pPr>
            <w:r>
              <w:rPr>
                <w:rFonts w:ascii="Times New Roman"/>
                <w:sz w:val="18"/>
              </w:rPr>
              <w:t>2,084</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3"/>
              <w:jc w:val="right"/>
              <w:rPr>
                <w:rFonts w:ascii="Times New Roman" w:hAnsi="Times New Roman" w:cs="Times New Roman" w:eastAsia="Times New Roman" w:hint="default"/>
                <w:sz w:val="18"/>
                <w:szCs w:val="18"/>
              </w:rPr>
            </w:pPr>
            <w:r>
              <w:rPr>
                <w:rFonts w:ascii="Times New Roman"/>
                <w:sz w:val="18"/>
              </w:rPr>
              <w:t>2,084</w:t>
            </w:r>
          </w:p>
        </w:tc>
        <w:tc>
          <w:tcPr>
            <w:tcW w:w="721"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5"/>
              <w:jc w:val="right"/>
              <w:rPr>
                <w:rFonts w:ascii="Times New Roman" w:hAnsi="Times New Roman" w:cs="Times New Roman" w:eastAsia="Times New Roman" w:hint="default"/>
                <w:sz w:val="18"/>
                <w:szCs w:val="18"/>
              </w:rPr>
            </w:pPr>
            <w:r>
              <w:rPr>
                <w:rFonts w:ascii="Times New Roman"/>
                <w:sz w:val="18"/>
              </w:rPr>
              <w:t>2,129.33</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3"/>
              <w:jc w:val="right"/>
              <w:rPr>
                <w:rFonts w:ascii="Times New Roman" w:hAnsi="Times New Roman" w:cs="Times New Roman" w:eastAsia="Times New Roman" w:hint="default"/>
                <w:sz w:val="18"/>
                <w:szCs w:val="18"/>
              </w:rPr>
            </w:pPr>
            <w:r>
              <w:rPr>
                <w:rFonts w:ascii="Times New Roman"/>
                <w:w w:val="95"/>
                <w:sz w:val="18"/>
              </w:rPr>
              <w:t>102.18%</w:t>
            </w:r>
            <w:r>
              <w:rPr>
                <w:rFonts w:ascii="Times New Roman"/>
                <w:sz w:val="18"/>
              </w:rPr>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p>
            <w:pPr>
              <w:pStyle w:val="TableParagraph"/>
              <w:spacing w:line="240" w:lineRule="auto" w:before="66"/>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p>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1"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51" w:hRule="exact"/>
        </w:trPr>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150"/>
              <w:jc w:val="both"/>
              <w:rPr>
                <w:rFonts w:ascii="宋体" w:hAnsi="宋体" w:cs="宋体" w:eastAsia="宋体" w:hint="default"/>
                <w:sz w:val="18"/>
                <w:szCs w:val="18"/>
              </w:rPr>
            </w:pPr>
            <w:r>
              <w:rPr>
                <w:rFonts w:ascii="宋体" w:hAnsi="宋体" w:cs="宋体" w:eastAsia="宋体" w:hint="default"/>
                <w:sz w:val="18"/>
                <w:szCs w:val="18"/>
              </w:rPr>
              <w:t>身份认 证云平 台建设 项目</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5"/>
              <w:jc w:val="right"/>
              <w:rPr>
                <w:rFonts w:ascii="Times New Roman" w:hAnsi="Times New Roman" w:cs="Times New Roman" w:eastAsia="Times New Roman" w:hint="default"/>
                <w:sz w:val="18"/>
                <w:szCs w:val="18"/>
              </w:rPr>
            </w:pPr>
            <w:r>
              <w:rPr>
                <w:rFonts w:ascii="Times New Roman"/>
                <w:sz w:val="18"/>
              </w:rPr>
              <w:t>13,898</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3"/>
              <w:jc w:val="right"/>
              <w:rPr>
                <w:rFonts w:ascii="Times New Roman" w:hAnsi="Times New Roman" w:cs="Times New Roman" w:eastAsia="Times New Roman" w:hint="default"/>
                <w:sz w:val="18"/>
                <w:szCs w:val="18"/>
              </w:rPr>
            </w:pPr>
            <w:r>
              <w:rPr>
                <w:rFonts w:ascii="Times New Roman"/>
                <w:sz w:val="18"/>
              </w:rPr>
              <w:t>598</w:t>
            </w:r>
          </w:p>
        </w:tc>
        <w:tc>
          <w:tcPr>
            <w:tcW w:w="721"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5"/>
              <w:jc w:val="right"/>
              <w:rPr>
                <w:rFonts w:ascii="Times New Roman" w:hAnsi="Times New Roman" w:cs="Times New Roman" w:eastAsia="Times New Roman" w:hint="default"/>
                <w:sz w:val="18"/>
                <w:szCs w:val="18"/>
              </w:rPr>
            </w:pPr>
            <w:r>
              <w:rPr>
                <w:rFonts w:ascii="Times New Roman"/>
                <w:sz w:val="18"/>
              </w:rPr>
              <w:t>1,425.03</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3"/>
              <w:jc w:val="right"/>
              <w:rPr>
                <w:rFonts w:ascii="Times New Roman" w:hAnsi="Times New Roman" w:cs="Times New Roman" w:eastAsia="Times New Roman" w:hint="default"/>
                <w:sz w:val="18"/>
                <w:szCs w:val="18"/>
              </w:rPr>
            </w:pPr>
            <w:r>
              <w:rPr>
                <w:rFonts w:ascii="Times New Roman"/>
                <w:w w:val="95"/>
                <w:sz w:val="18"/>
              </w:rPr>
              <w:t>238.30%</w:t>
            </w:r>
            <w:r>
              <w:rPr>
                <w:rFonts w:ascii="Times New Roman"/>
                <w:sz w:val="18"/>
              </w:rPr>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p>
          <w:p>
            <w:pPr>
              <w:pStyle w:val="TableParagraph"/>
              <w:spacing w:line="240" w:lineRule="auto" w:before="66"/>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p>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3"/>
              <w:jc w:val="right"/>
              <w:rPr>
                <w:rFonts w:ascii="Times New Roman" w:hAnsi="Times New Roman" w:cs="Times New Roman" w:eastAsia="Times New Roman" w:hint="default"/>
                <w:sz w:val="18"/>
                <w:szCs w:val="18"/>
              </w:rPr>
            </w:pPr>
            <w:r>
              <w:rPr>
                <w:rFonts w:ascii="Times New Roman"/>
                <w:sz w:val="18"/>
              </w:rPr>
              <w:t>43.26</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3"/>
              <w:jc w:val="right"/>
              <w:rPr>
                <w:rFonts w:ascii="Times New Roman" w:hAnsi="Times New Roman" w:cs="Times New Roman" w:eastAsia="Times New Roman" w:hint="default"/>
                <w:sz w:val="18"/>
                <w:szCs w:val="18"/>
              </w:rPr>
            </w:pPr>
            <w:r>
              <w:rPr>
                <w:rFonts w:ascii="Times New Roman"/>
                <w:sz w:val="18"/>
              </w:rPr>
              <w:t>312.7</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30"/>
              <w:ind w:left="15" w:right="150"/>
              <w:jc w:val="both"/>
              <w:rPr>
                <w:rFonts w:ascii="宋体" w:hAnsi="宋体" w:cs="宋体" w:eastAsia="宋体" w:hint="default"/>
                <w:sz w:val="18"/>
                <w:szCs w:val="18"/>
              </w:rPr>
            </w:pPr>
            <w:r>
              <w:rPr>
                <w:rFonts w:ascii="宋体" w:hAnsi="宋体" w:cs="宋体" w:eastAsia="宋体" w:hint="default"/>
                <w:sz w:val="18"/>
                <w:szCs w:val="18"/>
              </w:rPr>
              <w:t>技术研 发中心 建设项 目</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5"/>
              <w:jc w:val="right"/>
              <w:rPr>
                <w:rFonts w:ascii="Times New Roman" w:hAnsi="Times New Roman" w:cs="Times New Roman" w:eastAsia="Times New Roman" w:hint="default"/>
                <w:sz w:val="18"/>
                <w:szCs w:val="18"/>
              </w:rPr>
            </w:pPr>
            <w:r>
              <w:rPr>
                <w:rFonts w:ascii="Times New Roman"/>
                <w:sz w:val="18"/>
              </w:rPr>
              <w:t>16,600</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5"/>
              <w:jc w:val="right"/>
              <w:rPr>
                <w:rFonts w:ascii="Times New Roman" w:hAnsi="Times New Roman" w:cs="Times New Roman" w:eastAsia="Times New Roman" w:hint="default"/>
                <w:sz w:val="18"/>
                <w:szCs w:val="18"/>
              </w:rPr>
            </w:pPr>
            <w:r>
              <w:rPr>
                <w:rFonts w:ascii="Times New Roman"/>
                <w:sz w:val="18"/>
              </w:rPr>
              <w:t>11,402.5</w:t>
            </w:r>
          </w:p>
        </w:tc>
        <w:tc>
          <w:tcPr>
            <w:tcW w:w="721"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5"/>
              <w:jc w:val="right"/>
              <w:rPr>
                <w:rFonts w:ascii="Times New Roman" w:hAnsi="Times New Roman" w:cs="Times New Roman" w:eastAsia="Times New Roman" w:hint="default"/>
                <w:sz w:val="18"/>
                <w:szCs w:val="18"/>
              </w:rPr>
            </w:pPr>
            <w:r>
              <w:rPr>
                <w:rFonts w:ascii="Times New Roman"/>
                <w:sz w:val="18"/>
              </w:rPr>
              <w:t>12,131.79</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3"/>
              <w:jc w:val="right"/>
              <w:rPr>
                <w:rFonts w:ascii="Times New Roman" w:hAnsi="Times New Roman" w:cs="Times New Roman" w:eastAsia="Times New Roman" w:hint="default"/>
                <w:sz w:val="18"/>
                <w:szCs w:val="18"/>
              </w:rPr>
            </w:pPr>
            <w:r>
              <w:rPr>
                <w:rFonts w:ascii="Times New Roman"/>
                <w:w w:val="95"/>
                <w:sz w:val="18"/>
              </w:rPr>
              <w:t>106.40%</w:t>
            </w:r>
            <w:r>
              <w:rPr>
                <w:rFonts w:ascii="Times New Roman"/>
                <w:sz w:val="18"/>
              </w:rPr>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p>
          <w:p>
            <w:pPr>
              <w:pStyle w:val="TableParagraph"/>
              <w:spacing w:line="240" w:lineRule="auto" w:before="51"/>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p>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1"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0" w:hRule="exact"/>
        </w:trPr>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50"/>
              <w:jc w:val="both"/>
              <w:rPr>
                <w:rFonts w:ascii="宋体" w:hAnsi="宋体" w:cs="宋体" w:eastAsia="宋体" w:hint="default"/>
                <w:sz w:val="18"/>
                <w:szCs w:val="18"/>
              </w:rPr>
            </w:pPr>
            <w:r>
              <w:rPr>
                <w:rFonts w:ascii="宋体" w:hAnsi="宋体" w:cs="宋体" w:eastAsia="宋体" w:hint="default"/>
                <w:sz w:val="18"/>
                <w:szCs w:val="18"/>
              </w:rPr>
              <w:t>宏思电 子股权 收购</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7"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19,897.5</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7,866.24</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19,712.46</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99.07%</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6"/>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p>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3,155.98</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7,436.24</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721"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45"/>
              <w:ind w:left="15" w:right="150"/>
              <w:jc w:val="both"/>
              <w:rPr>
                <w:rFonts w:ascii="宋体" w:hAnsi="宋体" w:cs="宋体" w:eastAsia="宋体" w:hint="default"/>
                <w:sz w:val="18"/>
                <w:szCs w:val="18"/>
              </w:rPr>
            </w:pPr>
            <w:r>
              <w:rPr>
                <w:rFonts w:ascii="宋体" w:hAnsi="宋体" w:cs="宋体" w:eastAsia="宋体" w:hint="default"/>
                <w:sz w:val="18"/>
                <w:szCs w:val="18"/>
              </w:rPr>
              <w:t>承诺投 资项目 小计</w:t>
            </w:r>
          </w:p>
        </w:tc>
        <w:tc>
          <w:tcPr>
            <w:tcW w:w="736" w:type="dxa"/>
            <w:tcBorders>
              <w:top w:val="single" w:sz="6" w:space="0" w:color="000000"/>
              <w:left w:val="single" w:sz="6" w:space="0" w:color="000000"/>
              <w:bottom w:val="nil" w:sz="6" w:space="0" w:color="auto"/>
              <w:right w:val="single" w:sz="6" w:space="0" w:color="000000"/>
            </w:tcBorders>
            <w:shd w:val="clear" w:color="auto" w:fill="D2D2D2"/>
          </w:tcPr>
          <w:p>
            <w:pPr/>
          </w:p>
        </w:tc>
        <w:tc>
          <w:tcPr>
            <w:tcW w:w="887" w:type="dxa"/>
            <w:vMerge w:val="restart"/>
            <w:tcBorders>
              <w:top w:val="single" w:sz="6" w:space="0" w:color="000000"/>
              <w:left w:val="single" w:sz="12" w:space="0" w:color="D2D2D2"/>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61,849</w:t>
            </w:r>
          </w:p>
        </w:tc>
        <w:tc>
          <w:tcPr>
            <w:tcW w:w="90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375" w:right="0"/>
              <w:jc w:val="left"/>
              <w:rPr>
                <w:rFonts w:ascii="Times New Roman" w:hAnsi="Times New Roman" w:cs="Times New Roman" w:eastAsia="Times New Roman" w:hint="default"/>
                <w:sz w:val="18"/>
                <w:szCs w:val="18"/>
              </w:rPr>
            </w:pPr>
            <w:r>
              <w:rPr>
                <w:rFonts w:ascii="Times New Roman"/>
                <w:sz w:val="18"/>
              </w:rPr>
              <w:t>61,849</w:t>
            </w:r>
          </w:p>
        </w:tc>
        <w:tc>
          <w:tcPr>
            <w:tcW w:w="72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7,866.24</w:t>
            </w:r>
          </w:p>
        </w:tc>
        <w:tc>
          <w:tcPr>
            <w:tcW w:w="901" w:type="dxa"/>
            <w:vMerge w:val="restart"/>
            <w:tcBorders>
              <w:top w:val="single" w:sz="6" w:space="0" w:color="000000"/>
              <w:left w:val="single" w:sz="6" w:space="0" w:color="000000"/>
              <w:right w:val="single" w:sz="12"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63,685.23</w:t>
            </w:r>
          </w:p>
        </w:tc>
        <w:tc>
          <w:tcPr>
            <w:tcW w:w="901" w:type="dxa"/>
            <w:tcBorders>
              <w:top w:val="single" w:sz="6" w:space="0" w:color="000000"/>
              <w:left w:val="single" w:sz="6" w:space="0" w:color="000000"/>
              <w:bottom w:val="nil" w:sz="6" w:space="0" w:color="auto"/>
              <w:right w:val="single" w:sz="6" w:space="0" w:color="000000"/>
            </w:tcBorders>
            <w:shd w:val="clear" w:color="auto" w:fill="D2D2D2"/>
          </w:tcPr>
          <w:p>
            <w:pPr/>
          </w:p>
        </w:tc>
        <w:tc>
          <w:tcPr>
            <w:tcW w:w="736" w:type="dxa"/>
            <w:tcBorders>
              <w:top w:val="single" w:sz="6" w:space="0" w:color="000000"/>
              <w:left w:val="single" w:sz="6" w:space="0" w:color="000000"/>
              <w:bottom w:val="nil" w:sz="6" w:space="0" w:color="auto"/>
              <w:right w:val="single" w:sz="6" w:space="0" w:color="000000"/>
            </w:tcBorders>
            <w:shd w:val="clear" w:color="auto" w:fill="D2D2D2"/>
          </w:tcPr>
          <w:p>
            <w:pPr/>
          </w:p>
        </w:tc>
        <w:tc>
          <w:tcPr>
            <w:tcW w:w="721" w:type="dxa"/>
            <w:vMerge w:val="restart"/>
            <w:tcBorders>
              <w:top w:val="single" w:sz="6" w:space="0" w:color="000000"/>
              <w:left w:val="single" w:sz="12" w:space="0" w:color="D2D2D2"/>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5,146.89</w:t>
            </w:r>
          </w:p>
        </w:tc>
        <w:tc>
          <w:tcPr>
            <w:tcW w:w="90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70,773.85</w:t>
            </w:r>
          </w:p>
        </w:tc>
        <w:tc>
          <w:tcPr>
            <w:tcW w:w="721" w:type="dxa"/>
            <w:tcBorders>
              <w:top w:val="single" w:sz="6" w:space="0" w:color="000000"/>
              <w:left w:val="single" w:sz="6" w:space="0" w:color="000000"/>
              <w:bottom w:val="nil" w:sz="6" w:space="0" w:color="auto"/>
              <w:right w:val="single" w:sz="6" w:space="0" w:color="000000"/>
            </w:tcBorders>
            <w:shd w:val="clear" w:color="auto" w:fill="D2D2D2"/>
          </w:tcPr>
          <w:p>
            <w:pPr/>
          </w:p>
        </w:tc>
        <w:tc>
          <w:tcPr>
            <w:tcW w:w="736"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0" w:hRule="exact"/>
        </w:trPr>
        <w:tc>
          <w:tcPr>
            <w:tcW w:w="721" w:type="dxa"/>
            <w:vMerge/>
            <w:tcBorders>
              <w:left w:val="single" w:sz="6" w:space="0" w:color="000000"/>
              <w:right w:val="single" w:sz="6" w:space="0" w:color="000000"/>
            </w:tcBorders>
            <w:shd w:val="clear" w:color="auto" w:fill="D2D2D2"/>
          </w:tcPr>
          <w:p>
            <w:pPr/>
          </w:p>
        </w:tc>
        <w:tc>
          <w:tcPr>
            <w:tcW w:w="73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298"/>
              <w:jc w:val="right"/>
              <w:rPr>
                <w:rFonts w:ascii="Times New Roman" w:hAnsi="Times New Roman" w:cs="Times New Roman" w:eastAsia="Times New Roman" w:hint="default"/>
                <w:sz w:val="18"/>
                <w:szCs w:val="18"/>
              </w:rPr>
            </w:pPr>
            <w:r>
              <w:rPr>
                <w:rFonts w:ascii="Times New Roman"/>
                <w:sz w:val="18"/>
              </w:rPr>
              <w:t>--</w:t>
            </w:r>
          </w:p>
        </w:tc>
        <w:tc>
          <w:tcPr>
            <w:tcW w:w="887" w:type="dxa"/>
            <w:vMerge/>
            <w:tcBorders>
              <w:left w:val="single" w:sz="12" w:space="0" w:color="D2D2D2"/>
              <w:right w:val="single" w:sz="6" w:space="0" w:color="000000"/>
            </w:tcBorders>
          </w:tcPr>
          <w:p>
            <w:pPr/>
          </w:p>
        </w:tc>
        <w:tc>
          <w:tcPr>
            <w:tcW w:w="901" w:type="dxa"/>
            <w:vMerge/>
            <w:tcBorders>
              <w:left w:val="single" w:sz="6" w:space="0" w:color="000000"/>
              <w:right w:val="single" w:sz="6" w:space="0" w:color="000000"/>
            </w:tcBorders>
          </w:tcPr>
          <w:p>
            <w:pPr/>
          </w:p>
        </w:tc>
        <w:tc>
          <w:tcPr>
            <w:tcW w:w="721" w:type="dxa"/>
            <w:vMerge/>
            <w:tcBorders>
              <w:left w:val="single" w:sz="6" w:space="0" w:color="000000"/>
              <w:right w:val="single" w:sz="6" w:space="0" w:color="000000"/>
            </w:tcBorders>
          </w:tcPr>
          <w:p>
            <w:pPr/>
          </w:p>
        </w:tc>
        <w:tc>
          <w:tcPr>
            <w:tcW w:w="901" w:type="dxa"/>
            <w:vMerge/>
            <w:tcBorders>
              <w:left w:val="single" w:sz="6" w:space="0" w:color="000000"/>
              <w:right w:val="single" w:sz="12" w:space="0" w:color="D2D2D2"/>
            </w:tcBorders>
          </w:tcPr>
          <w:p>
            <w:pPr/>
          </w:p>
        </w:tc>
        <w:tc>
          <w:tcPr>
            <w:tcW w:w="90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298"/>
              <w:jc w:val="right"/>
              <w:rPr>
                <w:rFonts w:ascii="Times New Roman" w:hAnsi="Times New Roman" w:cs="Times New Roman" w:eastAsia="Times New Roman" w:hint="default"/>
                <w:sz w:val="18"/>
                <w:szCs w:val="18"/>
              </w:rPr>
            </w:pPr>
            <w:r>
              <w:rPr>
                <w:rFonts w:ascii="Times New Roman"/>
                <w:sz w:val="18"/>
              </w:rPr>
              <w:t>--</w:t>
            </w:r>
          </w:p>
        </w:tc>
        <w:tc>
          <w:tcPr>
            <w:tcW w:w="721" w:type="dxa"/>
            <w:vMerge/>
            <w:tcBorders>
              <w:left w:val="single" w:sz="12" w:space="0" w:color="D2D2D2"/>
              <w:right w:val="single" w:sz="6" w:space="0" w:color="000000"/>
            </w:tcBorders>
          </w:tcPr>
          <w:p>
            <w:pPr/>
          </w:p>
        </w:tc>
        <w:tc>
          <w:tcPr>
            <w:tcW w:w="901" w:type="dxa"/>
            <w:vMerge/>
            <w:tcBorders>
              <w:left w:val="single" w:sz="6" w:space="0" w:color="000000"/>
              <w:right w:val="single" w:sz="6" w:space="0" w:color="000000"/>
            </w:tcBorders>
          </w:tcPr>
          <w:p>
            <w:pPr/>
          </w:p>
        </w:tc>
        <w:tc>
          <w:tcPr>
            <w:tcW w:w="72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298"/>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721" w:type="dxa"/>
            <w:vMerge/>
            <w:tcBorders>
              <w:left w:val="single" w:sz="6" w:space="0" w:color="000000"/>
              <w:bottom w:val="single" w:sz="6" w:space="0" w:color="000000"/>
              <w:right w:val="single" w:sz="6" w:space="0" w:color="000000"/>
            </w:tcBorders>
            <w:shd w:val="clear" w:color="auto" w:fill="D2D2D2"/>
          </w:tcPr>
          <w:p>
            <w:pPr/>
          </w:p>
        </w:tc>
        <w:tc>
          <w:tcPr>
            <w:tcW w:w="736" w:type="dxa"/>
            <w:tcBorders>
              <w:top w:val="nil" w:sz="6" w:space="0" w:color="auto"/>
              <w:left w:val="single" w:sz="6" w:space="0" w:color="000000"/>
              <w:bottom w:val="single" w:sz="6" w:space="0" w:color="000000"/>
              <w:right w:val="single" w:sz="6" w:space="0" w:color="000000"/>
            </w:tcBorders>
            <w:shd w:val="clear" w:color="auto" w:fill="D2D2D2"/>
          </w:tcPr>
          <w:p>
            <w:pPr/>
          </w:p>
        </w:tc>
        <w:tc>
          <w:tcPr>
            <w:tcW w:w="887" w:type="dxa"/>
            <w:vMerge/>
            <w:tcBorders>
              <w:left w:val="single" w:sz="12" w:space="0" w:color="D2D2D2"/>
              <w:bottom w:val="single" w:sz="6" w:space="0" w:color="000000"/>
              <w:right w:val="single" w:sz="6" w:space="0" w:color="000000"/>
            </w:tcBorders>
          </w:tcPr>
          <w:p>
            <w:pPr/>
          </w:p>
        </w:tc>
        <w:tc>
          <w:tcPr>
            <w:tcW w:w="901" w:type="dxa"/>
            <w:vMerge/>
            <w:tcBorders>
              <w:left w:val="single" w:sz="6" w:space="0" w:color="000000"/>
              <w:bottom w:val="single" w:sz="6" w:space="0" w:color="000000"/>
              <w:right w:val="single" w:sz="6" w:space="0" w:color="000000"/>
            </w:tcBorders>
          </w:tcPr>
          <w:p>
            <w:pPr/>
          </w:p>
        </w:tc>
        <w:tc>
          <w:tcPr>
            <w:tcW w:w="721" w:type="dxa"/>
            <w:vMerge/>
            <w:tcBorders>
              <w:left w:val="single" w:sz="6" w:space="0" w:color="000000"/>
              <w:bottom w:val="single" w:sz="6" w:space="0" w:color="000000"/>
              <w:right w:val="single" w:sz="6" w:space="0" w:color="000000"/>
            </w:tcBorders>
          </w:tcPr>
          <w:p>
            <w:pPr/>
          </w:p>
        </w:tc>
        <w:tc>
          <w:tcPr>
            <w:tcW w:w="901" w:type="dxa"/>
            <w:vMerge/>
            <w:tcBorders>
              <w:left w:val="single" w:sz="6" w:space="0" w:color="000000"/>
              <w:bottom w:val="single" w:sz="6" w:space="0" w:color="000000"/>
              <w:right w:val="single" w:sz="12" w:space="0" w:color="D2D2D2"/>
            </w:tcBorders>
          </w:tcPr>
          <w:p>
            <w:pPr/>
          </w:p>
        </w:tc>
        <w:tc>
          <w:tcPr>
            <w:tcW w:w="901" w:type="dxa"/>
            <w:tcBorders>
              <w:top w:val="nil" w:sz="6" w:space="0" w:color="auto"/>
              <w:left w:val="single" w:sz="6" w:space="0" w:color="000000"/>
              <w:bottom w:val="single" w:sz="6" w:space="0" w:color="000000"/>
              <w:right w:val="single" w:sz="6" w:space="0" w:color="000000"/>
            </w:tcBorders>
            <w:shd w:val="clear" w:color="auto" w:fill="D2D2D2"/>
          </w:tcPr>
          <w:p>
            <w:pPr/>
          </w:p>
        </w:tc>
        <w:tc>
          <w:tcPr>
            <w:tcW w:w="736" w:type="dxa"/>
            <w:tcBorders>
              <w:top w:val="nil" w:sz="6" w:space="0" w:color="auto"/>
              <w:left w:val="single" w:sz="6" w:space="0" w:color="000000"/>
              <w:bottom w:val="single" w:sz="6" w:space="0" w:color="000000"/>
              <w:right w:val="single" w:sz="6" w:space="0" w:color="000000"/>
            </w:tcBorders>
            <w:shd w:val="clear" w:color="auto" w:fill="D2D2D2"/>
          </w:tcPr>
          <w:p>
            <w:pPr/>
          </w:p>
        </w:tc>
        <w:tc>
          <w:tcPr>
            <w:tcW w:w="721" w:type="dxa"/>
            <w:vMerge/>
            <w:tcBorders>
              <w:left w:val="single" w:sz="12" w:space="0" w:color="D2D2D2"/>
              <w:bottom w:val="single" w:sz="6" w:space="0" w:color="000000"/>
              <w:right w:val="single" w:sz="6" w:space="0" w:color="000000"/>
            </w:tcBorders>
          </w:tcPr>
          <w:p>
            <w:pPr/>
          </w:p>
        </w:tc>
        <w:tc>
          <w:tcPr>
            <w:tcW w:w="901" w:type="dxa"/>
            <w:vMerge/>
            <w:tcBorders>
              <w:left w:val="single" w:sz="6" w:space="0" w:color="000000"/>
              <w:bottom w:val="single" w:sz="6" w:space="0" w:color="000000"/>
              <w:right w:val="single" w:sz="6" w:space="0" w:color="000000"/>
            </w:tcBorders>
          </w:tcPr>
          <w:p>
            <w:pPr/>
          </w:p>
        </w:tc>
        <w:tc>
          <w:tcPr>
            <w:tcW w:w="721" w:type="dxa"/>
            <w:tcBorders>
              <w:top w:val="nil" w:sz="6" w:space="0" w:color="auto"/>
              <w:left w:val="single" w:sz="6" w:space="0" w:color="000000"/>
              <w:bottom w:val="single" w:sz="6" w:space="0" w:color="000000"/>
              <w:right w:val="single" w:sz="6" w:space="0" w:color="000000"/>
            </w:tcBorders>
            <w:shd w:val="clear" w:color="auto" w:fill="D2D2D2"/>
          </w:tcPr>
          <w:p>
            <w:pPr/>
          </w:p>
        </w:tc>
        <w:tc>
          <w:tcPr>
            <w:tcW w:w="736"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390" w:hRule="exact"/>
        </w:trPr>
        <w:tc>
          <w:tcPr>
            <w:tcW w:w="9582"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6" w:hRule="exact"/>
        </w:trPr>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36" w:type="dxa"/>
            <w:tcBorders>
              <w:top w:val="single" w:sz="6" w:space="0" w:color="000000"/>
              <w:left w:val="single" w:sz="6" w:space="0" w:color="000000"/>
              <w:bottom w:val="single" w:sz="6" w:space="0" w:color="000000"/>
              <w:right w:val="single" w:sz="6" w:space="0" w:color="000000"/>
            </w:tcBorders>
          </w:tcPr>
          <w:p>
            <w:pPr/>
          </w:p>
        </w:tc>
        <w:tc>
          <w:tcPr>
            <w:tcW w:w="887"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98"/>
              <w:jc w:val="right"/>
              <w:rPr>
                <w:rFonts w:ascii="Times New Roman" w:hAnsi="Times New Roman" w:cs="Times New Roman" w:eastAsia="Times New Roman" w:hint="default"/>
                <w:sz w:val="18"/>
                <w:szCs w:val="18"/>
              </w:rPr>
            </w:pPr>
            <w:r>
              <w:rPr>
                <w:rFonts w:ascii="Times New Roman"/>
                <w:sz w:val="18"/>
              </w:rPr>
              <w:t>--</w:t>
            </w: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61,849</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61,849</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3" w:right="0"/>
              <w:jc w:val="center"/>
              <w:rPr>
                <w:rFonts w:ascii="Times New Roman" w:hAnsi="Times New Roman" w:cs="Times New Roman" w:eastAsia="Times New Roman" w:hint="default"/>
                <w:sz w:val="18"/>
                <w:szCs w:val="18"/>
              </w:rPr>
            </w:pPr>
            <w:r>
              <w:rPr>
                <w:rFonts w:ascii="Times New Roman"/>
                <w:sz w:val="18"/>
              </w:rPr>
              <w:t>7,866.24</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63,685.23</w:t>
            </w:r>
          </w:p>
        </w:tc>
        <w:tc>
          <w:tcPr>
            <w:tcW w:w="9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98"/>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5,146.89</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70,773.85</w:t>
            </w:r>
          </w:p>
        </w:tc>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98"/>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r>
        <w:rPr/>
        <w:pict>
          <v:shape style="position:absolute;margin-left:56.325001pt;margin-top:72.080002pt;width:480.25pt;height:671.85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21"/>
                    <w:gridCol w:w="8861"/>
                  </w:tblGrid>
                  <w:tr>
                    <w:trPr>
                      <w:trHeight w:val="3212" w:hRule="exact"/>
                    </w:trPr>
                    <w:tc>
                      <w:tcPr>
                        <w:tcW w:w="721" w:type="dxa"/>
                        <w:tcBorders>
                          <w:top w:val="single" w:sz="6" w:space="0" w:color="000000"/>
                          <w:left w:val="single" w:sz="6" w:space="0" w:color="000000"/>
                          <w:bottom w:val="single" w:sz="6" w:space="0" w:color="000000"/>
                          <w:right w:val="single" w:sz="18" w:space="0" w:color="FFFFFF"/>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19" w:lineRule="auto"/>
                          <w:ind w:left="15" w:right="135"/>
                          <w:jc w:val="both"/>
                          <w:rPr>
                            <w:rFonts w:ascii="宋体" w:hAnsi="宋体" w:cs="宋体" w:eastAsia="宋体" w:hint="default"/>
                            <w:sz w:val="18"/>
                            <w:szCs w:val="18"/>
                          </w:rPr>
                        </w:pPr>
                        <w:r>
                          <w:rPr>
                            <w:rFonts w:ascii="宋体" w:hAnsi="宋体" w:cs="宋体" w:eastAsia="宋体" w:hint="default"/>
                            <w:sz w:val="18"/>
                            <w:szCs w:val="18"/>
                          </w:rPr>
                          <w:t>未达到 计划进 度或预 计收益 的情况 和原因</w:t>
                        </w:r>
                      </w:p>
                      <w:p>
                        <w:pPr>
                          <w:pStyle w:val="TableParagraph"/>
                          <w:spacing w:line="321" w:lineRule="auto" w:before="20"/>
                          <w:ind w:left="15" w:right="-45"/>
                          <w:jc w:val="left"/>
                          <w:rPr>
                            <w:rFonts w:ascii="宋体" w:hAnsi="宋体" w:cs="宋体" w:eastAsia="宋体" w:hint="default"/>
                            <w:sz w:val="18"/>
                            <w:szCs w:val="18"/>
                          </w:rPr>
                        </w:pPr>
                        <w:r>
                          <w:rPr>
                            <w:rFonts w:ascii="宋体" w:hAnsi="宋体" w:cs="宋体" w:eastAsia="宋体" w:hint="default"/>
                            <w:sz w:val="18"/>
                            <w:szCs w:val="18"/>
                          </w:rPr>
                          <w:t>（分具 体项目）</w:t>
                        </w:r>
                      </w:p>
                    </w:tc>
                    <w:tc>
                      <w:tcPr>
                        <w:tcW w:w="8861" w:type="dxa"/>
                        <w:tcBorders>
                          <w:top w:val="single" w:sz="6" w:space="0" w:color="000000"/>
                          <w:left w:val="single" w:sz="18" w:space="0" w:color="FFFFFF"/>
                          <w:bottom w:val="single" w:sz="6" w:space="0" w:color="000000"/>
                          <w:right w:val="single" w:sz="6" w:space="0" w:color="000000"/>
                        </w:tcBorders>
                      </w:tcPr>
                      <w:p>
                        <w:pPr>
                          <w:pStyle w:val="TableParagraph"/>
                          <w:spacing w:line="290" w:lineRule="auto" w:before="59"/>
                          <w:ind w:left="15"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通用 </w:t>
                        </w:r>
                        <w:r>
                          <w:rPr>
                            <w:rFonts w:ascii="Times New Roman" w:hAnsi="Times New Roman" w:cs="Times New Roman" w:eastAsia="Times New Roman" w:hint="default"/>
                            <w:sz w:val="18"/>
                            <w:szCs w:val="18"/>
                          </w:rPr>
                          <w:t>Java </w:t>
                        </w:r>
                        <w:r>
                          <w:rPr>
                            <w:rFonts w:ascii="宋体" w:hAnsi="宋体" w:cs="宋体" w:eastAsia="宋体" w:hint="default"/>
                            <w:sz w:val="18"/>
                            <w:szCs w:val="18"/>
                          </w:rPr>
                          <w:t>卡平台及智能卡的研发和产业化项目计划投入 </w:t>
                        </w:r>
                        <w:r>
                          <w:rPr>
                            <w:rFonts w:ascii="Times New Roman" w:hAnsi="Times New Roman" w:cs="Times New Roman" w:eastAsia="Times New Roman" w:hint="default"/>
                            <w:sz w:val="18"/>
                            <w:szCs w:val="18"/>
                          </w:rPr>
                          <w:t>8,977 </w:t>
                        </w:r>
                        <w:r>
                          <w:rPr>
                            <w:rFonts w:ascii="宋体" w:hAnsi="宋体" w:cs="宋体" w:eastAsia="宋体" w:hint="default"/>
                            <w:spacing w:val="-9"/>
                            <w:sz w:val="18"/>
                            <w:szCs w:val="18"/>
                          </w:rPr>
                          <w:t>万元，经过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8"/>
                            <w:sz w:val="18"/>
                            <w:szCs w:val="18"/>
                          </w:rPr>
                          <w:t> </w:t>
                        </w:r>
                        <w:r>
                          <w:rPr>
                            <w:rFonts w:ascii="宋体" w:hAnsi="宋体" w:cs="宋体" w:eastAsia="宋体" w:hint="default"/>
                            <w:spacing w:val="-4"/>
                            <w:sz w:val="18"/>
                            <w:szCs w:val="18"/>
                          </w:rPr>
                          <w:t>年多的建设，已经基本达到预期</w:t>
                        </w:r>
                        <w:r>
                          <w:rPr>
                            <w:rFonts w:ascii="宋体" w:hAnsi="宋体" w:cs="宋体" w:eastAsia="宋体" w:hint="default"/>
                            <w:sz w:val="18"/>
                            <w:szCs w:val="18"/>
                          </w:rPr>
                          <w:t> 可使用目标，但是销售情况未达到预期目标。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月经第二届第二十三次董事会及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年第二次临时</w:t>
                        </w:r>
                      </w:p>
                      <w:p>
                        <w:pPr>
                          <w:pStyle w:val="TableParagraph"/>
                          <w:spacing w:line="300" w:lineRule="auto" w:before="24"/>
                          <w:ind w:left="15" w:right="4"/>
                          <w:jc w:val="left"/>
                          <w:rPr>
                            <w:rFonts w:ascii="宋体" w:hAnsi="宋体" w:cs="宋体" w:eastAsia="宋体" w:hint="default"/>
                            <w:sz w:val="18"/>
                            <w:szCs w:val="18"/>
                          </w:rPr>
                        </w:pPr>
                        <w:r>
                          <w:rPr>
                            <w:rFonts w:ascii="宋体" w:hAnsi="宋体" w:cs="宋体" w:eastAsia="宋体" w:hint="default"/>
                            <w:sz w:val="18"/>
                            <w:szCs w:val="18"/>
                          </w:rPr>
                          <w:t>股东大会审议通过，调整投资总额为 </w:t>
                        </w:r>
                        <w:r>
                          <w:rPr>
                            <w:rFonts w:ascii="Times New Roman" w:hAnsi="Times New Roman" w:cs="Times New Roman" w:eastAsia="Times New Roman" w:hint="default"/>
                            <w:sz w:val="18"/>
                            <w:szCs w:val="18"/>
                          </w:rPr>
                          <w:t>7,577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万元，未来如有投资需求，可通过自有资金的投入，接续项目的推进 和运转。 </w:t>
                        </w:r>
                        <w:r>
                          <w:rPr>
                            <w:rFonts w:ascii="Times New Roman" w:hAnsi="Times New Roman" w:cs="Times New Roman" w:eastAsia="Times New Roman" w:hint="default"/>
                            <w:sz w:val="18"/>
                            <w:szCs w:val="18"/>
                          </w:rPr>
                          <w:t>2.</w:t>
                        </w:r>
                        <w:r>
                          <w:rPr>
                            <w:rFonts w:ascii="宋体" w:hAnsi="宋体" w:cs="宋体" w:eastAsia="宋体" w:hint="default"/>
                            <w:sz w:val="18"/>
                            <w:szCs w:val="18"/>
                          </w:rPr>
                          <w:t>营销服务中心建设项目，不直接产生经济效益。 </w:t>
                        </w:r>
                        <w:r>
                          <w:rPr>
                            <w:rFonts w:ascii="Times New Roman" w:hAnsi="Times New Roman" w:cs="Times New Roman" w:eastAsia="Times New Roman" w:hint="default"/>
                            <w:sz w:val="18"/>
                            <w:szCs w:val="18"/>
                          </w:rPr>
                          <w:t>3.</w:t>
                        </w:r>
                        <w:r>
                          <w:rPr>
                            <w:rFonts w:ascii="宋体" w:hAnsi="宋体" w:cs="宋体" w:eastAsia="宋体" w:hint="default"/>
                            <w:sz w:val="18"/>
                            <w:szCs w:val="18"/>
                          </w:rPr>
                          <w:t>身份认证云平台建设项目计划投入 </w:t>
                        </w:r>
                        <w:r>
                          <w:rPr>
                            <w:rFonts w:ascii="Times New Roman" w:hAnsi="Times New Roman" w:cs="Times New Roman" w:eastAsia="Times New Roman" w:hint="default"/>
                            <w:sz w:val="18"/>
                            <w:szCs w:val="18"/>
                          </w:rPr>
                          <w:t>13,898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 </w:t>
                        </w:r>
                        <w:r>
                          <w:rPr>
                            <w:rFonts w:ascii="宋体" w:hAnsi="宋体" w:cs="宋体" w:eastAsia="宋体" w:hint="default"/>
                            <w:spacing w:val="-3"/>
                            <w:w w:val="100"/>
                            <w:sz w:val="18"/>
                            <w:szCs w:val="18"/>
                          </w:rPr>
                          <w:t>原计划通过自建</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私有云</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来提供认证服务，但随着技术的发展，</w:t>
                        </w:r>
                        <w:r>
                          <w:rPr>
                            <w:rFonts w:ascii="宋体" w:hAnsi="宋体" w:cs="宋体" w:eastAsia="宋体" w:hint="default"/>
                            <w:spacing w:val="-69"/>
                            <w:w w:val="100"/>
                            <w:sz w:val="18"/>
                            <w:szCs w:val="18"/>
                          </w:rPr>
                          <w:t> </w:t>
                        </w:r>
                        <w:r>
                          <w:rPr>
                            <w:rFonts w:ascii="Times New Roman" w:hAnsi="Times New Roman" w:cs="Times New Roman" w:eastAsia="Times New Roman" w:hint="default"/>
                            <w:w w:val="100"/>
                            <w:sz w:val="18"/>
                            <w:szCs w:val="18"/>
                          </w:rPr>
                          <w:t>“</w:t>
                        </w:r>
                        <w:r>
                          <w:rPr>
                            <w:rFonts w:ascii="宋体" w:hAnsi="宋体" w:cs="宋体" w:eastAsia="宋体" w:hint="default"/>
                            <w:w w:val="100"/>
                            <w:sz w:val="18"/>
                            <w:szCs w:val="18"/>
                          </w:rPr>
                          <w:t>私有云</w:t>
                        </w:r>
                        <w:r>
                          <w:rPr>
                            <w:rFonts w:ascii="Times New Roman" w:hAnsi="Times New Roman" w:cs="Times New Roman" w:eastAsia="Times New Roman" w:hint="default"/>
                            <w:w w:val="100"/>
                            <w:sz w:val="18"/>
                            <w:szCs w:val="18"/>
                          </w:rPr>
                          <w:t>”</w:t>
                        </w:r>
                        <w:r>
                          <w:rPr>
                            <w:rFonts w:ascii="宋体" w:hAnsi="宋体" w:cs="宋体" w:eastAsia="宋体" w:hint="default"/>
                            <w:w w:val="100"/>
                            <w:sz w:val="18"/>
                            <w:szCs w:val="18"/>
                          </w:rPr>
                          <w:t>可以通过租赁</w:t>
                        </w:r>
                        <w:r>
                          <w:rPr>
                            <w:rFonts w:ascii="Times New Roman" w:hAnsi="Times New Roman" w:cs="Times New Roman" w:eastAsia="Times New Roman" w:hint="default"/>
                            <w:w w:val="100"/>
                            <w:sz w:val="18"/>
                            <w:szCs w:val="18"/>
                          </w:rPr>
                          <w:t>“</w:t>
                        </w:r>
                        <w:r>
                          <w:rPr>
                            <w:rFonts w:ascii="宋体" w:hAnsi="宋体" w:cs="宋体" w:eastAsia="宋体" w:hint="default"/>
                            <w:w w:val="100"/>
                            <w:sz w:val="18"/>
                            <w:szCs w:val="18"/>
                          </w:rPr>
                          <w:t>公共云</w:t>
                        </w:r>
                        <w:r>
                          <w:rPr>
                            <w:rFonts w:ascii="Times New Roman" w:hAnsi="Times New Roman" w:cs="Times New Roman" w:eastAsia="Times New Roman" w:hint="default"/>
                            <w:w w:val="100"/>
                            <w:sz w:val="18"/>
                            <w:szCs w:val="18"/>
                          </w:rPr>
                          <w:t>”</w:t>
                        </w:r>
                        <w:r>
                          <w:rPr>
                            <w:rFonts w:ascii="宋体" w:hAnsi="宋体" w:cs="宋体" w:eastAsia="宋体" w:hint="default"/>
                            <w:w w:val="100"/>
                            <w:sz w:val="18"/>
                            <w:szCs w:val="18"/>
                          </w:rPr>
                          <w:t>服务的方式实现</w:t>
                        </w:r>
                        <w:r>
                          <w:rPr>
                            <w:rFonts w:ascii="宋体" w:hAnsi="宋体" w:cs="宋体" w:eastAsia="宋体" w:hint="default"/>
                            <w:spacing w:val="-65"/>
                            <w:w w:val="100"/>
                            <w:sz w:val="18"/>
                            <w:szCs w:val="18"/>
                          </w:rPr>
                          <w:t> </w:t>
                        </w:r>
                        <w:r>
                          <w:rPr>
                            <w:rFonts w:ascii="宋体" w:hAnsi="宋体" w:cs="宋体" w:eastAsia="宋体" w:hint="default"/>
                            <w:sz w:val="18"/>
                            <w:szCs w:val="18"/>
                          </w:rPr>
                          <w:t>极大地降低了投入成本；该项目经过近 </w:t>
                        </w: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年的研发，系统功能已经得以实现，但是市场情况不尽理想，项目上</w:t>
                        </w:r>
                      </w:p>
                      <w:p>
                        <w:pPr>
                          <w:pStyle w:val="TableParagraph"/>
                          <w:spacing w:line="240" w:lineRule="auto" w:before="16"/>
                          <w:ind w:left="15" w:right="0"/>
                          <w:jc w:val="left"/>
                          <w:rPr>
                            <w:rFonts w:ascii="宋体" w:hAnsi="宋体" w:cs="宋体" w:eastAsia="宋体" w:hint="default"/>
                            <w:sz w:val="18"/>
                            <w:szCs w:val="18"/>
                          </w:rPr>
                        </w:pPr>
                        <w:r>
                          <w:rPr>
                            <w:rFonts w:ascii="宋体" w:hAnsi="宋体" w:cs="宋体" w:eastAsia="宋体" w:hint="default"/>
                            <w:sz w:val="18"/>
                            <w:szCs w:val="18"/>
                          </w:rPr>
                          <w:t>线后在国内的推广未能达到预期效果，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月经第二届第二十三次董事会及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年第二次临时股东大</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pacing w:val="-4"/>
                            <w:sz w:val="18"/>
                            <w:szCs w:val="18"/>
                          </w:rPr>
                          <w:t>会审议通过，调整投资总额为 </w:t>
                        </w:r>
                        <w:r>
                          <w:rPr>
                            <w:rFonts w:ascii="Times New Roman" w:hAnsi="Times New Roman" w:cs="Times New Roman" w:eastAsia="Times New Roman" w:hint="default"/>
                            <w:sz w:val="18"/>
                            <w:szCs w:val="18"/>
                          </w:rPr>
                          <w:t>598  </w:t>
                        </w:r>
                        <w:r>
                          <w:rPr>
                            <w:rFonts w:ascii="宋体" w:hAnsi="宋体" w:cs="宋体" w:eastAsia="宋体" w:hint="default"/>
                            <w:sz w:val="18"/>
                            <w:szCs w:val="18"/>
                          </w:rPr>
                          <w:t>万元。 </w:t>
                        </w:r>
                        <w:r>
                          <w:rPr>
                            <w:rFonts w:ascii="Times New Roman" w:hAnsi="Times New Roman" w:cs="Times New Roman" w:eastAsia="Times New Roman" w:hint="default"/>
                            <w:sz w:val="18"/>
                            <w:szCs w:val="18"/>
                          </w:rPr>
                          <w:t>4.</w:t>
                        </w:r>
                        <w:r>
                          <w:rPr>
                            <w:rFonts w:ascii="宋体" w:hAnsi="宋体" w:cs="宋体" w:eastAsia="宋体" w:hint="default"/>
                            <w:sz w:val="18"/>
                            <w:szCs w:val="18"/>
                          </w:rPr>
                          <w:t>技术研发中心建设项目计划投入 </w:t>
                        </w:r>
                        <w:r>
                          <w:rPr>
                            <w:rFonts w:ascii="Times New Roman" w:hAnsi="Times New Roman" w:cs="Times New Roman" w:eastAsia="Times New Roman" w:hint="default"/>
                            <w:sz w:val="18"/>
                            <w:szCs w:val="18"/>
                          </w:rPr>
                          <w:t>16,600  </w:t>
                        </w:r>
                        <w:r>
                          <w:rPr>
                            <w:rFonts w:ascii="宋体" w:hAnsi="宋体" w:cs="宋体" w:eastAsia="宋体" w:hint="default"/>
                            <w:spacing w:val="-9"/>
                            <w:sz w:val="18"/>
                            <w:szCs w:val="18"/>
                          </w:rPr>
                          <w:t>万元，经过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年多的建设</w:t>
                        </w:r>
                      </w:p>
                      <w:p>
                        <w:pPr>
                          <w:pStyle w:val="TableParagraph"/>
                          <w:spacing w:line="240" w:lineRule="auto" w:before="66"/>
                          <w:ind w:left="15" w:right="-12"/>
                          <w:jc w:val="left"/>
                          <w:rPr>
                            <w:rFonts w:ascii="宋体" w:hAnsi="宋体" w:cs="宋体" w:eastAsia="宋体" w:hint="default"/>
                            <w:sz w:val="18"/>
                            <w:szCs w:val="18"/>
                          </w:rPr>
                        </w:pPr>
                        <w:r>
                          <w:rPr>
                            <w:rFonts w:ascii="宋体" w:hAnsi="宋体" w:cs="宋体" w:eastAsia="宋体" w:hint="default"/>
                            <w:sz w:val="18"/>
                            <w:szCs w:val="18"/>
                          </w:rPr>
                          <w:t>已经基本达到预期目标，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月经第二届第二十三次董事会及 </w:t>
                        </w:r>
                        <w:r>
                          <w:rPr>
                            <w:rFonts w:ascii="Times New Roman" w:hAnsi="Times New Roman" w:cs="Times New Roman" w:eastAsia="Times New Roman" w:hint="default"/>
                            <w:sz w:val="18"/>
                            <w:szCs w:val="18"/>
                          </w:rPr>
                          <w:t>2016 </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年第二次临时股东大会审议通过，</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调整投资总额为 </w:t>
                        </w:r>
                        <w:r>
                          <w:rPr>
                            <w:rFonts w:ascii="Times New Roman" w:hAnsi="Times New Roman" w:cs="Times New Roman" w:eastAsia="Times New Roman" w:hint="default"/>
                            <w:sz w:val="18"/>
                            <w:szCs w:val="18"/>
                          </w:rPr>
                          <w:t>11,402.5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1967" w:hRule="exact"/>
                    </w:trPr>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15" w:right="150"/>
                          <w:jc w:val="both"/>
                          <w:rPr>
                            <w:rFonts w:ascii="宋体" w:hAnsi="宋体" w:cs="宋体" w:eastAsia="宋体" w:hint="default"/>
                            <w:sz w:val="18"/>
                            <w:szCs w:val="18"/>
                          </w:rPr>
                        </w:pPr>
                        <w:r>
                          <w:rPr>
                            <w:rFonts w:ascii="宋体" w:hAnsi="宋体" w:cs="宋体" w:eastAsia="宋体" w:hint="default"/>
                            <w:sz w:val="18"/>
                            <w:szCs w:val="18"/>
                          </w:rPr>
                          <w:t>项目可 行性发 生重大 变化的 情况说 明</w:t>
                        </w:r>
                      </w:p>
                    </w:tc>
                    <w:tc>
                      <w:tcPr>
                        <w:tcW w:w="8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4"/>
                          <w:ind w:left="30" w:right="22"/>
                          <w:jc w:val="left"/>
                          <w:rPr>
                            <w:rFonts w:ascii="宋体" w:hAnsi="宋体" w:cs="宋体" w:eastAsia="宋体" w:hint="default"/>
                            <w:sz w:val="18"/>
                            <w:szCs w:val="18"/>
                          </w:rPr>
                        </w:pPr>
                        <w:r>
                          <w:rPr>
                            <w:rFonts w:ascii="宋体" w:hAnsi="宋体" w:cs="宋体" w:eastAsia="宋体" w:hint="default"/>
                            <w:sz w:val="18"/>
                            <w:szCs w:val="18"/>
                          </w:rPr>
                          <w:t>身份认证云平台建设项目计划投入</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13,898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万元，原计划通过自建</w:t>
                        </w:r>
                        <w:r>
                          <w:rPr>
                            <w:rFonts w:ascii="Times New Roman" w:hAnsi="Times New Roman" w:cs="Times New Roman" w:eastAsia="Times New Roman" w:hint="default"/>
                            <w:sz w:val="18"/>
                            <w:szCs w:val="18"/>
                          </w:rPr>
                          <w:t>“</w:t>
                        </w:r>
                        <w:r>
                          <w:rPr>
                            <w:rFonts w:ascii="宋体" w:hAnsi="宋体" w:cs="宋体" w:eastAsia="宋体" w:hint="default"/>
                            <w:sz w:val="18"/>
                            <w:szCs w:val="18"/>
                          </w:rPr>
                          <w:t>私有云</w:t>
                        </w:r>
                        <w:r>
                          <w:rPr>
                            <w:rFonts w:ascii="Times New Roman" w:hAnsi="Times New Roman" w:cs="Times New Roman" w:eastAsia="Times New Roman" w:hint="default"/>
                            <w:sz w:val="18"/>
                            <w:szCs w:val="18"/>
                          </w:rPr>
                          <w:t>”</w:t>
                        </w:r>
                        <w:r>
                          <w:rPr>
                            <w:rFonts w:ascii="宋体" w:hAnsi="宋体" w:cs="宋体" w:eastAsia="宋体" w:hint="default"/>
                            <w:sz w:val="18"/>
                            <w:szCs w:val="18"/>
                          </w:rPr>
                          <w:t>来提供认证服务，但随着技术的发展</w:t>
                        </w:r>
                        <w:r>
                          <w:rPr>
                            <w:rFonts w:ascii="宋体" w:hAnsi="宋体" w:cs="宋体" w:eastAsia="宋体" w:hint="default"/>
                            <w:spacing w:val="-88"/>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私有云</w:t>
                        </w:r>
                        <w:r>
                          <w:rPr>
                            <w:rFonts w:ascii="Times New Roman" w:hAnsi="Times New Roman" w:cs="Times New Roman" w:eastAsia="Times New Roman" w:hint="default"/>
                            <w:sz w:val="18"/>
                            <w:szCs w:val="18"/>
                          </w:rPr>
                          <w:t>”</w:t>
                        </w:r>
                        <w:r>
                          <w:rPr>
                            <w:rFonts w:ascii="宋体" w:hAnsi="宋体" w:cs="宋体" w:eastAsia="宋体" w:hint="default"/>
                            <w:sz w:val="18"/>
                            <w:szCs w:val="18"/>
                          </w:rPr>
                          <w:t>可以通过租赁</w:t>
                        </w:r>
                        <w:r>
                          <w:rPr>
                            <w:rFonts w:ascii="Times New Roman" w:hAnsi="Times New Roman" w:cs="Times New Roman" w:eastAsia="Times New Roman" w:hint="default"/>
                            <w:sz w:val="18"/>
                            <w:szCs w:val="18"/>
                          </w:rPr>
                          <w:t>“</w:t>
                        </w:r>
                        <w:r>
                          <w:rPr>
                            <w:rFonts w:ascii="宋体" w:hAnsi="宋体" w:cs="宋体" w:eastAsia="宋体" w:hint="default"/>
                            <w:sz w:val="18"/>
                            <w:szCs w:val="18"/>
                          </w:rPr>
                          <w:t>公共云</w:t>
                        </w:r>
                        <w:r>
                          <w:rPr>
                            <w:rFonts w:ascii="Times New Roman" w:hAnsi="Times New Roman" w:cs="Times New Roman" w:eastAsia="Times New Roman" w:hint="default"/>
                            <w:sz w:val="18"/>
                            <w:szCs w:val="18"/>
                          </w:rPr>
                          <w:t>”</w:t>
                        </w:r>
                        <w:r>
                          <w:rPr>
                            <w:rFonts w:ascii="宋体" w:hAnsi="宋体" w:cs="宋体" w:eastAsia="宋体" w:hint="default"/>
                            <w:sz w:val="18"/>
                            <w:szCs w:val="18"/>
                          </w:rPr>
                          <w:t>服务的方式实现，极大地降低了投入成本；该项目经过近两年的研发，系统功能</w:t>
                        </w:r>
                        <w:r>
                          <w:rPr>
                            <w:rFonts w:ascii="宋体" w:hAnsi="宋体" w:cs="宋体" w:eastAsia="宋体" w:hint="default"/>
                            <w:spacing w:val="-79"/>
                            <w:sz w:val="18"/>
                            <w:szCs w:val="18"/>
                          </w:rPr>
                          <w:t> </w:t>
                        </w:r>
                        <w:r>
                          <w:rPr>
                            <w:rFonts w:ascii="宋体" w:hAnsi="宋体" w:cs="宋体" w:eastAsia="宋体" w:hint="default"/>
                            <w:sz w:val="18"/>
                            <w:szCs w:val="18"/>
                          </w:rPr>
                          <w:t>已经得以实现，但是市场情况不尽理想，项目上线后在国内的推广未能达到预期效果，</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月经第二届第 二十三次董事会及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年第二次临时股东大会审议通过，调整投资总额为</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598 </w:t>
                        </w:r>
                        <w:r>
                          <w:rPr>
                            <w:rFonts w:ascii="宋体" w:hAnsi="宋体" w:cs="宋体" w:eastAsia="宋体" w:hint="default"/>
                            <w:sz w:val="18"/>
                            <w:szCs w:val="18"/>
                          </w:rPr>
                          <w:t>万元。</w:t>
                        </w:r>
                      </w:p>
                    </w:tc>
                  </w:tr>
                  <w:tr>
                    <w:trPr>
                      <w:trHeight w:val="405" w:hRule="exact"/>
                    </w:trPr>
                    <w:tc>
                      <w:tcPr>
                        <w:tcW w:w="721" w:type="dxa"/>
                        <w:vMerge w:val="restart"/>
                        <w:tcBorders>
                          <w:top w:val="single" w:sz="6" w:space="0" w:color="000000"/>
                          <w:left w:val="single" w:sz="6" w:space="0" w:color="000000"/>
                          <w:right w:val="single" w:sz="6" w:space="0" w:color="000000"/>
                        </w:tcBorders>
                        <w:shd w:val="clear" w:color="auto" w:fill="D2D2D2"/>
                      </w:tcPr>
                      <w:p>
                        <w:pPr>
                          <w:pStyle w:val="TableParagraph"/>
                          <w:spacing w:line="319" w:lineRule="auto" w:before="29"/>
                          <w:ind w:left="15" w:right="28"/>
                          <w:jc w:val="left"/>
                          <w:rPr>
                            <w:rFonts w:ascii="宋体" w:hAnsi="宋体" w:cs="宋体" w:eastAsia="宋体" w:hint="default"/>
                            <w:sz w:val="18"/>
                            <w:szCs w:val="18"/>
                          </w:rPr>
                        </w:pPr>
                        <w:r>
                          <w:rPr>
                            <w:rFonts w:ascii="宋体" w:hAnsi="宋体" w:cs="宋体" w:eastAsia="宋体" w:hint="default"/>
                            <w:sz w:val="18"/>
                            <w:szCs w:val="18"/>
                          </w:rPr>
                          <w:t>超募资 金的金 </w:t>
                        </w:r>
                        <w:r>
                          <w:rPr>
                            <w:rFonts w:ascii="宋体" w:hAnsi="宋体" w:cs="宋体" w:eastAsia="宋体" w:hint="default"/>
                            <w:spacing w:val="-15"/>
                            <w:sz w:val="18"/>
                            <w:szCs w:val="18"/>
                          </w:rPr>
                          <w:t>额、用途</w:t>
                        </w:r>
                        <w:r>
                          <w:rPr>
                            <w:rFonts w:ascii="宋体" w:hAnsi="宋体" w:cs="宋体" w:eastAsia="宋体" w:hint="default"/>
                            <w:sz w:val="18"/>
                            <w:szCs w:val="18"/>
                          </w:rPr>
                          <w:t> 及使用 进展情 况</w:t>
                        </w:r>
                      </w:p>
                    </w:tc>
                    <w:tc>
                      <w:tcPr>
                        <w:tcW w:w="8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61" w:hRule="exact"/>
                    </w:trPr>
                    <w:tc>
                      <w:tcPr>
                        <w:tcW w:w="721" w:type="dxa"/>
                        <w:vMerge/>
                        <w:tcBorders>
                          <w:left w:val="single" w:sz="6" w:space="0" w:color="000000"/>
                          <w:bottom w:val="single" w:sz="6" w:space="0" w:color="000000"/>
                          <w:right w:val="single" w:sz="6" w:space="0" w:color="000000"/>
                        </w:tcBorders>
                        <w:shd w:val="clear" w:color="auto" w:fill="D2D2D2"/>
                      </w:tcPr>
                      <w:p>
                        <w:pPr/>
                      </w:p>
                    </w:tc>
                    <w:tc>
                      <w:tcPr>
                        <w:tcW w:w="8861"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721" w:type="dxa"/>
                        <w:vMerge w:val="restart"/>
                        <w:tcBorders>
                          <w:top w:val="single" w:sz="6" w:space="0" w:color="000000"/>
                          <w:left w:val="single" w:sz="6" w:space="0" w:color="000000"/>
                          <w:right w:val="single" w:sz="6" w:space="0" w:color="000000"/>
                        </w:tcBorders>
                        <w:shd w:val="clear" w:color="auto" w:fill="D2D2D2"/>
                      </w:tcPr>
                      <w:p>
                        <w:pPr>
                          <w:pStyle w:val="TableParagraph"/>
                          <w:spacing w:line="319" w:lineRule="auto" w:before="30"/>
                          <w:ind w:left="15" w:right="150"/>
                          <w:jc w:val="both"/>
                          <w:rPr>
                            <w:rFonts w:ascii="宋体" w:hAnsi="宋体" w:cs="宋体" w:eastAsia="宋体" w:hint="default"/>
                            <w:sz w:val="18"/>
                            <w:szCs w:val="18"/>
                          </w:rPr>
                        </w:pPr>
                        <w:r>
                          <w:rPr>
                            <w:rFonts w:ascii="宋体" w:hAnsi="宋体" w:cs="宋体" w:eastAsia="宋体" w:hint="default"/>
                            <w:sz w:val="18"/>
                            <w:szCs w:val="18"/>
                          </w:rPr>
                          <w:t>募集资 金投资 项目实 施地点 变更情 况</w:t>
                        </w:r>
                      </w:p>
                    </w:tc>
                    <w:tc>
                      <w:tcPr>
                        <w:tcW w:w="8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6" w:hRule="exact"/>
                    </w:trPr>
                    <w:tc>
                      <w:tcPr>
                        <w:tcW w:w="721" w:type="dxa"/>
                        <w:vMerge/>
                        <w:tcBorders>
                          <w:left w:val="single" w:sz="6" w:space="0" w:color="000000"/>
                          <w:right w:val="single" w:sz="6" w:space="0" w:color="000000"/>
                        </w:tcBorders>
                        <w:shd w:val="clear" w:color="auto" w:fill="D2D2D2"/>
                      </w:tcPr>
                      <w:p>
                        <w:pPr/>
                      </w:p>
                    </w:tc>
                    <w:tc>
                      <w:tcPr>
                        <w:tcW w:w="8861" w:type="dxa"/>
                        <w:tcBorders>
                          <w:top w:val="single" w:sz="6" w:space="0" w:color="000000"/>
                          <w:left w:val="single" w:sz="6" w:space="0" w:color="000000"/>
                          <w:bottom w:val="single" w:sz="6" w:space="0" w:color="000000"/>
                          <w:right w:val="single" w:sz="6" w:space="0" w:color="000000"/>
                        </w:tcBorders>
                      </w:tcPr>
                      <w:p>
                        <w:pPr/>
                      </w:p>
                    </w:tc>
                  </w:tr>
                  <w:tr>
                    <w:trPr>
                      <w:trHeight w:val="1156" w:hRule="exact"/>
                    </w:trPr>
                    <w:tc>
                      <w:tcPr>
                        <w:tcW w:w="721" w:type="dxa"/>
                        <w:vMerge/>
                        <w:tcBorders>
                          <w:left w:val="single" w:sz="6" w:space="0" w:color="000000"/>
                          <w:bottom w:val="single" w:sz="6" w:space="0" w:color="000000"/>
                          <w:right w:val="single" w:sz="6" w:space="0" w:color="000000"/>
                        </w:tcBorders>
                        <w:shd w:val="clear" w:color="auto" w:fill="D2D2D2"/>
                      </w:tcPr>
                      <w:p>
                        <w:pPr/>
                      </w:p>
                    </w:tc>
                    <w:tc>
                      <w:tcPr>
                        <w:tcW w:w="886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721" w:type="dxa"/>
                        <w:vMerge w:val="restart"/>
                        <w:tcBorders>
                          <w:top w:val="single" w:sz="6" w:space="0" w:color="000000"/>
                          <w:left w:val="single" w:sz="6" w:space="0" w:color="000000"/>
                          <w:right w:val="single" w:sz="6" w:space="0" w:color="000000"/>
                        </w:tcBorders>
                        <w:shd w:val="clear" w:color="auto" w:fill="D2D2D2"/>
                      </w:tcPr>
                      <w:p>
                        <w:pPr>
                          <w:pStyle w:val="TableParagraph"/>
                          <w:spacing w:line="319" w:lineRule="auto" w:before="44"/>
                          <w:ind w:left="15" w:right="150"/>
                          <w:jc w:val="both"/>
                          <w:rPr>
                            <w:rFonts w:ascii="宋体" w:hAnsi="宋体" w:cs="宋体" w:eastAsia="宋体" w:hint="default"/>
                            <w:sz w:val="18"/>
                            <w:szCs w:val="18"/>
                          </w:rPr>
                        </w:pPr>
                        <w:r>
                          <w:rPr>
                            <w:rFonts w:ascii="宋体" w:hAnsi="宋体" w:cs="宋体" w:eastAsia="宋体" w:hint="default"/>
                            <w:sz w:val="18"/>
                            <w:szCs w:val="18"/>
                          </w:rPr>
                          <w:t>募集资 金投资 项目实 施方式 调整情 况</w:t>
                        </w:r>
                      </w:p>
                    </w:tc>
                    <w:tc>
                      <w:tcPr>
                        <w:tcW w:w="8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5" w:hRule="exact"/>
                    </w:trPr>
                    <w:tc>
                      <w:tcPr>
                        <w:tcW w:w="721" w:type="dxa"/>
                        <w:vMerge/>
                        <w:tcBorders>
                          <w:left w:val="single" w:sz="6" w:space="0" w:color="000000"/>
                          <w:right w:val="single" w:sz="6" w:space="0" w:color="000000"/>
                        </w:tcBorders>
                        <w:shd w:val="clear" w:color="auto" w:fill="D2D2D2"/>
                      </w:tcPr>
                      <w:p>
                        <w:pPr/>
                      </w:p>
                    </w:tc>
                    <w:tc>
                      <w:tcPr>
                        <w:tcW w:w="8861" w:type="dxa"/>
                        <w:tcBorders>
                          <w:top w:val="single" w:sz="6" w:space="0" w:color="000000"/>
                          <w:left w:val="single" w:sz="6" w:space="0" w:color="000000"/>
                          <w:bottom w:val="single" w:sz="6" w:space="0" w:color="000000"/>
                          <w:right w:val="single" w:sz="6" w:space="0" w:color="000000"/>
                        </w:tcBorders>
                      </w:tcPr>
                      <w:p>
                        <w:pPr/>
                      </w:p>
                    </w:tc>
                  </w:tr>
                  <w:tr>
                    <w:trPr>
                      <w:trHeight w:val="1156" w:hRule="exact"/>
                    </w:trPr>
                    <w:tc>
                      <w:tcPr>
                        <w:tcW w:w="721" w:type="dxa"/>
                        <w:vMerge/>
                        <w:tcBorders>
                          <w:left w:val="single" w:sz="6" w:space="0" w:color="000000"/>
                          <w:bottom w:val="single" w:sz="6" w:space="0" w:color="000000"/>
                          <w:right w:val="single" w:sz="6" w:space="0" w:color="000000"/>
                        </w:tcBorders>
                        <w:shd w:val="clear" w:color="auto" w:fill="D2D2D2"/>
                      </w:tcPr>
                      <w:p>
                        <w:pPr/>
                      </w:p>
                    </w:tc>
                    <w:tc>
                      <w:tcPr>
                        <w:tcW w:w="886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721" w:type="dxa"/>
                        <w:vMerge w:val="restart"/>
                        <w:tcBorders>
                          <w:top w:val="single" w:sz="6" w:space="0" w:color="000000"/>
                          <w:left w:val="single" w:sz="6" w:space="0" w:color="000000"/>
                          <w:right w:val="single" w:sz="6" w:space="0" w:color="000000"/>
                        </w:tcBorders>
                        <w:shd w:val="clear" w:color="auto" w:fill="D2D2D2"/>
                      </w:tcPr>
                      <w:p>
                        <w:pPr>
                          <w:pStyle w:val="TableParagraph"/>
                          <w:spacing w:line="319" w:lineRule="auto" w:before="44"/>
                          <w:ind w:left="15" w:right="150"/>
                          <w:jc w:val="both"/>
                          <w:rPr>
                            <w:rFonts w:ascii="宋体" w:hAnsi="宋体" w:cs="宋体" w:eastAsia="宋体" w:hint="default"/>
                            <w:sz w:val="18"/>
                            <w:szCs w:val="18"/>
                          </w:rPr>
                        </w:pPr>
                        <w:r>
                          <w:rPr>
                            <w:rFonts w:ascii="宋体" w:hAnsi="宋体" w:cs="宋体" w:eastAsia="宋体" w:hint="default"/>
                            <w:sz w:val="18"/>
                            <w:szCs w:val="18"/>
                          </w:rPr>
                          <w:t>募集资 金投资 项目先 期投入 及置换 情况</w:t>
                        </w:r>
                      </w:p>
                    </w:tc>
                    <w:tc>
                      <w:tcPr>
                        <w:tcW w:w="8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561" w:hRule="exact"/>
                    </w:trPr>
                    <w:tc>
                      <w:tcPr>
                        <w:tcW w:w="721" w:type="dxa"/>
                        <w:vMerge/>
                        <w:tcBorders>
                          <w:left w:val="single" w:sz="6" w:space="0" w:color="000000"/>
                          <w:bottom w:val="single" w:sz="6" w:space="0" w:color="000000"/>
                          <w:right w:val="single" w:sz="6" w:space="0" w:color="000000"/>
                        </w:tcBorders>
                        <w:shd w:val="clear" w:color="auto" w:fill="D2D2D2"/>
                      </w:tcPr>
                      <w:p>
                        <w:pPr/>
                      </w:p>
                    </w:tc>
                    <w:tc>
                      <w:tcPr>
                        <w:tcW w:w="8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在募集资金到位前，本公司以自筹资金对上述募集资金项目先行投入</w:t>
                        </w:r>
                        <w:r>
                          <w:rPr>
                            <w:rFonts w:ascii="Times New Roman" w:hAnsi="Times New Roman" w:cs="Times New Roman" w:eastAsia="Times New Roman" w:hint="default"/>
                            <w:sz w:val="18"/>
                            <w:szCs w:val="18"/>
                          </w:rPr>
                          <w:t>,</w:t>
                        </w:r>
                        <w:r>
                          <w:rPr>
                            <w:rFonts w:ascii="宋体" w:hAnsi="宋体" w:cs="宋体" w:eastAsia="宋体" w:hint="default"/>
                            <w:sz w:val="18"/>
                            <w:szCs w:val="18"/>
                          </w:rPr>
                          <w:t>投资金额计人民币 </w:t>
                        </w:r>
                        <w:r>
                          <w:rPr>
                            <w:rFonts w:ascii="Times New Roman" w:hAnsi="Times New Roman" w:cs="Times New Roman" w:eastAsia="Times New Roman" w:hint="default"/>
                            <w:sz w:val="18"/>
                            <w:szCs w:val="18"/>
                          </w:rPr>
                          <w:t>82,724,577.41 </w:t>
                        </w:r>
                        <w:r>
                          <w:rPr>
                            <w:rFonts w:ascii="宋体" w:hAnsi="宋体" w:cs="宋体" w:eastAsia="宋体" w:hint="default"/>
                            <w:sz w:val="18"/>
                            <w:szCs w:val="18"/>
                          </w:rPr>
                          <w:t>元。</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2014</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日，公司第二届第五次董事会决议以募集资金转换前期投入的自筹资金。</w:t>
                        </w:r>
                      </w:p>
                    </w:tc>
                  </w:tr>
                  <w:tr>
                    <w:trPr>
                      <w:trHeight w:val="390" w:hRule="exact"/>
                    </w:trPr>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用闲置</w:t>
                        </w:r>
                      </w:p>
                    </w:tc>
                    <w:tc>
                      <w:tcPr>
                        <w:tcW w:w="8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7"/>
          <w:szCs w:val="17"/>
        </w:rPr>
      </w:pPr>
    </w:p>
    <w:p>
      <w:pPr>
        <w:pStyle w:val="BodyText"/>
        <w:spacing w:line="240" w:lineRule="auto" w:before="44"/>
        <w:ind w:left="0" w:right="1141"/>
        <w:jc w:val="right"/>
      </w:pPr>
      <w:r>
        <w:rPr/>
        <w:t>，</w:t>
      </w:r>
    </w:p>
    <w:p>
      <w:pPr>
        <w:pStyle w:val="BodyText"/>
        <w:spacing w:line="240" w:lineRule="auto" w:before="79"/>
        <w:ind w:left="0" w:right="1111"/>
        <w:jc w:val="right"/>
      </w:pPr>
      <w:r>
        <w:rPr/>
        <w:t>，</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240" w:lineRule="auto" w:before="44"/>
        <w:ind w:left="0" w:right="1142"/>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BodyText"/>
        <w:spacing w:line="240" w:lineRule="auto" w:before="59"/>
        <w:ind w:left="0" w:right="1113"/>
        <w:jc w:val="right"/>
      </w:pPr>
      <w:r>
        <w:rPr/>
        <w:t>，</w:t>
      </w:r>
    </w:p>
    <w:p>
      <w:pPr>
        <w:spacing w:after="0" w:line="240" w:lineRule="auto"/>
        <w:jc w:val="righ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721"/>
        <w:gridCol w:w="8861"/>
      </w:tblGrid>
      <w:tr>
        <w:trPr>
          <w:trHeight w:val="1606" w:hRule="exact"/>
        </w:trPr>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ind w:left="15" w:right="150"/>
              <w:jc w:val="both"/>
              <w:rPr>
                <w:rFonts w:ascii="宋体" w:hAnsi="宋体" w:cs="宋体" w:eastAsia="宋体" w:hint="default"/>
                <w:sz w:val="18"/>
                <w:szCs w:val="18"/>
              </w:rPr>
            </w:pPr>
            <w:r>
              <w:rPr>
                <w:rFonts w:ascii="宋体" w:hAnsi="宋体" w:cs="宋体" w:eastAsia="宋体" w:hint="default"/>
                <w:sz w:val="18"/>
                <w:szCs w:val="18"/>
              </w:rPr>
              <w:t>募集资 金暂时 补充流 动资金 情况</w:t>
            </w:r>
          </w:p>
        </w:tc>
        <w:tc>
          <w:tcPr>
            <w:tcW w:w="886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721" w:type="dxa"/>
            <w:vMerge w:val="restart"/>
            <w:tcBorders>
              <w:top w:val="single" w:sz="6" w:space="0" w:color="000000"/>
              <w:left w:val="single" w:sz="6" w:space="0" w:color="000000"/>
              <w:right w:val="single" w:sz="6" w:space="0" w:color="000000"/>
            </w:tcBorders>
            <w:shd w:val="clear" w:color="auto" w:fill="D2D2D2"/>
          </w:tcPr>
          <w:p>
            <w:pPr>
              <w:pStyle w:val="TableParagraph"/>
              <w:spacing w:line="319" w:lineRule="auto" w:before="45"/>
              <w:ind w:left="15" w:right="150"/>
              <w:jc w:val="both"/>
              <w:rPr>
                <w:rFonts w:ascii="宋体" w:hAnsi="宋体" w:cs="宋体" w:eastAsia="宋体" w:hint="default"/>
                <w:sz w:val="18"/>
                <w:szCs w:val="18"/>
              </w:rPr>
            </w:pPr>
            <w:r>
              <w:rPr>
                <w:rFonts w:ascii="宋体" w:hAnsi="宋体" w:cs="宋体" w:eastAsia="宋体" w:hint="default"/>
                <w:sz w:val="18"/>
                <w:szCs w:val="18"/>
              </w:rPr>
              <w:t>项目实 施出现 募集资 金结余 的金额 及原因</w:t>
            </w:r>
          </w:p>
        </w:tc>
        <w:tc>
          <w:tcPr>
            <w:tcW w:w="8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561" w:hRule="exact"/>
        </w:trPr>
        <w:tc>
          <w:tcPr>
            <w:tcW w:w="721" w:type="dxa"/>
            <w:vMerge/>
            <w:tcBorders>
              <w:left w:val="single" w:sz="6" w:space="0" w:color="000000"/>
              <w:bottom w:val="single" w:sz="6" w:space="0" w:color="000000"/>
              <w:right w:val="single" w:sz="6" w:space="0" w:color="000000"/>
            </w:tcBorders>
            <w:shd w:val="clear" w:color="auto" w:fill="D2D2D2"/>
          </w:tcPr>
          <w:p>
            <w:pPr/>
          </w:p>
        </w:tc>
        <w:tc>
          <w:tcPr>
            <w:tcW w:w="8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76" w:lineRule="auto"/>
              <w:ind w:left="30" w:right="14"/>
              <w:jc w:val="left"/>
              <w:rPr>
                <w:rFonts w:ascii="宋体" w:hAnsi="宋体" w:cs="宋体" w:eastAsia="宋体" w:hint="default"/>
                <w:sz w:val="18"/>
                <w:szCs w:val="18"/>
              </w:rPr>
            </w:pPr>
            <w:r>
              <w:rPr>
                <w:rFonts w:ascii="宋体" w:hAnsi="宋体" w:cs="宋体" w:eastAsia="宋体" w:hint="default"/>
                <w:sz w:val="18"/>
                <w:szCs w:val="18"/>
              </w:rPr>
              <w:t>募集资金结余</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648.22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万元，系募集资金存放期间产生的利息收入以及变更后的</w:t>
            </w:r>
            <w:r>
              <w:rPr>
                <w:rFonts w:ascii="Times New Roman" w:hAnsi="Times New Roman" w:cs="Times New Roman" w:eastAsia="Times New Roman" w:hint="default"/>
                <w:sz w:val="18"/>
                <w:szCs w:val="18"/>
              </w:rPr>
              <w:t>“</w:t>
            </w:r>
            <w:r>
              <w:rPr>
                <w:rFonts w:ascii="宋体" w:hAnsi="宋体" w:cs="宋体" w:eastAsia="宋体" w:hint="default"/>
                <w:sz w:val="18"/>
                <w:szCs w:val="18"/>
              </w:rPr>
              <w:t>宏思电子股权收购</w:t>
            </w:r>
            <w:r>
              <w:rPr>
                <w:rFonts w:ascii="Times New Roman" w:hAnsi="Times New Roman" w:cs="Times New Roman" w:eastAsia="Times New Roman" w:hint="default"/>
                <w:sz w:val="18"/>
                <w:szCs w:val="18"/>
              </w:rPr>
              <w:t>”</w:t>
            </w:r>
            <w:r>
              <w:rPr>
                <w:rFonts w:ascii="宋体" w:hAnsi="宋体" w:cs="宋体" w:eastAsia="宋体" w:hint="default"/>
                <w:sz w:val="18"/>
                <w:szCs w:val="18"/>
              </w:rPr>
              <w:t>项目部分人员 提前离职，减少了部分股权收购款的支付。该结余资金已补充流动资金。</w:t>
            </w:r>
          </w:p>
        </w:tc>
      </w:tr>
      <w:tr>
        <w:trPr>
          <w:trHeight w:val="1652" w:hRule="exact"/>
        </w:trPr>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15" w:right="150"/>
              <w:jc w:val="both"/>
              <w:rPr>
                <w:rFonts w:ascii="宋体" w:hAnsi="宋体" w:cs="宋体" w:eastAsia="宋体" w:hint="default"/>
                <w:sz w:val="18"/>
                <w:szCs w:val="18"/>
              </w:rPr>
            </w:pPr>
            <w:r>
              <w:rPr>
                <w:rFonts w:ascii="宋体" w:hAnsi="宋体" w:cs="宋体" w:eastAsia="宋体" w:hint="default"/>
                <w:sz w:val="18"/>
                <w:szCs w:val="18"/>
              </w:rPr>
              <w:t>尚未使 用的募 集资金 用途及 去向</w:t>
            </w:r>
          </w:p>
        </w:tc>
        <w:tc>
          <w:tcPr>
            <w:tcW w:w="8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267" w:hRule="exact"/>
        </w:trPr>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15" w:right="150"/>
              <w:jc w:val="both"/>
              <w:rPr>
                <w:rFonts w:ascii="宋体" w:hAnsi="宋体" w:cs="宋体" w:eastAsia="宋体" w:hint="default"/>
                <w:sz w:val="18"/>
                <w:szCs w:val="18"/>
              </w:rPr>
            </w:pPr>
            <w:r>
              <w:rPr>
                <w:rFonts w:ascii="宋体" w:hAnsi="宋体" w:cs="宋体" w:eastAsia="宋体" w:hint="default"/>
                <w:sz w:val="18"/>
                <w:szCs w:val="18"/>
              </w:rPr>
              <w:t>募集资 金使用 及披露 中存在 的问题 或其他 情况</w:t>
            </w:r>
          </w:p>
        </w:tc>
        <w:tc>
          <w:tcPr>
            <w:tcW w:w="8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96"/>
        <w:ind w:left="0" w:right="1110"/>
        <w:jc w:val="right"/>
      </w:pPr>
      <w:r>
        <w:rPr/>
        <w:t>单位：万元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961"/>
        <w:gridCol w:w="962"/>
        <w:gridCol w:w="946"/>
        <w:gridCol w:w="961"/>
        <w:gridCol w:w="962"/>
        <w:gridCol w:w="961"/>
        <w:gridCol w:w="961"/>
        <w:gridCol w:w="946"/>
        <w:gridCol w:w="961"/>
        <w:gridCol w:w="961"/>
      </w:tblGrid>
      <w:tr>
        <w:trPr>
          <w:trHeight w:val="1336" w:hRule="exact"/>
        </w:trPr>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4"/>
              <w:ind w:left="375" w:right="28"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4"/>
              <w:ind w:left="195" w:right="29" w:hanging="181"/>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15" w:right="15"/>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(1)</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4"/>
              <w:ind w:left="30" w:right="15"/>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328" w:lineRule="auto"/>
              <w:ind w:left="30" w:right="14"/>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321" w:lineRule="auto"/>
              <w:ind w:left="30" w:right="15"/>
              <w:jc w:val="center"/>
              <w:rPr>
                <w:rFonts w:ascii="宋体" w:hAnsi="宋体" w:cs="宋体" w:eastAsia="宋体" w:hint="default"/>
                <w:sz w:val="18"/>
                <w:szCs w:val="18"/>
              </w:rPr>
            </w:pPr>
            <w:r>
              <w:rPr>
                <w:rFonts w:ascii="宋体" w:hAnsi="宋体" w:cs="宋体" w:eastAsia="宋体" w:hint="default"/>
                <w:sz w:val="18"/>
                <w:szCs w:val="18"/>
              </w:rPr>
              <w:t>截至期末投 资进度</w:t>
            </w:r>
          </w:p>
          <w:p>
            <w:pPr>
              <w:pStyle w:val="TableParagraph"/>
              <w:spacing w:line="240" w:lineRule="auto" w:before="75"/>
              <w:ind w:left="13" w:right="0"/>
              <w:jc w:val="center"/>
              <w:rPr>
                <w:rFonts w:ascii="Times New Roman" w:hAnsi="Times New Roman" w:cs="Times New Roman" w:eastAsia="Times New Roman" w:hint="default"/>
                <w:sz w:val="18"/>
                <w:szCs w:val="18"/>
              </w:rPr>
            </w:pPr>
            <w:r>
              <w:rPr>
                <w:rFonts w:ascii="Times New Roman"/>
                <w:sz w:val="18"/>
              </w:rPr>
              <w:t>(3)=(2)/(1)</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321" w:lineRule="auto"/>
              <w:ind w:left="14" w:right="29"/>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4"/>
              <w:ind w:left="105" w:right="15"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4"/>
              <w:ind w:left="210" w:right="15" w:hanging="181"/>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30" w:right="14"/>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036" w:hRule="exact"/>
        </w:trPr>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28"/>
              <w:jc w:val="left"/>
              <w:rPr>
                <w:rFonts w:ascii="宋体" w:hAnsi="宋体" w:cs="宋体" w:eastAsia="宋体" w:hint="default"/>
                <w:sz w:val="18"/>
                <w:szCs w:val="18"/>
              </w:rPr>
            </w:pPr>
            <w:r>
              <w:rPr>
                <w:rFonts w:ascii="宋体" w:hAnsi="宋体" w:cs="宋体" w:eastAsia="宋体" w:hint="default"/>
                <w:sz w:val="18"/>
                <w:szCs w:val="18"/>
              </w:rPr>
              <w:t>宏思股权收 购</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29"/>
              <w:jc w:val="both"/>
              <w:rPr>
                <w:rFonts w:ascii="宋体" w:hAnsi="宋体" w:cs="宋体" w:eastAsia="宋体" w:hint="default"/>
                <w:sz w:val="18"/>
                <w:szCs w:val="18"/>
              </w:rPr>
            </w:pPr>
            <w:r>
              <w:rPr>
                <w:rFonts w:ascii="宋体" w:hAnsi="宋体" w:cs="宋体" w:eastAsia="宋体" w:hint="default"/>
                <w:sz w:val="18"/>
                <w:szCs w:val="18"/>
              </w:rPr>
              <w:t>身份认证云 平台建设项 目</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13,300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1,453.78</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13,300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66"/>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3,155.98</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28"/>
              <w:jc w:val="left"/>
              <w:rPr>
                <w:rFonts w:ascii="宋体" w:hAnsi="宋体" w:cs="宋体" w:eastAsia="宋体" w:hint="default"/>
                <w:sz w:val="18"/>
                <w:szCs w:val="18"/>
              </w:rPr>
            </w:pPr>
            <w:r>
              <w:rPr>
                <w:rFonts w:ascii="宋体" w:hAnsi="宋体" w:cs="宋体" w:eastAsia="宋体" w:hint="default"/>
                <w:sz w:val="18"/>
                <w:szCs w:val="18"/>
              </w:rPr>
              <w:t>宏思股权收 购</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29"/>
              <w:jc w:val="left"/>
              <w:rPr>
                <w:rFonts w:ascii="宋体" w:hAnsi="宋体" w:cs="宋体" w:eastAsia="宋体" w:hint="default"/>
                <w:sz w:val="18"/>
                <w:szCs w:val="18"/>
              </w:rPr>
            </w:pPr>
            <w:r>
              <w:rPr>
                <w:rFonts w:ascii="宋体" w:hAnsi="宋体" w:cs="宋体" w:eastAsia="宋体" w:hint="default"/>
                <w:sz w:val="18"/>
                <w:szCs w:val="18"/>
              </w:rPr>
              <w:t>技术研发中 心建设项目</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5,197.5</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5,197.5</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5,197.5</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66"/>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946"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2" w:hRule="exact"/>
        </w:trPr>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21" w:lineRule="auto"/>
              <w:ind w:left="15" w:right="28"/>
              <w:jc w:val="left"/>
              <w:rPr>
                <w:rFonts w:ascii="宋体" w:hAnsi="宋体" w:cs="宋体" w:eastAsia="宋体" w:hint="default"/>
                <w:sz w:val="18"/>
                <w:szCs w:val="18"/>
              </w:rPr>
            </w:pPr>
            <w:r>
              <w:rPr>
                <w:rFonts w:ascii="宋体" w:hAnsi="宋体" w:cs="宋体" w:eastAsia="宋体" w:hint="default"/>
                <w:sz w:val="18"/>
                <w:szCs w:val="18"/>
              </w:rPr>
              <w:t>宏思股权收 购</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60"/>
              <w:ind w:left="15" w:right="29"/>
              <w:jc w:val="left"/>
              <w:rPr>
                <w:rFonts w:ascii="宋体" w:hAnsi="宋体" w:cs="宋体" w:eastAsia="宋体" w:hint="default"/>
                <w:sz w:val="18"/>
                <w:szCs w:val="18"/>
              </w:rPr>
            </w:pPr>
            <w:r>
              <w:rPr>
                <w:rFonts w:ascii="宋体" w:hAnsi="宋体" w:cs="宋体" w:eastAsia="宋体" w:hint="default"/>
                <w:sz w:val="18"/>
                <w:szCs w:val="18"/>
              </w:rPr>
              <w:t>通用</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Java </w:t>
            </w:r>
            <w:r>
              <w:rPr>
                <w:rFonts w:ascii="宋体" w:hAnsi="宋体" w:cs="宋体" w:eastAsia="宋体" w:hint="default"/>
                <w:sz w:val="18"/>
                <w:szCs w:val="18"/>
              </w:rPr>
              <w:t>卡平台及智 能卡的研发 和产业化项 目</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1,400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1,214.96</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1,214.96</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86.78%</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66"/>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946"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spacing w:line="240" w:lineRule="auto" w:before="44"/>
        <w:ind w:left="0" w:right="1116"/>
        <w:jc w:val="right"/>
      </w:pPr>
      <w:r>
        <w:rPr/>
        <w:pict>
          <v:shape style="position:absolute;margin-left:56.325001pt;margin-top:-208.708282pt;width:480.25pt;height:361.8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61"/>
                    <w:gridCol w:w="962"/>
                    <w:gridCol w:w="946"/>
                    <w:gridCol w:w="961"/>
                    <w:gridCol w:w="962"/>
                    <w:gridCol w:w="961"/>
                    <w:gridCol w:w="961"/>
                    <w:gridCol w:w="946"/>
                    <w:gridCol w:w="961"/>
                    <w:gridCol w:w="961"/>
                  </w:tblGrid>
                  <w:tr>
                    <w:trPr>
                      <w:trHeight w:val="405" w:hRule="exact"/>
                    </w:trPr>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5" w:right="0"/>
                          <w:jc w:val="left"/>
                          <w:rPr>
                            <w:rFonts w:ascii="Times New Roman" w:hAnsi="Times New Roman" w:cs="Times New Roman" w:eastAsia="Times New Roman" w:hint="default"/>
                            <w:sz w:val="18"/>
                            <w:szCs w:val="18"/>
                          </w:rPr>
                        </w:pPr>
                        <w:r>
                          <w:rPr>
                            <w:rFonts w:ascii="Times New Roman"/>
                            <w:sz w:val="18"/>
                          </w:rPr>
                          <w:t>19,897.5</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0" w:right="0"/>
                          <w:jc w:val="left"/>
                          <w:rPr>
                            <w:rFonts w:ascii="Times New Roman" w:hAnsi="Times New Roman" w:cs="Times New Roman" w:eastAsia="Times New Roman" w:hint="default"/>
                            <w:sz w:val="18"/>
                            <w:szCs w:val="18"/>
                          </w:rPr>
                        </w:pPr>
                        <w:r>
                          <w:rPr>
                            <w:rFonts w:ascii="Times New Roman"/>
                            <w:sz w:val="18"/>
                          </w:rPr>
                          <w:t>7,866.24</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0" w:right="0"/>
                          <w:jc w:val="left"/>
                          <w:rPr>
                            <w:rFonts w:ascii="Times New Roman" w:hAnsi="Times New Roman" w:cs="Times New Roman" w:eastAsia="Times New Roman" w:hint="default"/>
                            <w:sz w:val="18"/>
                            <w:szCs w:val="18"/>
                          </w:rPr>
                        </w:pPr>
                        <w:r>
                          <w:rPr>
                            <w:rFonts w:ascii="Times New Roman"/>
                            <w:sz w:val="18"/>
                          </w:rPr>
                          <w:t>19,712.46</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5" w:right="0"/>
                          <w:jc w:val="left"/>
                          <w:rPr>
                            <w:rFonts w:ascii="Times New Roman" w:hAnsi="Times New Roman" w:cs="Times New Roman" w:eastAsia="Times New Roman" w:hint="default"/>
                            <w:sz w:val="18"/>
                            <w:szCs w:val="18"/>
                          </w:rPr>
                        </w:pPr>
                        <w:r>
                          <w:rPr>
                            <w:rFonts w:ascii="Times New Roman"/>
                            <w:sz w:val="18"/>
                          </w:rPr>
                          <w:t>3,155.98</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r>
                  <w:tr>
                    <w:trPr>
                      <w:trHeight w:val="5390" w:hRule="exact"/>
                    </w:trPr>
                    <w:tc>
                      <w:tcPr>
                        <w:tcW w:w="2869"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336" w:lineRule="auto"/>
                          <w:ind w:left="15" w:right="16"/>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713"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日，公司第二届第二十三次董事会及第二届第十六次监事会审议通过</w:t>
                        </w:r>
                      </w:p>
                      <w:p>
                        <w:pPr>
                          <w:pStyle w:val="TableParagraph"/>
                          <w:spacing w:line="319" w:lineRule="auto" w:before="51"/>
                          <w:ind w:left="29" w:right="43"/>
                          <w:jc w:val="both"/>
                          <w:rPr>
                            <w:rFonts w:ascii="宋体" w:hAnsi="宋体" w:cs="宋体" w:eastAsia="宋体" w:hint="default"/>
                            <w:sz w:val="18"/>
                            <w:szCs w:val="18"/>
                          </w:rPr>
                        </w:pPr>
                        <w:r>
                          <w:rPr>
                            <w:rFonts w:ascii="宋体" w:hAnsi="宋体" w:cs="宋体" w:eastAsia="宋体" w:hint="default"/>
                            <w:spacing w:val="-3"/>
                            <w:sz w:val="18"/>
                            <w:szCs w:val="18"/>
                          </w:rPr>
                          <w:t>《关于变更募集资金用途的议案》和《对外投资购买股权的议案》，独立董事发表了</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明确同意意见，保荐机构国信证券股份有限公司出具了专项审核意见，</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日公司召开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年第二次临时股东大会，审议通过《关于变更募集资金用途的议</w:t>
                        </w:r>
                      </w:p>
                      <w:p>
                        <w:pPr>
                          <w:pStyle w:val="TableParagraph"/>
                          <w:spacing w:line="235" w:lineRule="exact"/>
                          <w:ind w:left="29" w:right="0"/>
                          <w:jc w:val="both"/>
                          <w:rPr>
                            <w:rFonts w:ascii="宋体" w:hAnsi="宋体" w:cs="宋体" w:eastAsia="宋体" w:hint="default"/>
                            <w:sz w:val="18"/>
                            <w:szCs w:val="18"/>
                          </w:rPr>
                        </w:pPr>
                        <w:r>
                          <w:rPr>
                            <w:rFonts w:ascii="宋体" w:hAnsi="宋体" w:cs="宋体" w:eastAsia="宋体" w:hint="default"/>
                            <w:sz w:val="18"/>
                            <w:szCs w:val="18"/>
                          </w:rPr>
                          <w:t>案》和《对外投资购买股权》的议案，同意公司以募投项目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通用</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Java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卡平台及智能</w:t>
                        </w:r>
                      </w:p>
                      <w:p>
                        <w:pPr>
                          <w:pStyle w:val="TableParagraph"/>
                          <w:spacing w:line="240" w:lineRule="auto" w:before="66"/>
                          <w:ind w:left="29" w:right="0"/>
                          <w:jc w:val="both"/>
                          <w:rPr>
                            <w:rFonts w:ascii="宋体" w:hAnsi="宋体" w:cs="宋体" w:eastAsia="宋体" w:hint="default"/>
                            <w:sz w:val="18"/>
                            <w:szCs w:val="18"/>
                          </w:rPr>
                        </w:pPr>
                        <w:r>
                          <w:rPr>
                            <w:rFonts w:ascii="宋体" w:hAnsi="宋体" w:cs="宋体" w:eastAsia="宋体" w:hint="default"/>
                            <w:spacing w:val="-2"/>
                            <w:sz w:val="18"/>
                            <w:szCs w:val="18"/>
                          </w:rPr>
                          <w:t>卡的研发和产业化项目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身份认证云平台建设项目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技术研发中心建设项目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中的</w:t>
                        </w:r>
                      </w:p>
                      <w:p>
                        <w:pPr>
                          <w:pStyle w:val="TableParagraph"/>
                          <w:spacing w:line="240" w:lineRule="auto" w:before="66"/>
                          <w:ind w:left="29"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19,897.50 </w:t>
                        </w:r>
                        <w:r>
                          <w:rPr>
                            <w:rFonts w:ascii="宋体" w:hAnsi="宋体" w:cs="宋体" w:eastAsia="宋体" w:hint="default"/>
                            <w:sz w:val="18"/>
                            <w:szCs w:val="18"/>
                          </w:rPr>
                          <w:t>万元，用以购买北京宏思电子技术有限责任公司</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91.36%</w:t>
                        </w:r>
                        <w:r>
                          <w:rPr>
                            <w:rFonts w:ascii="宋体" w:hAnsi="宋体" w:cs="宋体" w:eastAsia="宋体" w:hint="default"/>
                            <w:sz w:val="18"/>
                            <w:szCs w:val="18"/>
                          </w:rPr>
                          <w:t>股权，上述项目如</w:t>
                        </w:r>
                      </w:p>
                      <w:p>
                        <w:pPr>
                          <w:pStyle w:val="TableParagraph"/>
                          <w:spacing w:line="240" w:lineRule="auto" w:before="66"/>
                          <w:ind w:left="29"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有不足部分将使用公司自有资金投入。决议文件详见公司于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pacing w:val="-3"/>
                            <w:sz w:val="18"/>
                            <w:szCs w:val="18"/>
                          </w:rPr>
                          <w:t>2016</w:t>
                        </w:r>
                      </w:p>
                      <w:p>
                        <w:pPr>
                          <w:pStyle w:val="TableParagraph"/>
                          <w:spacing w:line="240" w:lineRule="auto" w:before="66"/>
                          <w:ind w:left="29"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日发布在指定信息披露网站巨潮资讯网的公告。</w:t>
                        </w:r>
                        <w:r>
                          <w:rPr>
                            <w:rFonts w:ascii="Times New Roman" w:hAnsi="Times New Roman" w:cs="Times New Roman" w:eastAsia="Times New Roman" w:hint="default"/>
                            <w:sz w:val="18"/>
                            <w:szCs w:val="18"/>
                          </w:rPr>
                          <w:t>1.</w:t>
                        </w:r>
                        <w:r>
                          <w:rPr>
                            <w:rFonts w:ascii="宋体" w:hAnsi="宋体" w:cs="宋体" w:eastAsia="宋体" w:hint="default"/>
                            <w:sz w:val="18"/>
                            <w:szCs w:val="18"/>
                          </w:rPr>
                          <w:t>身份认证云平台建设项</w:t>
                        </w:r>
                      </w:p>
                      <w:p>
                        <w:pPr>
                          <w:pStyle w:val="TableParagraph"/>
                          <w:spacing w:line="297" w:lineRule="auto" w:before="51"/>
                          <w:ind w:left="29" w:right="1"/>
                          <w:jc w:val="both"/>
                          <w:rPr>
                            <w:rFonts w:ascii="宋体" w:hAnsi="宋体" w:cs="宋体" w:eastAsia="宋体" w:hint="default"/>
                            <w:sz w:val="18"/>
                            <w:szCs w:val="18"/>
                          </w:rPr>
                        </w:pPr>
                        <w:r>
                          <w:rPr>
                            <w:rFonts w:ascii="宋体" w:hAnsi="宋体" w:cs="宋体" w:eastAsia="宋体" w:hint="default"/>
                            <w:sz w:val="18"/>
                            <w:szCs w:val="18"/>
                          </w:rPr>
                          <w:t>目计划投入</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13,898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万元，原计划通过自建</w:t>
                        </w:r>
                        <w:r>
                          <w:rPr>
                            <w:rFonts w:ascii="Times New Roman" w:hAnsi="Times New Roman" w:cs="Times New Roman" w:eastAsia="Times New Roman" w:hint="default"/>
                            <w:sz w:val="18"/>
                            <w:szCs w:val="18"/>
                          </w:rPr>
                          <w:t>“</w:t>
                        </w:r>
                        <w:r>
                          <w:rPr>
                            <w:rFonts w:ascii="宋体" w:hAnsi="宋体" w:cs="宋体" w:eastAsia="宋体" w:hint="default"/>
                            <w:sz w:val="18"/>
                            <w:szCs w:val="18"/>
                          </w:rPr>
                          <w:t>私有云</w:t>
                        </w:r>
                        <w:r>
                          <w:rPr>
                            <w:rFonts w:ascii="Times New Roman" w:hAnsi="Times New Roman" w:cs="Times New Roman" w:eastAsia="Times New Roman" w:hint="default"/>
                            <w:sz w:val="18"/>
                            <w:szCs w:val="18"/>
                          </w:rPr>
                          <w:t>”</w:t>
                        </w:r>
                        <w:r>
                          <w:rPr>
                            <w:rFonts w:ascii="宋体" w:hAnsi="宋体" w:cs="宋体" w:eastAsia="宋体" w:hint="default"/>
                            <w:sz w:val="18"/>
                            <w:szCs w:val="18"/>
                          </w:rPr>
                          <w:t>来提供认证服务，但随着技术的发 展，</w:t>
                        </w:r>
                        <w:r>
                          <w:rPr>
                            <w:rFonts w:ascii="Times New Roman" w:hAnsi="Times New Roman" w:cs="Times New Roman" w:eastAsia="Times New Roman" w:hint="default"/>
                            <w:sz w:val="18"/>
                            <w:szCs w:val="18"/>
                          </w:rPr>
                          <w:t>“</w:t>
                        </w:r>
                        <w:r>
                          <w:rPr>
                            <w:rFonts w:ascii="宋体" w:hAnsi="宋体" w:cs="宋体" w:eastAsia="宋体" w:hint="default"/>
                            <w:sz w:val="18"/>
                            <w:szCs w:val="18"/>
                          </w:rPr>
                          <w:t>私有云</w:t>
                        </w:r>
                        <w:r>
                          <w:rPr>
                            <w:rFonts w:ascii="Times New Roman" w:hAnsi="Times New Roman" w:cs="Times New Roman" w:eastAsia="Times New Roman" w:hint="default"/>
                            <w:sz w:val="18"/>
                            <w:szCs w:val="18"/>
                          </w:rPr>
                          <w:t>”</w:t>
                        </w:r>
                        <w:r>
                          <w:rPr>
                            <w:rFonts w:ascii="宋体" w:hAnsi="宋体" w:cs="宋体" w:eastAsia="宋体" w:hint="default"/>
                            <w:sz w:val="18"/>
                            <w:szCs w:val="18"/>
                          </w:rPr>
                          <w:t>可以通过租赁</w:t>
                        </w:r>
                        <w:r>
                          <w:rPr>
                            <w:rFonts w:ascii="Times New Roman" w:hAnsi="Times New Roman" w:cs="Times New Roman" w:eastAsia="Times New Roman" w:hint="default"/>
                            <w:sz w:val="18"/>
                            <w:szCs w:val="18"/>
                          </w:rPr>
                          <w:t>“</w:t>
                        </w:r>
                        <w:r>
                          <w:rPr>
                            <w:rFonts w:ascii="宋体" w:hAnsi="宋体" w:cs="宋体" w:eastAsia="宋体" w:hint="default"/>
                            <w:sz w:val="18"/>
                            <w:szCs w:val="18"/>
                          </w:rPr>
                          <w:t>公共云</w:t>
                        </w:r>
                        <w:r>
                          <w:rPr>
                            <w:rFonts w:ascii="Times New Roman" w:hAnsi="Times New Roman" w:cs="Times New Roman" w:eastAsia="Times New Roman" w:hint="default"/>
                            <w:sz w:val="18"/>
                            <w:szCs w:val="18"/>
                          </w:rPr>
                          <w:t>”</w:t>
                        </w:r>
                        <w:r>
                          <w:rPr>
                            <w:rFonts w:ascii="宋体" w:hAnsi="宋体" w:cs="宋体" w:eastAsia="宋体" w:hint="default"/>
                            <w:sz w:val="18"/>
                            <w:szCs w:val="18"/>
                          </w:rPr>
                          <w:t>服务的方式实现，极大地降低了投入成本；该项</w:t>
                        </w:r>
                        <w:r>
                          <w:rPr>
                            <w:rFonts w:ascii="宋体" w:hAnsi="宋体" w:cs="宋体" w:eastAsia="宋体" w:hint="default"/>
                            <w:spacing w:val="-78"/>
                            <w:sz w:val="18"/>
                            <w:szCs w:val="18"/>
                          </w:rPr>
                          <w:t> </w:t>
                        </w:r>
                        <w:r>
                          <w:rPr>
                            <w:rFonts w:ascii="宋体" w:hAnsi="宋体" w:cs="宋体" w:eastAsia="宋体" w:hint="default"/>
                            <w:sz w:val="18"/>
                            <w:szCs w:val="18"/>
                          </w:rPr>
                          <w:t>目经过近两年的研发，系统功能已经得以实现，但是项目上线后在国内的推广未能达</w:t>
                        </w:r>
                      </w:p>
                      <w:p>
                        <w:pPr>
                          <w:pStyle w:val="TableParagraph"/>
                          <w:spacing w:line="290" w:lineRule="auto" w:before="51"/>
                          <w:ind w:left="29" w:right="6"/>
                          <w:jc w:val="both"/>
                          <w:rPr>
                            <w:rFonts w:ascii="宋体" w:hAnsi="宋体" w:cs="宋体" w:eastAsia="宋体" w:hint="default"/>
                            <w:sz w:val="18"/>
                            <w:szCs w:val="18"/>
                          </w:rPr>
                        </w:pPr>
                        <w:r>
                          <w:rPr>
                            <w:rFonts w:ascii="宋体" w:hAnsi="宋体" w:cs="宋体" w:eastAsia="宋体" w:hint="default"/>
                            <w:sz w:val="18"/>
                            <w:szCs w:val="18"/>
                          </w:rPr>
                          <w:t>到预期效果。</w:t>
                        </w:r>
                        <w:r>
                          <w:rPr>
                            <w:rFonts w:ascii="Times New Roman" w:hAnsi="Times New Roman" w:cs="Times New Roman" w:eastAsia="Times New Roman" w:hint="default"/>
                            <w:sz w:val="18"/>
                            <w:szCs w:val="18"/>
                          </w:rPr>
                          <w:t>2.</w:t>
                        </w:r>
                        <w:r>
                          <w:rPr>
                            <w:rFonts w:ascii="宋体" w:hAnsi="宋体" w:cs="宋体" w:eastAsia="宋体" w:hint="default"/>
                            <w:sz w:val="18"/>
                            <w:szCs w:val="18"/>
                          </w:rPr>
                          <w:t>技术研发中心建设项目，经过两年多的建设，已经基本达到预期目标 </w:t>
                        </w:r>
                        <w:r>
                          <w:rPr>
                            <w:rFonts w:ascii="Times New Roman" w:hAnsi="Times New Roman" w:cs="Times New Roman" w:eastAsia="Times New Roman" w:hint="default"/>
                            <w:sz w:val="18"/>
                            <w:szCs w:val="18"/>
                          </w:rPr>
                          <w:t>3.</w:t>
                        </w:r>
                        <w:r>
                          <w:rPr>
                            <w:rFonts w:ascii="宋体" w:hAnsi="宋体" w:cs="宋体" w:eastAsia="宋体" w:hint="default"/>
                            <w:sz w:val="18"/>
                            <w:szCs w:val="18"/>
                          </w:rPr>
                          <w:t>通用</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Java</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卡平台及智能卡的研发和产业化项目计划，经过两年多的建设，已经基本 达到预期可使用目标，但是销售情况未达到预期目标。变更上述募集资金项目有助于</w:t>
                        </w:r>
                      </w:p>
                      <w:p>
                        <w:pPr>
                          <w:pStyle w:val="TableParagraph"/>
                          <w:spacing w:line="321" w:lineRule="auto" w:before="42"/>
                          <w:ind w:left="29" w:right="6"/>
                          <w:jc w:val="both"/>
                          <w:rPr>
                            <w:rFonts w:ascii="宋体" w:hAnsi="宋体" w:cs="宋体" w:eastAsia="宋体" w:hint="default"/>
                            <w:sz w:val="18"/>
                            <w:szCs w:val="18"/>
                          </w:rPr>
                        </w:pPr>
                        <w:r>
                          <w:rPr>
                            <w:rFonts w:ascii="宋体" w:hAnsi="宋体" w:cs="宋体" w:eastAsia="宋体" w:hint="default"/>
                            <w:sz w:val="18"/>
                            <w:szCs w:val="18"/>
                          </w:rPr>
                          <w:t>提高募集资金使用效率，有利于公司的长远发展，符合公司及全体股东的利益，不存 在变相改变募集资金投向、损害股东利益的情况。</w:t>
                        </w:r>
                      </w:p>
                    </w:tc>
                  </w:tr>
                  <w:tr>
                    <w:trPr>
                      <w:trHeight w:val="720" w:hRule="exact"/>
                    </w:trPr>
                    <w:tc>
                      <w:tcPr>
                        <w:tcW w:w="2869"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before="44"/>
                          <w:ind w:left="15" w:right="136"/>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713"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05" w:hRule="exact"/>
                    </w:trPr>
                    <w:tc>
                      <w:tcPr>
                        <w:tcW w:w="2869"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136"/>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713"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3"/>
        <w:ind w:right="110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9"/>
        <w:rPr>
          <w:rFonts w:ascii="宋体" w:hAnsi="宋体" w:cs="宋体" w:eastAsia="宋体" w:hint="default"/>
          <w:b/>
          <w:bCs/>
          <w:sz w:val="25"/>
          <w:szCs w:val="25"/>
        </w:rPr>
      </w:pPr>
    </w:p>
    <w:p>
      <w:pPr>
        <w:pStyle w:val="Heading4"/>
        <w:spacing w:line="240" w:lineRule="auto"/>
        <w:ind w:right="1100"/>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5"/>
        <w:rPr>
          <w:rFonts w:ascii="宋体" w:hAnsi="宋体" w:cs="宋体" w:eastAsia="宋体" w:hint="default"/>
          <w:b/>
          <w:bCs/>
          <w:sz w:val="26"/>
          <w:szCs w:val="26"/>
        </w:rPr>
      </w:pPr>
    </w:p>
    <w:p>
      <w:pPr>
        <w:pStyle w:val="BodyText"/>
        <w:spacing w:line="333" w:lineRule="auto"/>
        <w:ind w:right="84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公司报告期未出售重大资产。</w:t>
      </w:r>
    </w:p>
    <w:p>
      <w:pPr>
        <w:spacing w:line="240" w:lineRule="auto" w:before="4"/>
        <w:rPr>
          <w:rFonts w:ascii="宋体" w:hAnsi="宋体" w:cs="宋体" w:eastAsia="宋体" w:hint="default"/>
          <w:sz w:val="23"/>
          <w:szCs w:val="23"/>
        </w:rPr>
      </w:pPr>
    </w:p>
    <w:p>
      <w:pPr>
        <w:pStyle w:val="Heading4"/>
        <w:spacing w:line="240" w:lineRule="auto"/>
        <w:ind w:right="1100"/>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110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9"/>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50"/>
          <w:pgMar w:header="731" w:footer="981" w:top="1040" w:bottom="1180" w:left="100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96"/>
        <w:ind w:right="-19"/>
        <w:jc w:val="left"/>
      </w:pPr>
      <w:r>
        <w:rPr/>
        <w:t>主要子公司及对公司净利润影响达</w:t>
      </w:r>
      <w:r>
        <w:rPr>
          <w:spacing w:val="-42"/>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pStyle w:val="BodyText"/>
        <w:spacing w:line="240" w:lineRule="auto"/>
        <w:ind w:right="0"/>
        <w:jc w:val="left"/>
      </w:pPr>
      <w:r>
        <w:rPr/>
        <w:t>单位：元</w:t>
      </w:r>
    </w:p>
    <w:p>
      <w:pPr>
        <w:spacing w:after="0" w:line="240" w:lineRule="auto"/>
        <w:jc w:val="left"/>
        <w:sectPr>
          <w:type w:val="continuous"/>
          <w:pgSz w:w="11910" w:h="16850"/>
          <w:pgMar w:top="1040" w:bottom="1180" w:left="1000" w:right="0"/>
          <w:cols w:num="2" w:equalWidth="0">
            <w:col w:w="4841" w:space="4095"/>
            <w:col w:w="1974"/>
          </w:cols>
        </w:sectPr>
      </w:pP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051"/>
        <w:gridCol w:w="1202"/>
        <w:gridCol w:w="1037"/>
        <w:gridCol w:w="1051"/>
        <w:gridCol w:w="1051"/>
        <w:gridCol w:w="1037"/>
        <w:gridCol w:w="1051"/>
        <w:gridCol w:w="1051"/>
        <w:gridCol w:w="1051"/>
      </w:tblGrid>
      <w:tr>
        <w:trPr>
          <w:trHeight w:val="405" w:hRule="exact"/>
        </w:trPr>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40"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0"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64"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55"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5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65"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r>
    </w:tbl>
    <w:p>
      <w:pPr>
        <w:spacing w:after="0" w:line="240" w:lineRule="auto"/>
        <w:jc w:val="left"/>
        <w:rPr>
          <w:rFonts w:ascii="宋体" w:hAnsi="宋体" w:cs="宋体" w:eastAsia="宋体" w:hint="default"/>
          <w:sz w:val="18"/>
          <w:szCs w:val="18"/>
        </w:rPr>
        <w:sectPr>
          <w:type w:val="continuous"/>
          <w:pgSz w:w="11910" w:h="16850"/>
          <w:pgMar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051"/>
        <w:gridCol w:w="1202"/>
        <w:gridCol w:w="1052"/>
        <w:gridCol w:w="1036"/>
        <w:gridCol w:w="1051"/>
        <w:gridCol w:w="1052"/>
        <w:gridCol w:w="1036"/>
        <w:gridCol w:w="1051"/>
        <w:gridCol w:w="1051"/>
      </w:tblGrid>
      <w:tr>
        <w:trPr>
          <w:trHeight w:val="1020"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18"/>
              <w:jc w:val="both"/>
              <w:rPr>
                <w:rFonts w:ascii="宋体" w:hAnsi="宋体" w:cs="宋体" w:eastAsia="宋体" w:hint="default"/>
                <w:sz w:val="18"/>
                <w:szCs w:val="18"/>
              </w:rPr>
            </w:pPr>
            <w:r>
              <w:rPr>
                <w:rFonts w:ascii="宋体" w:hAnsi="宋体" w:cs="宋体" w:eastAsia="宋体" w:hint="default"/>
                <w:sz w:val="18"/>
                <w:szCs w:val="18"/>
              </w:rPr>
              <w:t>北京宏思电 子技术有限 责任公司</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20"/>
              <w:jc w:val="both"/>
              <w:rPr>
                <w:rFonts w:ascii="宋体" w:hAnsi="宋体" w:cs="宋体" w:eastAsia="宋体" w:hint="default"/>
                <w:sz w:val="18"/>
                <w:szCs w:val="18"/>
              </w:rPr>
            </w:pPr>
            <w:r>
              <w:rPr>
                <w:rFonts w:ascii="宋体" w:hAnsi="宋体" w:cs="宋体" w:eastAsia="宋体" w:hint="default"/>
                <w:sz w:val="18"/>
                <w:szCs w:val="18"/>
              </w:rPr>
              <w:t>电子产品销 售、信息电 子技术服务</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14,520,000.0</w:t>
            </w:r>
          </w:p>
          <w:p>
            <w:pPr>
              <w:pStyle w:val="TableParagraph"/>
              <w:spacing w:line="240" w:lineRule="auto" w:before="108"/>
              <w:ind w:left="14" w:right="0"/>
              <w:jc w:val="left"/>
              <w:rPr>
                <w:rFonts w:ascii="Times New Roman" w:hAnsi="Times New Roman" w:cs="Times New Roman" w:eastAsia="Times New Roman" w:hint="default"/>
                <w:sz w:val="18"/>
                <w:szCs w:val="18"/>
              </w:rPr>
            </w:pPr>
            <w:r>
              <w:rPr>
                <w:rFonts w:ascii="Times New Roman"/>
                <w:sz w:val="18"/>
              </w:rPr>
              <w:t>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179,078,982.</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19</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156,228,091.</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41</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119,558,422.</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18</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29,229,192.9</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5</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29,719,633.2</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5</w:t>
            </w:r>
          </w:p>
        </w:tc>
      </w:tr>
      <w:tr>
        <w:trPr>
          <w:trHeight w:val="1021"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118"/>
              <w:jc w:val="left"/>
              <w:rPr>
                <w:rFonts w:ascii="宋体" w:hAnsi="宋体" w:cs="宋体" w:eastAsia="宋体" w:hint="default"/>
                <w:sz w:val="18"/>
                <w:szCs w:val="18"/>
              </w:rPr>
            </w:pPr>
            <w:r>
              <w:rPr>
                <w:rFonts w:ascii="宋体" w:hAnsi="宋体" w:cs="宋体" w:eastAsia="宋体" w:hint="default"/>
                <w:sz w:val="18"/>
                <w:szCs w:val="18"/>
              </w:rPr>
              <w:t>飞天香港有 限公司</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120"/>
              <w:jc w:val="both"/>
              <w:rPr>
                <w:rFonts w:ascii="宋体" w:hAnsi="宋体" w:cs="宋体" w:eastAsia="宋体" w:hint="default"/>
                <w:sz w:val="18"/>
                <w:szCs w:val="18"/>
              </w:rPr>
            </w:pPr>
            <w:r>
              <w:rPr>
                <w:rFonts w:ascii="宋体" w:hAnsi="宋体" w:cs="宋体" w:eastAsia="宋体" w:hint="default"/>
                <w:sz w:val="18"/>
                <w:szCs w:val="18"/>
              </w:rPr>
              <w:t>电子产品销 售、信息电 子技术服务</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31,725,500.0</w:t>
            </w:r>
          </w:p>
          <w:p>
            <w:pPr>
              <w:pStyle w:val="TableParagraph"/>
              <w:spacing w:line="240" w:lineRule="auto" w:before="108"/>
              <w:ind w:left="14" w:right="0"/>
              <w:jc w:val="left"/>
              <w:rPr>
                <w:rFonts w:ascii="Times New Roman" w:hAnsi="Times New Roman" w:cs="Times New Roman" w:eastAsia="Times New Roman" w:hint="default"/>
                <w:sz w:val="18"/>
                <w:szCs w:val="18"/>
              </w:rPr>
            </w:pPr>
            <w:r>
              <w:rPr>
                <w:rFonts w:ascii="Times New Roman"/>
                <w:sz w:val="18"/>
              </w:rPr>
              <w:t>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58,134,948.3</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5</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53,227,138.1</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9</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23,115,962.6</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7</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12,606,630.7</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4</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10,752,141.0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8</w:t>
            </w:r>
          </w:p>
        </w:tc>
      </w:tr>
    </w:tbl>
    <w:p>
      <w:pPr>
        <w:pStyle w:val="BodyText"/>
        <w:spacing w:line="240" w:lineRule="auto" w:before="45"/>
        <w:ind w:right="1100"/>
        <w:jc w:val="left"/>
      </w:pPr>
      <w:r>
        <w:rPr/>
        <w:t>报告期内取得和处置子公司的情况</w:t>
      </w:r>
    </w:p>
    <w:p>
      <w:pPr>
        <w:pStyle w:val="BodyText"/>
        <w:spacing w:line="240" w:lineRule="auto" w:before="139"/>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飞天万谷智能科技有限公司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91"/>
              <w:jc w:val="left"/>
              <w:rPr>
                <w:rFonts w:ascii="宋体" w:hAnsi="宋体" w:cs="宋体" w:eastAsia="宋体" w:hint="default"/>
                <w:sz w:val="18"/>
                <w:szCs w:val="18"/>
              </w:rPr>
            </w:pPr>
            <w:r>
              <w:rPr>
                <w:rFonts w:ascii="宋体" w:hAnsi="宋体" w:cs="宋体" w:eastAsia="宋体" w:hint="default"/>
                <w:sz w:val="18"/>
                <w:szCs w:val="18"/>
              </w:rPr>
              <w:t>对公司整体生产经营和业绩不产生重大 影响。</w:t>
            </w:r>
          </w:p>
        </w:tc>
      </w:tr>
    </w:tbl>
    <w:p>
      <w:pPr>
        <w:pStyle w:val="BodyText"/>
        <w:spacing w:line="240" w:lineRule="auto" w:before="45"/>
        <w:ind w:right="1100"/>
        <w:jc w:val="left"/>
      </w:pPr>
      <w:r>
        <w:rPr/>
        <w:t>主要控股参股公司情况说明</w:t>
      </w:r>
    </w:p>
    <w:p>
      <w:pPr>
        <w:spacing w:line="240" w:lineRule="auto" w:before="13"/>
        <w:rPr>
          <w:rFonts w:ascii="宋体" w:hAnsi="宋体" w:cs="宋体" w:eastAsia="宋体" w:hint="default"/>
          <w:sz w:val="25"/>
          <w:szCs w:val="25"/>
        </w:rPr>
      </w:pPr>
    </w:p>
    <w:p>
      <w:pPr>
        <w:pStyle w:val="Heading2"/>
        <w:spacing w:line="240" w:lineRule="auto"/>
        <w:ind w:right="1100"/>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1100"/>
        <w:jc w:val="left"/>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before="0"/>
        <w:ind w:left="666" w:right="1100"/>
        <w:jc w:val="left"/>
        <w:rPr>
          <w:b w:val="0"/>
          <w:bCs w:val="0"/>
        </w:rPr>
      </w:pPr>
      <w:r>
        <w:rPr/>
        <w:t>一、市场概况</w:t>
      </w:r>
      <w:r>
        <w:rPr>
          <w:b w:val="0"/>
          <w:bCs w:val="0"/>
        </w:rPr>
      </w:r>
    </w:p>
    <w:p>
      <w:pPr>
        <w:pStyle w:val="BodyText"/>
        <w:spacing w:line="288" w:lineRule="auto" w:before="95"/>
        <w:ind w:right="1084" w:firstLine="525"/>
        <w:jc w:val="left"/>
      </w:pPr>
      <w:r>
        <w:rPr/>
        <w:t>信息安全是</w:t>
      </w:r>
      <w:r>
        <w:rPr>
          <w:rFonts w:ascii="Times New Roman" w:hAnsi="Times New Roman" w:cs="Times New Roman" w:eastAsia="Times New Roman" w:hint="default"/>
        </w:rPr>
        <w:t>IT</w:t>
      </w:r>
      <w:r>
        <w:rPr/>
        <w:t>系统的</w:t>
      </w:r>
      <w:r>
        <w:rPr>
          <w:rFonts w:ascii="Times New Roman" w:hAnsi="Times New Roman" w:cs="Times New Roman" w:eastAsia="Times New Roman" w:hint="default"/>
        </w:rPr>
        <w:t>“</w:t>
      </w:r>
      <w:r>
        <w:rPr/>
        <w:t>稳定器</w:t>
      </w:r>
      <w:r>
        <w:rPr>
          <w:rFonts w:ascii="Times New Roman" w:hAnsi="Times New Roman" w:cs="Times New Roman" w:eastAsia="Times New Roman" w:hint="default"/>
        </w:rPr>
        <w:t>”</w:t>
      </w:r>
      <w:r>
        <w:rPr/>
        <w:t>，是</w:t>
      </w:r>
      <w:r>
        <w:rPr>
          <w:rFonts w:ascii="Times New Roman" w:hAnsi="Times New Roman" w:cs="Times New Roman" w:eastAsia="Times New Roman" w:hint="default"/>
        </w:rPr>
        <w:t>IT</w:t>
      </w:r>
      <w:r>
        <w:rPr/>
        <w:t>系统得以正常运行的基础和保证，在政务、金融、医疗、能源、交通以及居民个 人生活中，都发挥的重要的作用。</w:t>
      </w:r>
    </w:p>
    <w:p>
      <w:pPr>
        <w:pStyle w:val="BodyText"/>
        <w:spacing w:line="288" w:lineRule="auto" w:before="59"/>
        <w:ind w:right="1031" w:firstLine="525"/>
        <w:jc w:val="left"/>
      </w:pPr>
      <w:r>
        <w:rPr/>
        <w:t>自</w:t>
      </w:r>
      <w:r>
        <w:rPr>
          <w:rFonts w:ascii="Times New Roman" w:hAnsi="Times New Roman" w:cs="Times New Roman" w:eastAsia="Times New Roman" w:hint="default"/>
        </w:rPr>
        <w:t>“</w:t>
      </w:r>
      <w:r>
        <w:rPr/>
        <w:t>十五</w:t>
      </w:r>
      <w:r>
        <w:rPr>
          <w:rFonts w:ascii="Times New Roman" w:hAnsi="Times New Roman" w:cs="Times New Roman" w:eastAsia="Times New Roman" w:hint="default"/>
        </w:rPr>
        <w:t>”</w:t>
      </w:r>
      <w:r>
        <w:rPr/>
        <w:t>规划以来，连续四个五年规划中，均将信息安全保障体系建设列为重要内容。相关机构发布了一系列的政策 </w:t>
      </w:r>
      <w:r>
        <w:rPr>
          <w:spacing w:val="-6"/>
          <w:w w:val="100"/>
        </w:rPr>
        <w:t>文件推动信息安全发展，例如《国家安全法》、《网络安全法》、《国家网络空间安全战略》、《</w:t>
      </w:r>
      <w:r>
        <w:rPr>
          <w:rFonts w:ascii="Times New Roman" w:hAnsi="Times New Roman" w:cs="Times New Roman" w:eastAsia="Times New Roman" w:hint="default"/>
          <w:spacing w:val="-6"/>
          <w:w w:val="100"/>
        </w:rPr>
        <w:t>“</w:t>
      </w:r>
      <w:r>
        <w:rPr>
          <w:spacing w:val="-6"/>
          <w:w w:val="100"/>
        </w:rPr>
        <w:t>十三五</w:t>
      </w:r>
      <w:r>
        <w:rPr>
          <w:rFonts w:ascii="Times New Roman" w:hAnsi="Times New Roman" w:cs="Times New Roman" w:eastAsia="Times New Roman" w:hint="default"/>
          <w:spacing w:val="-6"/>
          <w:w w:val="100"/>
        </w:rPr>
        <w:t>”</w:t>
      </w:r>
      <w:r>
        <w:rPr>
          <w:spacing w:val="-6"/>
          <w:w w:val="100"/>
        </w:rPr>
        <w:t>国家信息化规划》、</w:t>
      </w:r>
    </w:p>
    <w:p>
      <w:pPr>
        <w:pStyle w:val="BodyText"/>
        <w:spacing w:line="297" w:lineRule="auto" w:before="26"/>
        <w:ind w:right="1128"/>
        <w:jc w:val="both"/>
      </w:pPr>
      <w:r>
        <w:rPr>
          <w:spacing w:val="-2"/>
        </w:rPr>
        <w:t>《软件和信息技术服务业发展规划</w:t>
      </w:r>
      <w:r>
        <w:rPr>
          <w:rFonts w:ascii="Times New Roman" w:hAnsi="Times New Roman" w:cs="Times New Roman" w:eastAsia="Times New Roman" w:hint="default"/>
          <w:spacing w:val="-2"/>
        </w:rPr>
        <w:t>(2016-2020)</w:t>
      </w:r>
      <w:r>
        <w:rPr>
          <w:spacing w:val="-2"/>
        </w:rPr>
        <w:t>年》、《信息通信网络与信息安全规划</w:t>
      </w:r>
      <w:r>
        <w:rPr>
          <w:rFonts w:ascii="Times New Roman" w:hAnsi="Times New Roman" w:cs="Times New Roman" w:eastAsia="Times New Roman" w:hint="default"/>
          <w:spacing w:val="-2"/>
        </w:rPr>
        <w:t>(2016-2020)</w:t>
      </w:r>
      <w:r>
        <w:rPr>
          <w:spacing w:val="-2"/>
        </w:rPr>
        <w:t>年》、《信息安全技术网络</w:t>
      </w:r>
      <w:r>
        <w:rPr>
          <w:spacing w:val="-44"/>
        </w:rPr>
        <w:t> </w:t>
      </w:r>
      <w:r>
        <w:rPr>
          <w:spacing w:val="-44"/>
        </w:rPr>
      </w:r>
      <w:r>
        <w:rPr/>
        <w:t>安全等级保护基本要求》（等保</w:t>
      </w:r>
      <w:r>
        <w:rPr>
          <w:rFonts w:ascii="Times New Roman" w:hAnsi="Times New Roman" w:cs="Times New Roman" w:eastAsia="Times New Roman" w:hint="default"/>
        </w:rPr>
        <w:t>2.0</w:t>
      </w:r>
      <w:r>
        <w:rPr/>
        <w:t>）等重要法规政策。这一系列重要文件的出台从顶层层面确立了网络安全在国家信息化</w:t>
      </w:r>
      <w:r>
        <w:rPr>
          <w:spacing w:val="-46"/>
        </w:rPr>
        <w:t> </w:t>
      </w:r>
      <w:r>
        <w:rPr>
          <w:spacing w:val="-46"/>
        </w:rPr>
      </w:r>
      <w:r>
        <w:rPr/>
        <w:t>战略中的重要地位，并带动政府、电信、金融、能源等信息敏感且信息化程度较高行业在信息安全方面的需求增长。</w:t>
      </w:r>
    </w:p>
    <w:p>
      <w:pPr>
        <w:pStyle w:val="BodyText"/>
        <w:spacing w:line="288" w:lineRule="auto" w:before="51"/>
        <w:ind w:right="1088" w:firstLine="525"/>
        <w:jc w:val="left"/>
      </w:pPr>
      <w:r>
        <w:rPr>
          <w:spacing w:val="-4"/>
        </w:rPr>
        <w:t>在国家政策的推动下，我国信息安全行业保持较快增长，根据工信部《</w:t>
      </w:r>
      <w:r>
        <w:rPr>
          <w:rFonts w:ascii="Times New Roman" w:hAnsi="Times New Roman" w:cs="Times New Roman" w:eastAsia="Times New Roman" w:hint="default"/>
          <w:spacing w:val="-4"/>
        </w:rPr>
        <w:t>2019</w:t>
      </w:r>
      <w:r>
        <w:rPr>
          <w:spacing w:val="-4"/>
        </w:rPr>
        <w:t>年软件和信息技术服务业统计公报》，</w:t>
      </w:r>
      <w:r>
        <w:rPr>
          <w:rFonts w:ascii="Times New Roman" w:hAnsi="Times New Roman" w:cs="Times New Roman" w:eastAsia="Times New Roman" w:hint="default"/>
          <w:spacing w:val="-4"/>
        </w:rPr>
        <w:t>2019</w:t>
      </w:r>
      <w:r>
        <w:rPr>
          <w:rFonts w:ascii="Times New Roman" w:hAnsi="Times New Roman" w:cs="Times New Roman" w:eastAsia="Times New Roman" w:hint="default"/>
        </w:rPr>
        <w:t> </w:t>
      </w:r>
      <w:r>
        <w:rPr/>
        <w:t>年，信息安全产品和服务实现收入</w:t>
      </w:r>
      <w:r>
        <w:rPr>
          <w:rFonts w:ascii="Times New Roman" w:hAnsi="Times New Roman" w:cs="Times New Roman" w:eastAsia="Times New Roman" w:hint="default"/>
        </w:rPr>
        <w:t>1,308</w:t>
      </w:r>
      <w:r>
        <w:rPr/>
        <w:t>亿元，同比增长</w:t>
      </w:r>
      <w:r>
        <w:rPr>
          <w:rFonts w:ascii="Times New Roman" w:hAnsi="Times New Roman" w:cs="Times New Roman" w:eastAsia="Times New Roman" w:hint="default"/>
        </w:rPr>
        <w:t>12.4%</w:t>
      </w:r>
      <w:r>
        <w:rPr/>
        <w:t>。</w:t>
      </w:r>
    </w:p>
    <w:p>
      <w:pPr>
        <w:pStyle w:val="BodyText"/>
        <w:spacing w:line="304" w:lineRule="auto" w:before="26"/>
        <w:ind w:right="0" w:firstLine="525"/>
        <w:jc w:val="left"/>
      </w:pPr>
      <w:r>
        <w:rPr>
          <w:rFonts w:ascii="Times New Roman" w:hAnsi="Times New Roman" w:cs="Times New Roman" w:eastAsia="Times New Roman" w:hint="default"/>
        </w:rPr>
        <w:t>5G</w:t>
      </w:r>
      <w:r>
        <w:rPr/>
        <w:t>、物联网技术的发展创新，深刻改变了传统的产业形态和社会生活方式，催生了信息安全产业在产品、服务、模 式上的创新。物联网作为</w:t>
      </w:r>
      <w:r>
        <w:rPr>
          <w:rFonts w:ascii="Times New Roman" w:hAnsi="Times New Roman" w:cs="Times New Roman" w:eastAsia="Times New Roman" w:hint="default"/>
        </w:rPr>
        <w:t>5G</w:t>
      </w:r>
      <w:r>
        <w:rPr/>
        <w:t>的经典应用场景，以</w:t>
      </w:r>
      <w:r>
        <w:rPr>
          <w:rFonts w:ascii="Times New Roman" w:hAnsi="Times New Roman" w:cs="Times New Roman" w:eastAsia="Times New Roman" w:hint="default"/>
        </w:rPr>
        <w:t>“</w:t>
      </w:r>
      <w:r>
        <w:rPr/>
        <w:t>万物互联</w:t>
      </w:r>
      <w:r>
        <w:rPr>
          <w:rFonts w:ascii="Times New Roman" w:hAnsi="Times New Roman" w:cs="Times New Roman" w:eastAsia="Times New Roman" w:hint="default"/>
        </w:rPr>
        <w:t>”</w:t>
      </w:r>
      <w:r>
        <w:rPr/>
        <w:t>为特征，与</w:t>
      </w:r>
      <w:r>
        <w:rPr>
          <w:rFonts w:ascii="Times New Roman" w:hAnsi="Times New Roman" w:cs="Times New Roman" w:eastAsia="Times New Roman" w:hint="default"/>
        </w:rPr>
        <w:t>4G</w:t>
      </w:r>
      <w:r>
        <w:rPr/>
        <w:t>时代的一个不同是，除了应用于家庭用消费电子</w:t>
      </w:r>
      <w:r>
        <w:rPr>
          <w:spacing w:val="-58"/>
        </w:rPr>
        <w:t> </w:t>
      </w:r>
      <w:r>
        <w:rPr>
          <w:spacing w:val="-58"/>
        </w:rPr>
      </w:r>
      <w:r>
        <w:rPr>
          <w:spacing w:val="-2"/>
        </w:rPr>
        <w:t>设备之外，物联网设备将广泛应用于市政公用设施、大型制造业、能源产业、农业等部门，随着数以亿计的工业、农业、公</w:t>
      </w:r>
      <w:r>
        <w:rPr>
          <w:spacing w:val="-73"/>
        </w:rPr>
        <w:t> </w:t>
      </w:r>
      <w:r>
        <w:rPr>
          <w:spacing w:val="-73"/>
        </w:rPr>
      </w:r>
      <w:r>
        <w:rPr>
          <w:spacing w:val="-2"/>
        </w:rPr>
        <w:t>用设施等设备接入物联网，其产业规模将呈现指数级的增长，但是后者极其容易成为被入侵和控制的目标，因此如何保护基</w:t>
      </w:r>
      <w:r>
        <w:rPr>
          <w:spacing w:val="-75"/>
        </w:rPr>
        <w:t> </w:t>
      </w:r>
      <w:r>
        <w:rPr>
          <w:spacing w:val="-75"/>
        </w:rPr>
      </w:r>
      <w:r>
        <w:rPr/>
        <w:t>础的网络环境，如何保护物联网设备、网络以及应用平台的安全使用，已经成为新的社会问题，同时也催生了物联网安全产</w:t>
      </w:r>
    </w:p>
    <w:p>
      <w:pPr>
        <w:pStyle w:val="BodyText"/>
        <w:spacing w:line="304" w:lineRule="auto" w:before="46"/>
        <w:ind w:left="561" w:right="0" w:hanging="421"/>
        <w:jc w:val="left"/>
      </w:pPr>
      <w:r>
        <w:rPr>
          <w:spacing w:val="-4"/>
        </w:rPr>
        <w:t>业的发展。根据赛迪顾问《</w:t>
      </w:r>
      <w:r>
        <w:rPr>
          <w:rFonts w:ascii="Times New Roman" w:hAnsi="Times New Roman" w:cs="Times New Roman" w:eastAsia="Times New Roman" w:hint="default"/>
          <w:spacing w:val="-4"/>
        </w:rPr>
        <w:t>2019</w:t>
      </w:r>
      <w:r>
        <w:rPr>
          <w:spacing w:val="-4"/>
        </w:rPr>
        <w:t>中国网络发展白皮书》的统计，预计到</w:t>
      </w:r>
      <w:r>
        <w:rPr>
          <w:rFonts w:ascii="Times New Roman" w:hAnsi="Times New Roman" w:cs="Times New Roman" w:eastAsia="Times New Roman" w:hint="default"/>
          <w:spacing w:val="-4"/>
        </w:rPr>
        <w:t>2021</w:t>
      </w:r>
      <w:r>
        <w:rPr>
          <w:spacing w:val="-4"/>
        </w:rPr>
        <w:t>年，全国物联网安全市场规模将达到</w:t>
      </w:r>
      <w:r>
        <w:rPr>
          <w:rFonts w:ascii="Times New Roman" w:hAnsi="Times New Roman" w:cs="Times New Roman" w:eastAsia="Times New Roman" w:hint="default"/>
          <w:spacing w:val="-4"/>
        </w:rPr>
        <w:t>301.4</w:t>
      </w:r>
      <w:r>
        <w:rPr>
          <w:spacing w:val="-4"/>
        </w:rPr>
        <w:t>亿元。。</w:t>
      </w:r>
      <w:r>
        <w:rPr>
          <w:spacing w:val="-34"/>
        </w:rPr>
        <w:t> </w:t>
      </w:r>
      <w:r>
        <w:rPr>
          <w:spacing w:val="-34"/>
        </w:rPr>
      </w:r>
      <w:r>
        <w:rPr>
          <w:rFonts w:ascii="宋体" w:hAnsi="宋体" w:cs="宋体" w:eastAsia="宋体" w:hint="default"/>
          <w:b/>
          <w:bCs/>
        </w:rPr>
        <w:t>二、公司未来经营计划</w:t>
      </w:r>
      <w:r>
        <w:rPr>
          <w:rFonts w:ascii="宋体" w:hAnsi="宋体" w:cs="宋体" w:eastAsia="宋体" w:hint="default"/>
          <w:b/>
          <w:bCs/>
          <w:w w:val="99"/>
        </w:rPr>
        <w:t> </w:t>
      </w:r>
      <w:r>
        <w:rPr/>
        <w:t>随着移动互联网和智能手机的大规模普及，用户对产品易用性与去介质化（去硬件化）要求逐渐提高，公司传统产品</w:t>
      </w:r>
    </w:p>
    <w:p>
      <w:pPr>
        <w:pStyle w:val="BodyText"/>
        <w:spacing w:line="276" w:lineRule="auto" w:before="46"/>
        <w:ind w:right="1098"/>
        <w:jc w:val="left"/>
      </w:pPr>
      <w:r>
        <w:rPr>
          <w:rFonts w:ascii="Times New Roman" w:hAnsi="Times New Roman" w:cs="Times New Roman" w:eastAsia="Times New Roman" w:hint="default"/>
        </w:rPr>
        <w:t>USBKey</w:t>
      </w:r>
      <w:r>
        <w:rPr/>
        <w:t>和动态令牌产品的的需求已经开始萎缩，加之市场过度竞争，售价也一直处于下降趋势，从而很大程度影响了公司</w:t>
      </w:r>
      <w:r>
        <w:rPr>
          <w:spacing w:val="-83"/>
        </w:rPr>
        <w:t> </w:t>
      </w:r>
      <w:r>
        <w:rPr/>
        <w:t>的经营业绩。</w:t>
      </w:r>
    </w:p>
    <w:p>
      <w:pPr>
        <w:pStyle w:val="BodyText"/>
        <w:spacing w:line="295" w:lineRule="auto" w:before="67"/>
        <w:ind w:right="0" w:firstLine="420"/>
        <w:jc w:val="left"/>
      </w:pPr>
      <w:r>
        <w:rPr/>
        <w:t>公司自</w:t>
      </w:r>
      <w:r>
        <w:rPr>
          <w:rFonts w:ascii="Times New Roman" w:hAnsi="Times New Roman" w:cs="Times New Roman" w:eastAsia="Times New Roman" w:hint="default"/>
        </w:rPr>
        <w:t>2016</w:t>
      </w:r>
      <w:r>
        <w:rPr/>
        <w:t>年收购北京宏思后，进入公司上游的芯片制造行业，通过整合公司在软件、市场等资源上的优势，公司在 </w:t>
      </w:r>
      <w:r>
        <w:rPr>
          <w:spacing w:val="-3"/>
          <w:w w:val="99"/>
        </w:rPr>
        <w:t>随机数芯片、专用高性能密码算法芯片和商用信息安全</w:t>
      </w:r>
      <w:r>
        <w:rPr>
          <w:rFonts w:ascii="Times New Roman" w:hAnsi="Times New Roman" w:cs="Times New Roman" w:eastAsia="Times New Roman" w:hint="default"/>
          <w:spacing w:val="-3"/>
          <w:w w:val="99"/>
        </w:rPr>
        <w:t>SOC</w:t>
      </w:r>
      <w:r>
        <w:rPr>
          <w:spacing w:val="-3"/>
          <w:w w:val="99"/>
        </w:rPr>
        <w:t>芯片的开发和销售方面取得了比较明显的进步，较公司传统产品，</w:t>
      </w:r>
      <w:r>
        <w:rPr>
          <w:spacing w:val="-76"/>
          <w:w w:val="99"/>
        </w:rPr>
        <w:t> </w:t>
      </w:r>
      <w:r>
        <w:rPr>
          <w:spacing w:val="-76"/>
          <w:w w:val="99"/>
        </w:rPr>
      </w:r>
      <w:r>
        <w:rPr/>
        <w:t>芯片产品的市场空间、毛利率水平均较高。</w:t>
      </w:r>
    </w:p>
    <w:p>
      <w:pPr>
        <w:pStyle w:val="BodyText"/>
        <w:spacing w:line="240" w:lineRule="auto" w:before="38"/>
        <w:ind w:left="561" w:right="1100"/>
        <w:jc w:val="left"/>
      </w:pPr>
      <w:r>
        <w:rPr/>
        <w:t>因此公司计划进一步加大在芯片，尤其是安全芯片领域的研发和产业化工作，逐步开发若干款信息安全专用芯片，有</w:t>
      </w:r>
    </w:p>
    <w:p>
      <w:pPr>
        <w:spacing w:after="0" w:line="240"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288" w:lineRule="auto" w:before="44"/>
        <w:ind w:left="561" w:right="1100" w:hanging="421"/>
        <w:jc w:val="left"/>
      </w:pPr>
      <w:r>
        <w:rPr/>
        <w:t>针对性地面向</w:t>
      </w:r>
      <w:r>
        <w:rPr>
          <w:rFonts w:ascii="Times New Roman" w:hAnsi="Times New Roman" w:cs="Times New Roman" w:eastAsia="Times New Roman" w:hint="default"/>
        </w:rPr>
        <w:t>5G</w:t>
      </w:r>
      <w:r>
        <w:rPr/>
        <w:t>、互联网、区块链、数字货币等新场景的交易安全、运行安全领域，逐步实现向产业链上游的过渡。</w:t>
      </w:r>
      <w:r>
        <w:rPr>
          <w:spacing w:val="-85"/>
        </w:rPr>
        <w:t> </w:t>
      </w:r>
      <w:r>
        <w:rPr/>
        <w:t>随着移动互联网市场迅速发展，移动支付带来的信息安全问题日益凸显，在各种攻击手段层出不穷的情况下，网络身</w:t>
      </w:r>
    </w:p>
    <w:p>
      <w:pPr>
        <w:pStyle w:val="BodyText"/>
        <w:spacing w:line="314" w:lineRule="auto" w:before="44"/>
        <w:ind w:right="1096"/>
        <w:jc w:val="both"/>
      </w:pPr>
      <w:r>
        <w:rPr>
          <w:spacing w:val="-1"/>
        </w:rPr>
        <w:t>份认证产品更新换代速度加快。除此之外，网络身份认证的应用市场不再局限于银行金融业，将逐步扩展到其他行业，各行</w:t>
      </w:r>
      <w:r>
        <w:rPr>
          <w:spacing w:val="-85"/>
        </w:rPr>
        <w:t> </w:t>
      </w:r>
      <w:r>
        <w:rPr>
          <w:spacing w:val="-85"/>
        </w:rPr>
      </w:r>
      <w:r>
        <w:rPr>
          <w:spacing w:val="-2"/>
        </w:rPr>
        <w:t>业对网络身份认证产品的需求侧重各有不同，也将推动我国网络身份认证行业加大研发力度，不断推出新型产品。因此，公</w:t>
      </w:r>
      <w:r>
        <w:rPr>
          <w:spacing w:val="-42"/>
        </w:rPr>
        <w:t> </w:t>
      </w:r>
      <w:r>
        <w:rPr>
          <w:spacing w:val="-42"/>
        </w:rPr>
      </w:r>
      <w:r>
        <w:rPr/>
        <w:t>司拟针对信息化安全的需求，进行其他新产品的研发和市场开拓，以培育新的增长点。</w:t>
      </w:r>
    </w:p>
    <w:p>
      <w:pPr>
        <w:pStyle w:val="BodyText"/>
        <w:spacing w:line="316" w:lineRule="auto" w:before="24"/>
        <w:ind w:right="1136" w:firstLine="420"/>
        <w:jc w:val="both"/>
      </w:pPr>
      <w:r>
        <w:rPr/>
        <w:t>未来区块链领域将成为一个创新的热点领域，而且随着官方机构开始进入区块链领域，未来区块链行业的发展也将进 </w:t>
      </w:r>
      <w:r>
        <w:rPr>
          <w:spacing w:val="-2"/>
        </w:rPr>
        <w:t>一步规范化、透明化，这对于区块链行业的健康发展会起到非常积极的作用。公司已与中钞信用卡产业发展有限公司杭州区</w:t>
      </w:r>
      <w:r>
        <w:rPr>
          <w:spacing w:val="-75"/>
        </w:rPr>
        <w:t> </w:t>
      </w:r>
      <w:r>
        <w:rPr>
          <w:spacing w:val="-75"/>
        </w:rPr>
      </w:r>
      <w:r>
        <w:rPr>
          <w:spacing w:val="-2"/>
        </w:rPr>
        <w:t>块链技术研究院正式签署战略合作框架协议，双方将致力于整合技术与资源，通过业务上的协同，开启区块链技术应用发展</w:t>
      </w:r>
      <w:r>
        <w:rPr>
          <w:spacing w:val="-75"/>
        </w:rPr>
        <w:t> </w:t>
      </w:r>
      <w:r>
        <w:rPr>
          <w:spacing w:val="-75"/>
        </w:rPr>
      </w:r>
      <w:r>
        <w:rPr/>
        <w:t>的新征程。</w:t>
      </w:r>
    </w:p>
    <w:p>
      <w:pPr>
        <w:pStyle w:val="Heading6"/>
        <w:spacing w:line="240" w:lineRule="auto" w:before="37"/>
        <w:ind w:left="561" w:right="1100"/>
        <w:jc w:val="left"/>
        <w:rPr>
          <w:b w:val="0"/>
          <w:bCs w:val="0"/>
        </w:rPr>
      </w:pPr>
      <w:r>
        <w:rPr/>
        <w:t>三、公司</w:t>
      </w:r>
      <w:r>
        <w:rPr>
          <w:rFonts w:ascii="Times New Roman" w:hAnsi="Times New Roman" w:cs="Times New Roman" w:eastAsia="Times New Roman" w:hint="default"/>
        </w:rPr>
        <w:t>2020</w:t>
      </w:r>
      <w:r>
        <w:rPr/>
        <w:t>年度经营计划</w:t>
      </w:r>
      <w:r>
        <w:rPr>
          <w:b w:val="0"/>
          <w:bCs w:val="0"/>
        </w:rPr>
      </w:r>
    </w:p>
    <w:p>
      <w:pPr>
        <w:pStyle w:val="BodyText"/>
        <w:spacing w:line="240" w:lineRule="auto" w:before="66"/>
        <w:ind w:left="666" w:right="1100"/>
        <w:jc w:val="left"/>
      </w:pPr>
      <w:r>
        <w:rPr>
          <w:rFonts w:ascii="Times New Roman" w:hAnsi="Times New Roman" w:cs="Times New Roman" w:eastAsia="Times New Roman" w:hint="default"/>
        </w:rPr>
        <w:t>2020</w:t>
      </w:r>
      <w:r>
        <w:rPr/>
        <w:t>年，公司将着重做好以下经营工作：</w:t>
      </w:r>
    </w:p>
    <w:p>
      <w:pPr>
        <w:pStyle w:val="BodyText"/>
        <w:spacing w:line="240" w:lineRule="auto" w:before="66"/>
        <w:ind w:left="666" w:right="1100"/>
        <w:jc w:val="left"/>
      </w:pPr>
      <w:r>
        <w:rPr>
          <w:rFonts w:ascii="Times New Roman" w:hAnsi="Times New Roman" w:cs="Times New Roman" w:eastAsia="Times New Roman" w:hint="default"/>
        </w:rPr>
        <w:t>1.</w:t>
      </w:r>
      <w:r>
        <w:rPr/>
        <w:t>在</w:t>
      </w:r>
      <w:r>
        <w:rPr>
          <w:rFonts w:ascii="Times New Roman" w:hAnsi="Times New Roman" w:cs="Times New Roman" w:eastAsia="Times New Roman" w:hint="default"/>
        </w:rPr>
        <w:t>USB</w:t>
      </w:r>
      <w:r>
        <w:rPr>
          <w:rFonts w:ascii="Times New Roman" w:hAnsi="Times New Roman" w:cs="Times New Roman" w:eastAsia="Times New Roman" w:hint="default"/>
          <w:spacing w:val="11"/>
        </w:rPr>
        <w:t> </w:t>
      </w:r>
      <w:r>
        <w:rPr>
          <w:rFonts w:ascii="Times New Roman" w:hAnsi="Times New Roman" w:cs="Times New Roman" w:eastAsia="Times New Roman" w:hint="default"/>
        </w:rPr>
        <w:t>Key</w:t>
      </w:r>
      <w:r>
        <w:rPr/>
        <w:t>、</w:t>
      </w:r>
      <w:r>
        <w:rPr>
          <w:rFonts w:ascii="Times New Roman" w:hAnsi="Times New Roman" w:cs="Times New Roman" w:eastAsia="Times New Roman" w:hint="default"/>
        </w:rPr>
        <w:t>OTP</w:t>
      </w:r>
      <w:r>
        <w:rPr/>
        <w:t>既有产品领域，努力提高市场占有率以削减产品价格降低带来的影响。</w:t>
      </w:r>
    </w:p>
    <w:p>
      <w:pPr>
        <w:pStyle w:val="BodyText"/>
        <w:spacing w:line="240" w:lineRule="auto" w:before="66"/>
        <w:ind w:left="666" w:right="110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在移动支付领域，大力推广扫码盒子、云音箱等产品的市场占有率。</w:t>
      </w:r>
    </w:p>
    <w:p>
      <w:pPr>
        <w:pStyle w:val="BodyText"/>
        <w:spacing w:line="240" w:lineRule="auto" w:before="51"/>
        <w:ind w:left="666" w:right="0"/>
        <w:jc w:val="left"/>
      </w:pPr>
      <w:r>
        <w:rPr>
          <w:rFonts w:ascii="Times New Roman" w:hAnsi="Times New Roman" w:cs="Times New Roman" w:eastAsia="Times New Roman" w:hint="default"/>
        </w:rPr>
        <w:t>3.</w:t>
      </w:r>
      <w:r>
        <w:rPr/>
        <w:t>在芯片领域，积极开拓安全芯片在物联网、智能交通、智能家电、公共安全、版权保护、工业控制等领域的应用。</w:t>
      </w:r>
    </w:p>
    <w:p>
      <w:pPr>
        <w:pStyle w:val="BodyText"/>
        <w:spacing w:line="302" w:lineRule="auto" w:before="66"/>
        <w:ind w:right="999" w:firstLine="525"/>
        <w:jc w:val="left"/>
      </w:pPr>
      <w:r>
        <w:rPr>
          <w:rFonts w:ascii="Times New Roman" w:hAnsi="Times New Roman" w:cs="Times New Roman" w:eastAsia="Times New Roman" w:hint="default"/>
        </w:rPr>
        <w:t>4.</w:t>
      </w:r>
      <w:r>
        <w:rPr/>
        <w:t>在高端卡产品领域，继续快速推动公司基于可视卡创新技术和有源卡技术在智能卡领域（令牌卡、金融卡、</w:t>
      </w:r>
      <w:r>
        <w:rPr>
          <w:rFonts w:ascii="Times New Roman" w:hAnsi="Times New Roman" w:cs="Times New Roman" w:eastAsia="Times New Roman" w:hint="default"/>
        </w:rPr>
        <w:t>eID</w:t>
      </w:r>
      <w:r>
        <w:rPr/>
        <w:t>卡、 指纹卡，</w:t>
      </w:r>
      <w:r>
        <w:rPr>
          <w:rFonts w:ascii="Times New Roman" w:hAnsi="Times New Roman" w:cs="Times New Roman" w:eastAsia="Times New Roman" w:hint="default"/>
        </w:rPr>
        <w:t>FIDO</w:t>
      </w:r>
      <w:r>
        <w:rPr/>
        <w:t>，网络认证卡）等业务领域的发展。</w:t>
      </w:r>
    </w:p>
    <w:p>
      <w:pPr>
        <w:pStyle w:val="BodyText"/>
        <w:spacing w:line="240" w:lineRule="auto" w:before="14"/>
        <w:ind w:left="666" w:right="1100"/>
        <w:jc w:val="left"/>
      </w:pPr>
      <w:r>
        <w:rPr>
          <w:rFonts w:ascii="Times New Roman" w:hAnsi="Times New Roman" w:cs="Times New Roman" w:eastAsia="Times New Roman" w:hint="default"/>
        </w:rPr>
        <w:t>5.</w:t>
      </w:r>
      <w:r>
        <w:rPr/>
        <w:t>在海外市场，继续稳扎稳打开拓市场，以提升公司的竞争力。</w:t>
      </w:r>
    </w:p>
    <w:p>
      <w:pPr>
        <w:spacing w:line="240" w:lineRule="auto" w:before="10"/>
        <w:rPr>
          <w:rFonts w:ascii="宋体" w:hAnsi="宋体" w:cs="宋体" w:eastAsia="宋体" w:hint="default"/>
          <w:sz w:val="23"/>
          <w:szCs w:val="23"/>
        </w:rPr>
      </w:pPr>
    </w:p>
    <w:p>
      <w:pPr>
        <w:pStyle w:val="Heading2"/>
        <w:spacing w:line="240" w:lineRule="auto"/>
        <w:ind w:right="0"/>
        <w:jc w:val="both"/>
        <w:rPr>
          <w:b w:val="0"/>
          <w:bCs w:val="0"/>
        </w:rPr>
      </w:pPr>
      <w:bookmarkStart w:name="十、接待调研、沟通、采访等活动登记表" w:id="59"/>
      <w:bookmarkEnd w:id="59"/>
      <w:r>
        <w:rPr>
          <w:b w:val="0"/>
          <w:bCs w:val="0"/>
        </w:rPr>
      </w:r>
      <w:r>
        <w:rPr/>
        <w:t>十、接待调研、沟通、采访等活动登记表</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both"/>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5"/>
        <w:rPr>
          <w:rFonts w:ascii="宋体" w:hAnsi="宋体" w:cs="宋体" w:eastAsia="宋体" w:hint="default"/>
          <w:b/>
          <w:bCs/>
          <w:sz w:val="26"/>
          <w:szCs w:val="26"/>
        </w:rPr>
      </w:pPr>
    </w:p>
    <w:p>
      <w:pPr>
        <w:pStyle w:val="BodyText"/>
        <w:spacing w:line="333" w:lineRule="auto"/>
        <w:ind w:right="66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公司报告期内未发生接待调研、沟通、采访等活动。</w:t>
      </w:r>
    </w:p>
    <w:p>
      <w:pPr>
        <w:spacing w:after="0" w:line="333"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2767" w:right="3750"/>
        <w:jc w:val="center"/>
        <w:rPr>
          <w:b w:val="0"/>
          <w:bCs w:val="0"/>
        </w:rPr>
      </w:pPr>
      <w:bookmarkStart w:name="第五节重要事项" w:id="61"/>
      <w:bookmarkEnd w:id="61"/>
      <w:r>
        <w:rPr>
          <w:b w:val="0"/>
          <w:bCs w:val="0"/>
        </w:rPr>
      </w:r>
      <w:bookmarkStart w:name="_bookmark4" w:id="62"/>
      <w:bookmarkEnd w:id="62"/>
      <w:r>
        <w:rPr>
          <w:b w:val="0"/>
          <w:bCs w:val="0"/>
        </w:rPr>
      </w:r>
      <w:r>
        <w:rPr>
          <w:spacing w:val="5"/>
        </w:rPr>
        <w:t>第五节重要事项</w:t>
      </w:r>
      <w:r>
        <w:rPr>
          <w:b w:val="0"/>
          <w:bCs w:val="0"/>
          <w:spacing w:val="5"/>
        </w:rPr>
      </w:r>
    </w:p>
    <w:p>
      <w:pPr>
        <w:spacing w:line="240" w:lineRule="auto" w:before="4"/>
        <w:rPr>
          <w:rFonts w:ascii="宋体" w:hAnsi="宋体" w:cs="宋体" w:eastAsia="宋体" w:hint="default"/>
          <w:b/>
          <w:bCs/>
          <w:sz w:val="38"/>
          <w:szCs w:val="38"/>
        </w:rPr>
      </w:pPr>
    </w:p>
    <w:p>
      <w:pPr>
        <w:pStyle w:val="Heading2"/>
        <w:spacing w:line="240" w:lineRule="auto"/>
        <w:ind w:right="1100"/>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00"/>
        <w:jc w:val="left"/>
      </w:pPr>
      <w:r>
        <w:rPr/>
        <w:t>报告期内普通股利润分配政策，特别是现金分红政策的制定、执行或调整情况</w:t>
      </w:r>
    </w:p>
    <w:p>
      <w:pPr>
        <w:pStyle w:val="BodyText"/>
        <w:spacing w:line="326" w:lineRule="auto" w:before="125"/>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5</w:t>
      </w:r>
      <w:r>
        <w:rPr>
          <w:spacing w:val="-5"/>
        </w:rPr>
        <w:t>月</w:t>
      </w:r>
      <w:r>
        <w:rPr>
          <w:rFonts w:ascii="Times New Roman" w:hAnsi="Times New Roman" w:cs="Times New Roman" w:eastAsia="Times New Roman" w:hint="default"/>
          <w:spacing w:val="-5"/>
        </w:rPr>
        <w:t>14</w:t>
      </w:r>
      <w:r>
        <w:rPr>
          <w:spacing w:val="-5"/>
        </w:rPr>
        <w:t>日，公司</w:t>
      </w:r>
      <w:r>
        <w:rPr>
          <w:rFonts w:ascii="Times New Roman" w:hAnsi="Times New Roman" w:cs="Times New Roman" w:eastAsia="Times New Roman" w:hint="default"/>
          <w:spacing w:val="-5"/>
        </w:rPr>
        <w:t>2018</w:t>
      </w:r>
      <w:r>
        <w:rPr>
          <w:spacing w:val="-5"/>
        </w:rPr>
        <w:t>年度股东大会审议通过了《关于公司</w:t>
      </w:r>
      <w:r>
        <w:rPr>
          <w:rFonts w:ascii="Times New Roman" w:hAnsi="Times New Roman" w:cs="Times New Roman" w:eastAsia="Times New Roman" w:hint="default"/>
          <w:spacing w:val="-5"/>
        </w:rPr>
        <w:t>2018</w:t>
      </w:r>
      <w:r>
        <w:rPr>
          <w:spacing w:val="-5"/>
        </w:rPr>
        <w:t>年度利润分配分案的议案》，以</w:t>
      </w:r>
      <w:r>
        <w:rPr>
          <w:rFonts w:ascii="Times New Roman" w:hAnsi="Times New Roman" w:cs="Times New Roman" w:eastAsia="Times New Roman" w:hint="default"/>
          <w:spacing w:val="-5"/>
        </w:rPr>
        <w:t>2018</w:t>
      </w:r>
      <w:r>
        <w:rPr>
          <w:spacing w:val="-5"/>
        </w:rPr>
        <w:t>年末总股本</w:t>
      </w:r>
      <w:r>
        <w:rPr>
          <w:rFonts w:ascii="Times New Roman" w:hAnsi="Times New Roman" w:cs="Times New Roman" w:eastAsia="Times New Roman" w:hint="default"/>
          <w:spacing w:val="-5"/>
        </w:rPr>
        <w:t>418,044,000</w:t>
      </w:r>
      <w:r>
        <w:rPr>
          <w:rFonts w:ascii="Times New Roman" w:hAnsi="Times New Roman" w:cs="Times New Roman" w:eastAsia="Times New Roman" w:hint="default"/>
        </w:rPr>
        <w:t> </w:t>
      </w:r>
      <w:r>
        <w:rPr/>
        <w:t>股为基数，每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0.5</w:t>
      </w:r>
      <w:r>
        <w:rPr/>
        <w:t>元（含税），总计</w:t>
      </w:r>
      <w:r>
        <w:rPr>
          <w:rFonts w:ascii="Times New Roman" w:hAnsi="Times New Roman" w:cs="Times New Roman" w:eastAsia="Times New Roman" w:hint="default"/>
        </w:rPr>
        <w:t>20,902,200.00</w:t>
      </w:r>
      <w:r>
        <w:rPr/>
        <w:t>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日，公司发布《</w:t>
      </w:r>
      <w:r>
        <w:rPr>
          <w:rFonts w:ascii="Times New Roman" w:hAnsi="Times New Roman" w:cs="Times New Roman" w:eastAsia="Times New Roman" w:hint="default"/>
        </w:rPr>
        <w:t>2018</w:t>
      </w:r>
      <w:r>
        <w:rPr/>
        <w:t>年度权益分派实施</w:t>
      </w:r>
    </w:p>
    <w:p>
      <w:pPr>
        <w:pStyle w:val="BodyText"/>
        <w:spacing w:line="273" w:lineRule="auto"/>
        <w:ind w:right="1100"/>
        <w:jc w:val="left"/>
      </w:pPr>
      <w:r>
        <w:rPr>
          <w:spacing w:val="-2"/>
        </w:rPr>
        <w:t>公告》，权益分派的股权登记日为</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23</w:t>
      </w:r>
      <w:r>
        <w:rPr>
          <w:spacing w:val="-2"/>
        </w:rPr>
        <w:t>日，除权除息日为</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24</w:t>
      </w:r>
      <w:r>
        <w:rPr>
          <w:spacing w:val="-2"/>
        </w:rPr>
        <w:t>日。报告期内，利润分配方案已按照股东大会</w:t>
      </w:r>
      <w:r>
        <w:rPr>
          <w:spacing w:val="-39"/>
        </w:rPr>
        <w:t> </w:t>
      </w:r>
      <w:r>
        <w:rPr>
          <w:spacing w:val="-39"/>
        </w:rPr>
      </w:r>
      <w:r>
        <w:rPr/>
        <w:t>的决议执行完毕。</w:t>
      </w:r>
    </w:p>
    <w:p>
      <w:pPr>
        <w:spacing w:line="240" w:lineRule="auto" w:before="4"/>
        <w:rPr>
          <w:rFonts w:ascii="宋体" w:hAnsi="宋体" w:cs="宋体" w:eastAsia="宋体" w:hint="default"/>
          <w:sz w:val="28"/>
          <w:szCs w:val="28"/>
        </w:rPr>
      </w:pPr>
    </w:p>
    <w:tbl>
      <w:tblPr>
        <w:tblW w:w="0" w:type="auto"/>
        <w:jc w:val="left"/>
        <w:tblInd w:w="133" w:type="dxa"/>
        <w:tblLayout w:type="fixed"/>
        <w:tblCellMar>
          <w:top w:w="0" w:type="dxa"/>
          <w:left w:w="0" w:type="dxa"/>
          <w:bottom w:w="0" w:type="dxa"/>
          <w:right w:w="0" w:type="dxa"/>
        </w:tblCellMar>
        <w:tblLook w:val="01E0"/>
      </w:tblPr>
      <w:tblGrid>
        <w:gridCol w:w="4776"/>
        <w:gridCol w:w="4798"/>
      </w:tblGrid>
      <w:tr>
        <w:trPr>
          <w:trHeight w:val="406" w:hRule="exact"/>
        </w:trPr>
        <w:tc>
          <w:tcPr>
            <w:tcW w:w="957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 w:right="23"/>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71"/>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71"/>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5"/>
        <w:ind w:right="1100"/>
        <w:jc w:val="left"/>
      </w:pPr>
      <w:r>
        <w:rPr/>
        <w:t>公司报告期利润分配预案及资本公积金转增股本预案与公司章程和分红管理办法等的相关规定一致</w:t>
      </w:r>
    </w:p>
    <w:p>
      <w:pPr>
        <w:pStyle w:val="BodyText"/>
        <w:spacing w:line="319" w:lineRule="auto" w:before="124"/>
        <w:ind w:right="426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 公司报告期利润分配预案及资本公积金转增股本预案符合公司章程等的相关规定。</w:t>
      </w:r>
    </w:p>
    <w:p>
      <w:pPr>
        <w:pStyle w:val="BodyText"/>
        <w:spacing w:line="240" w:lineRule="auto" w:before="65"/>
        <w:ind w:right="1100"/>
        <w:jc w:val="left"/>
      </w:pPr>
      <w:r>
        <w:rPr/>
        <w:t>本年度利润分配及资本公积金转增股本情况</w:t>
      </w:r>
    </w:p>
    <w:p>
      <w:pPr>
        <w:spacing w:line="240" w:lineRule="auto" w:before="6"/>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710"/>
        <w:gridCol w:w="5865"/>
      </w:tblGrid>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股送红股数（股）</w:t>
            </w:r>
          </w:p>
        </w:tc>
        <w:tc>
          <w:tcPr>
            <w:tcW w:w="58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股派息数（元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0.2</w:t>
            </w:r>
          </w:p>
        </w:tc>
      </w:tr>
      <w:tr>
        <w:trPr>
          <w:trHeight w:val="406"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股转增数（股）</w:t>
            </w:r>
          </w:p>
        </w:tc>
        <w:tc>
          <w:tcPr>
            <w:tcW w:w="58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418,044,000</w:t>
            </w:r>
          </w:p>
        </w:tc>
      </w:tr>
      <w:tr>
        <w:trPr>
          <w:trHeight w:val="390"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8,360,880.00</w:t>
            </w:r>
          </w:p>
        </w:tc>
      </w:tr>
      <w:tr>
        <w:trPr>
          <w:trHeight w:val="406" w:hRule="exact"/>
        </w:trPr>
        <w:tc>
          <w:tcPr>
            <w:tcW w:w="3710"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5"/>
              <w:ind w:left="7" w:right="-56"/>
              <w:jc w:val="left"/>
              <w:rPr>
                <w:rFonts w:ascii="宋体" w:hAnsi="宋体" w:cs="宋体" w:eastAsia="宋体" w:hint="default"/>
                <w:sz w:val="18"/>
                <w:szCs w:val="18"/>
              </w:rPr>
            </w:pPr>
            <w:r>
              <w:rPr>
                <w:rFonts w:ascii="宋体" w:hAnsi="宋体" w:cs="宋体" w:eastAsia="宋体" w:hint="default"/>
                <w:spacing w:val="-3"/>
                <w:sz w:val="18"/>
                <w:szCs w:val="18"/>
              </w:rPr>
              <w:t>以其他方式（如回购股份）现金分红金额（元）</w:t>
            </w:r>
          </w:p>
        </w:tc>
        <w:tc>
          <w:tcPr>
            <w:tcW w:w="5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8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809,701,060.50</w:t>
            </w:r>
          </w:p>
        </w:tc>
      </w:tr>
      <w:tr>
        <w:trPr>
          <w:trHeight w:val="706"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86"/>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5" w:hRule="exact"/>
        </w:trPr>
        <w:tc>
          <w:tcPr>
            <w:tcW w:w="957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 w:right="22"/>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5" w:hRule="exact"/>
        </w:trPr>
        <w:tc>
          <w:tcPr>
            <w:tcW w:w="95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9582"/>
      </w:tblGrid>
      <w:tr>
        <w:trPr>
          <w:trHeight w:val="405" w:hRule="exact"/>
        </w:trPr>
        <w:tc>
          <w:tcPr>
            <w:tcW w:w="95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883"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21" w:hRule="exact"/>
        </w:trPr>
        <w:tc>
          <w:tcPr>
            <w:tcW w:w="9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年，经天职国际会计师事务所审计，公司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年度母公司的净利润为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34,464,510.39</w:t>
            </w:r>
            <w:r>
              <w:rPr>
                <w:rFonts w:ascii="Times New Roman" w:hAnsi="Times New Roman" w:cs="Times New Roman" w:eastAsia="Times New Roman" w:hint="default"/>
                <w:spacing w:val="40"/>
                <w:sz w:val="18"/>
                <w:szCs w:val="18"/>
              </w:rPr>
              <w:t> </w:t>
            </w:r>
            <w:r>
              <w:rPr>
                <w:rFonts w:ascii="宋体" w:hAnsi="宋体" w:cs="宋体" w:eastAsia="宋体" w:hint="default"/>
                <w:spacing w:val="-3"/>
                <w:sz w:val="18"/>
                <w:szCs w:val="18"/>
              </w:rPr>
              <w:t>元，扣减法定盈余公积后，本年</w:t>
            </w:r>
          </w:p>
          <w:p>
            <w:pPr>
              <w:pStyle w:val="TableParagraph"/>
              <w:spacing w:line="240" w:lineRule="auto" w:before="66"/>
              <w:ind w:left="15" w:right="-43"/>
              <w:jc w:val="left"/>
              <w:rPr>
                <w:rFonts w:ascii="宋体" w:hAnsi="宋体" w:cs="宋体" w:eastAsia="宋体" w:hint="default"/>
                <w:sz w:val="18"/>
                <w:szCs w:val="18"/>
              </w:rPr>
            </w:pPr>
            <w:r>
              <w:rPr>
                <w:rFonts w:ascii="宋体" w:hAnsi="宋体" w:cs="宋体" w:eastAsia="宋体" w:hint="default"/>
                <w:sz w:val="18"/>
                <w:szCs w:val="18"/>
              </w:rPr>
              <w:t>度可供投资者分配的利润为</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31,018,059.35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董事会决议以</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4"/>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年度实现的可供分配利润的</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26.95%</w:t>
            </w:r>
            <w:r>
              <w:rPr>
                <w:rFonts w:ascii="宋体" w:hAnsi="宋体" w:cs="宋体" w:eastAsia="宋体" w:hint="default"/>
                <w:sz w:val="18"/>
                <w:szCs w:val="18"/>
              </w:rPr>
              <w:t>向股东分配现金股利。</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年末总股本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418,044,000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股派发现金股利</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，总计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8,360,880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pStyle w:val="BodyText"/>
        <w:spacing w:line="312" w:lineRule="auto" w:before="60"/>
        <w:ind w:right="1096"/>
        <w:jc w:val="left"/>
        <w:rPr>
          <w:rFonts w:ascii="Times New Roman" w:hAnsi="Times New Roman" w:cs="Times New Roman" w:eastAsia="Times New Roman" w:hint="default"/>
        </w:rPr>
      </w:pPr>
      <w:r>
        <w:rPr/>
        <w:t>公司近</w:t>
      </w:r>
      <w:r>
        <w:rPr>
          <w:spacing w:val="-45"/>
        </w:rPr>
        <w:t> </w:t>
      </w:r>
      <w:r>
        <w:rPr>
          <w:rFonts w:ascii="Times New Roman" w:hAnsi="Times New Roman" w:cs="Times New Roman" w:eastAsia="Times New Roman" w:hint="default"/>
        </w:rPr>
        <w:t>3 </w:t>
      </w:r>
      <w:r>
        <w:rPr>
          <w:spacing w:val="-3"/>
        </w:rPr>
        <w:t>年（包括本报告期）的普通股股利分配方案（预案）、资本公积金转增股本方案（预案）情况</w:t>
      </w:r>
      <w:r>
        <w:rPr>
          <w:spacing w:val="-59"/>
        </w:rPr>
        <w:t> </w:t>
      </w:r>
      <w:r>
        <w:rPr>
          <w:spacing w:val="-59"/>
        </w:rPr>
      </w:r>
      <w:r>
        <w:rPr>
          <w:rFonts w:ascii="Times New Roman" w:hAnsi="Times New Roman" w:cs="Times New Roman" w:eastAsia="Times New Roman" w:hint="default"/>
          <w:spacing w:val="-1"/>
        </w:rPr>
        <w:t>1.2017</w:t>
      </w:r>
      <w:r>
        <w:rPr>
          <w:spacing w:val="-1"/>
        </w:rPr>
        <w:t>年，经天职国际会计师事务所审计，公司</w:t>
      </w:r>
      <w:r>
        <w:rPr>
          <w:rFonts w:ascii="Times New Roman" w:hAnsi="Times New Roman" w:cs="Times New Roman" w:eastAsia="Times New Roman" w:hint="default"/>
          <w:spacing w:val="-1"/>
        </w:rPr>
        <w:t>2017</w:t>
      </w:r>
      <w:r>
        <w:rPr>
          <w:spacing w:val="-1"/>
        </w:rPr>
        <w:t>年度母公司的净利润为</w:t>
      </w:r>
      <w:r>
        <w:rPr>
          <w:rFonts w:ascii="Times New Roman" w:hAnsi="Times New Roman" w:cs="Times New Roman" w:eastAsia="Times New Roman" w:hint="default"/>
          <w:spacing w:val="-1"/>
        </w:rPr>
        <w:t>104,580,630.60</w:t>
      </w:r>
      <w:r>
        <w:rPr>
          <w:spacing w:val="-1"/>
        </w:rPr>
        <w:t>元，扣减法定盈余公积后，本年度</w:t>
      </w:r>
      <w:r>
        <w:rPr>
          <w:spacing w:val="-78"/>
        </w:rPr>
        <w:t> </w:t>
      </w:r>
      <w:r>
        <w:rPr>
          <w:spacing w:val="-78"/>
        </w:rPr>
      </w:r>
      <w:r>
        <w:rPr>
          <w:spacing w:val="-1"/>
        </w:rPr>
        <w:t>可供投资者分配的利润为</w:t>
      </w:r>
      <w:r>
        <w:rPr>
          <w:rFonts w:ascii="Times New Roman" w:hAnsi="Times New Roman" w:cs="Times New Roman" w:eastAsia="Times New Roman" w:hint="default"/>
          <w:spacing w:val="-1"/>
        </w:rPr>
        <w:t>94,122,567.54</w:t>
      </w:r>
      <w:r>
        <w:rPr>
          <w:spacing w:val="-1"/>
        </w:rPr>
        <w:t>元。董事会决议以</w:t>
      </w:r>
      <w:r>
        <w:rPr>
          <w:rFonts w:ascii="Times New Roman" w:hAnsi="Times New Roman" w:cs="Times New Roman" w:eastAsia="Times New Roman" w:hint="default"/>
          <w:spacing w:val="-1"/>
        </w:rPr>
        <w:t>2017</w:t>
      </w:r>
      <w:r>
        <w:rPr>
          <w:spacing w:val="-1"/>
        </w:rPr>
        <w:t>年度实现的可供分配利润的</w:t>
      </w:r>
      <w:r>
        <w:rPr>
          <w:rFonts w:ascii="Times New Roman" w:hAnsi="Times New Roman" w:cs="Times New Roman" w:eastAsia="Times New Roman" w:hint="default"/>
          <w:spacing w:val="-1"/>
        </w:rPr>
        <w:t>22.21%</w:t>
      </w:r>
      <w:r>
        <w:rPr>
          <w:spacing w:val="-1"/>
        </w:rPr>
        <w:t>向股东分配现金股利。公司</w:t>
      </w:r>
      <w:r>
        <w:rPr>
          <w:spacing w:val="-79"/>
        </w:rPr>
        <w:t> </w:t>
      </w:r>
      <w:r>
        <w:rPr>
          <w:spacing w:val="-79"/>
        </w:rPr>
      </w:r>
      <w:r>
        <w:rPr>
          <w:rFonts w:ascii="Times New Roman" w:hAnsi="Times New Roman" w:cs="Times New Roman" w:eastAsia="Times New Roman" w:hint="default"/>
          <w:spacing w:val="-1"/>
        </w:rPr>
        <w:t>2017</w:t>
      </w:r>
      <w:r>
        <w:rPr>
          <w:spacing w:val="-1"/>
        </w:rPr>
        <w:t>年度利润分配预案为：以</w:t>
      </w:r>
      <w:r>
        <w:rPr>
          <w:rFonts w:ascii="Times New Roman" w:hAnsi="Times New Roman" w:cs="Times New Roman" w:eastAsia="Times New Roman" w:hint="default"/>
          <w:spacing w:val="-1"/>
        </w:rPr>
        <w:t>2017</w:t>
      </w:r>
      <w:r>
        <w:rPr>
          <w:spacing w:val="-1"/>
        </w:rPr>
        <w:t>年末总股本</w:t>
      </w:r>
      <w:r>
        <w:rPr>
          <w:rFonts w:ascii="Times New Roman" w:hAnsi="Times New Roman" w:cs="Times New Roman" w:eastAsia="Times New Roman" w:hint="default"/>
          <w:spacing w:val="-1"/>
        </w:rPr>
        <w:t>418,044,000</w:t>
      </w:r>
      <w:r>
        <w:rPr>
          <w:spacing w:val="-1"/>
        </w:rPr>
        <w:t>股为基数，每</w:t>
      </w:r>
      <w:r>
        <w:rPr>
          <w:rFonts w:ascii="Times New Roman" w:hAnsi="Times New Roman" w:cs="Times New Roman" w:eastAsia="Times New Roman" w:hint="default"/>
          <w:spacing w:val="-1"/>
        </w:rPr>
        <w:t>10</w:t>
      </w:r>
      <w:r>
        <w:rPr>
          <w:spacing w:val="-1"/>
        </w:rPr>
        <w:t>股派发现金股利</w:t>
      </w:r>
      <w:r>
        <w:rPr>
          <w:rFonts w:ascii="Times New Roman" w:hAnsi="Times New Roman" w:cs="Times New Roman" w:eastAsia="Times New Roman" w:hint="default"/>
          <w:spacing w:val="-1"/>
        </w:rPr>
        <w:t>0.5</w:t>
      </w:r>
      <w:r>
        <w:rPr>
          <w:spacing w:val="-1"/>
        </w:rPr>
        <w:t>元（含税），总计</w:t>
      </w:r>
      <w:r>
        <w:rPr>
          <w:rFonts w:ascii="Times New Roman" w:hAnsi="Times New Roman" w:cs="Times New Roman" w:eastAsia="Times New Roman" w:hint="default"/>
          <w:spacing w:val="-1"/>
        </w:rPr>
        <w:t>20,902,200.00</w:t>
      </w:r>
    </w:p>
    <w:p>
      <w:pPr>
        <w:pStyle w:val="BodyText"/>
        <w:spacing w:line="212" w:lineRule="exact"/>
        <w:ind w:right="1100"/>
        <w:jc w:val="left"/>
      </w:pPr>
      <w:r>
        <w:rPr/>
        <w:t>元。</w:t>
      </w:r>
    </w:p>
    <w:p>
      <w:pPr>
        <w:pStyle w:val="BodyText"/>
        <w:spacing w:line="302" w:lineRule="auto" w:before="94"/>
        <w:ind w:right="1036"/>
        <w:jc w:val="both"/>
      </w:pPr>
      <w:r>
        <w:rPr>
          <w:rFonts w:ascii="Times New Roman" w:hAnsi="Times New Roman" w:cs="Times New Roman" w:eastAsia="Times New Roman" w:hint="default"/>
        </w:rPr>
        <w:t>2.2018</w:t>
      </w:r>
      <w:r>
        <w:rPr/>
        <w:t>年，经天职国际会计师事务所审计，公司</w:t>
      </w:r>
      <w:r>
        <w:rPr>
          <w:rFonts w:ascii="Times New Roman" w:hAnsi="Times New Roman" w:cs="Times New Roman" w:eastAsia="Times New Roman" w:hint="default"/>
        </w:rPr>
        <w:t>2018</w:t>
      </w:r>
      <w:r>
        <w:rPr/>
        <w:t>年度母公司的净利润为</w:t>
      </w:r>
      <w:r>
        <w:rPr>
          <w:rFonts w:ascii="Times New Roman" w:hAnsi="Times New Roman" w:cs="Times New Roman" w:eastAsia="Times New Roman" w:hint="default"/>
        </w:rPr>
        <w:t>98,366,826.34</w:t>
      </w:r>
      <w:r>
        <w:rPr/>
        <w:t>元，扣减法定盈余公积后，本年度</w:t>
      </w:r>
      <w:r>
        <w:rPr>
          <w:spacing w:val="-84"/>
        </w:rPr>
        <w:t> </w:t>
      </w:r>
      <w:r>
        <w:rPr/>
        <w:t>可供投资者分配的利润为</w:t>
      </w:r>
      <w:r>
        <w:rPr>
          <w:rFonts w:ascii="Times New Roman" w:hAnsi="Times New Roman" w:cs="Times New Roman" w:eastAsia="Times New Roman" w:hint="default"/>
        </w:rPr>
        <w:t>88,530,143.71</w:t>
      </w:r>
      <w:r>
        <w:rPr/>
        <w:t>元。董事会决议以</w:t>
      </w:r>
      <w:r>
        <w:rPr>
          <w:rFonts w:ascii="Times New Roman" w:hAnsi="Times New Roman" w:cs="Times New Roman" w:eastAsia="Times New Roman" w:hint="default"/>
        </w:rPr>
        <w:t>2018</w:t>
      </w:r>
      <w:r>
        <w:rPr/>
        <w:t>年度实现的可供分配利润的</w:t>
      </w:r>
      <w:r>
        <w:rPr>
          <w:rFonts w:ascii="Times New Roman" w:hAnsi="Times New Roman" w:cs="Times New Roman" w:eastAsia="Times New Roman" w:hint="default"/>
        </w:rPr>
        <w:t>23.61%</w:t>
      </w:r>
      <w:r>
        <w:rPr/>
        <w:t>向股东分配现金股利。公司 </w:t>
      </w:r>
      <w:r>
        <w:rPr>
          <w:rFonts w:ascii="Times New Roman" w:hAnsi="Times New Roman" w:cs="Times New Roman" w:eastAsia="Times New Roman" w:hint="default"/>
          <w:spacing w:val="-2"/>
        </w:rPr>
        <w:t>2018</w:t>
      </w:r>
      <w:r>
        <w:rPr>
          <w:spacing w:val="-2"/>
        </w:rPr>
        <w:t>年度利润分配预案为：以</w:t>
      </w:r>
      <w:r>
        <w:rPr>
          <w:rFonts w:ascii="Times New Roman" w:hAnsi="Times New Roman" w:cs="Times New Roman" w:eastAsia="Times New Roman" w:hint="default"/>
          <w:spacing w:val="-2"/>
        </w:rPr>
        <w:t>2018</w:t>
      </w:r>
      <w:r>
        <w:rPr>
          <w:spacing w:val="-2"/>
        </w:rPr>
        <w:t>年末总股本</w:t>
      </w:r>
      <w:r>
        <w:rPr>
          <w:rFonts w:ascii="Times New Roman" w:hAnsi="Times New Roman" w:cs="Times New Roman" w:eastAsia="Times New Roman" w:hint="default"/>
          <w:spacing w:val="-2"/>
        </w:rPr>
        <w:t>418,044,000</w:t>
      </w:r>
      <w:r>
        <w:rPr>
          <w:spacing w:val="-2"/>
        </w:rPr>
        <w:t>股为基数，每</w:t>
      </w:r>
      <w:r>
        <w:rPr>
          <w:rFonts w:ascii="Times New Roman" w:hAnsi="Times New Roman" w:cs="Times New Roman" w:eastAsia="Times New Roman" w:hint="default"/>
          <w:spacing w:val="-2"/>
        </w:rPr>
        <w:t>10</w:t>
      </w:r>
      <w:r>
        <w:rPr>
          <w:spacing w:val="-2"/>
        </w:rPr>
        <w:t>股派发现金股利</w:t>
      </w:r>
      <w:r>
        <w:rPr>
          <w:rFonts w:ascii="Times New Roman" w:hAnsi="Times New Roman" w:cs="Times New Roman" w:eastAsia="Times New Roman" w:hint="default"/>
          <w:spacing w:val="-2"/>
        </w:rPr>
        <w:t>0.5</w:t>
      </w:r>
      <w:r>
        <w:rPr>
          <w:spacing w:val="-2"/>
        </w:rPr>
        <w:t>元（含税），总计</w:t>
      </w:r>
      <w:r>
        <w:rPr>
          <w:rFonts w:ascii="Times New Roman" w:hAnsi="Times New Roman" w:cs="Times New Roman" w:eastAsia="Times New Roman" w:hint="default"/>
          <w:spacing w:val="-2"/>
        </w:rPr>
        <w:t>20,902,200</w:t>
      </w:r>
      <w:r>
        <w:rPr>
          <w:spacing w:val="-2"/>
        </w:rPr>
        <w:t>元。</w:t>
      </w:r>
    </w:p>
    <w:p>
      <w:pPr>
        <w:pStyle w:val="BodyText"/>
        <w:spacing w:line="297" w:lineRule="auto" w:before="14"/>
        <w:ind w:right="1100"/>
        <w:jc w:val="left"/>
      </w:pPr>
      <w:r>
        <w:rPr>
          <w:rFonts w:ascii="Times New Roman" w:hAnsi="Times New Roman" w:cs="Times New Roman" w:eastAsia="Times New Roman" w:hint="default"/>
          <w:spacing w:val="-1"/>
        </w:rPr>
        <w:t>3.2019</w:t>
      </w:r>
      <w:r>
        <w:rPr>
          <w:spacing w:val="-1"/>
        </w:rPr>
        <w:t>年，经天职国际会计师事务所审计，公司</w:t>
      </w:r>
      <w:r>
        <w:rPr>
          <w:rFonts w:ascii="Times New Roman" w:hAnsi="Times New Roman" w:cs="Times New Roman" w:eastAsia="Times New Roman" w:hint="default"/>
          <w:spacing w:val="-1"/>
        </w:rPr>
        <w:t>2019</w:t>
      </w:r>
      <w:r>
        <w:rPr>
          <w:spacing w:val="-1"/>
        </w:rPr>
        <w:t>年度母公司的净利润为</w:t>
      </w:r>
      <w:r>
        <w:rPr>
          <w:rFonts w:ascii="Times New Roman" w:hAnsi="Times New Roman" w:cs="Times New Roman" w:eastAsia="Times New Roman" w:hint="default"/>
          <w:spacing w:val="-1"/>
        </w:rPr>
        <w:t>34,464,510.39</w:t>
      </w:r>
      <w:r>
        <w:rPr>
          <w:rFonts w:ascii="Times New Roman" w:hAnsi="Times New Roman" w:cs="Times New Roman" w:eastAsia="Times New Roman" w:hint="default"/>
          <w:spacing w:val="10"/>
        </w:rPr>
        <w:t> </w:t>
      </w:r>
      <w:r>
        <w:rPr>
          <w:spacing w:val="-2"/>
        </w:rPr>
        <w:t>元，扣减法定盈余公积后，本年度</w:t>
      </w:r>
      <w:r>
        <w:rPr/>
        <w:t> 可供投资者分配的利润为</w:t>
      </w:r>
      <w:r>
        <w:rPr>
          <w:rFonts w:ascii="Times New Roman" w:hAnsi="Times New Roman" w:cs="Times New Roman" w:eastAsia="Times New Roman" w:hint="default"/>
        </w:rPr>
        <w:t>31,018,059.35</w:t>
      </w:r>
      <w:r>
        <w:rPr/>
        <w:t>元。董事会决议以</w:t>
      </w:r>
      <w:r>
        <w:rPr>
          <w:rFonts w:ascii="Times New Roman" w:hAnsi="Times New Roman" w:cs="Times New Roman" w:eastAsia="Times New Roman" w:hint="default"/>
        </w:rPr>
        <w:t>2019</w:t>
      </w:r>
      <w:r>
        <w:rPr/>
        <w:t>年度实现的可供分配利润的</w:t>
      </w:r>
      <w:r>
        <w:rPr>
          <w:rFonts w:ascii="Times New Roman" w:hAnsi="Times New Roman" w:cs="Times New Roman" w:eastAsia="Times New Roman" w:hint="default"/>
        </w:rPr>
        <w:t>26.95%</w:t>
      </w:r>
      <w:r>
        <w:rPr/>
        <w:t>向股东分配现金股利。以</w:t>
      </w:r>
      <w:r>
        <w:rPr>
          <w:spacing w:val="-83"/>
        </w:rPr>
        <w:t> </w:t>
      </w:r>
      <w:r>
        <w:rPr>
          <w:rFonts w:ascii="Times New Roman" w:hAnsi="Times New Roman" w:cs="Times New Roman" w:eastAsia="Times New Roman" w:hint="default"/>
        </w:rPr>
        <w:t>2019</w:t>
      </w:r>
      <w:r>
        <w:rPr/>
        <w:t>年末总股本</w:t>
      </w:r>
      <w:r>
        <w:rPr>
          <w:rFonts w:ascii="Times New Roman" w:hAnsi="Times New Roman" w:cs="Times New Roman" w:eastAsia="Times New Roman" w:hint="default"/>
        </w:rPr>
        <w:t>418,044,000</w:t>
      </w:r>
      <w:r>
        <w:rPr/>
        <w:t>股为基数，每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0.2</w:t>
      </w:r>
      <w:r>
        <w:rPr/>
        <w:t>元（含税），总计</w:t>
      </w:r>
      <w:r>
        <w:rPr>
          <w:rFonts w:ascii="Times New Roman" w:hAnsi="Times New Roman" w:cs="Times New Roman" w:eastAsia="Times New Roman" w:hint="default"/>
        </w:rPr>
        <w:t>8,360,880</w:t>
      </w:r>
      <w:r>
        <w:rPr/>
        <w:t>元。</w:t>
      </w:r>
    </w:p>
    <w:p>
      <w:pPr>
        <w:pStyle w:val="BodyText"/>
        <w:spacing w:line="240" w:lineRule="auto" w:before="48"/>
        <w:ind w:right="1100"/>
        <w:jc w:val="left"/>
      </w:pPr>
      <w:r>
        <w:rPr/>
        <w:t>公司近三年（包括本报告期）普通股现金分红情况表</w:t>
      </w:r>
    </w:p>
    <w:p>
      <w:pPr>
        <w:pStyle w:val="BodyText"/>
        <w:spacing w:line="240" w:lineRule="auto" w:before="109"/>
        <w:ind w:left="0" w:right="1110"/>
        <w:jc w:val="right"/>
      </w:pPr>
      <w:r>
        <w:rPr/>
        <w:t>单位：元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202"/>
        <w:gridCol w:w="1187"/>
        <w:gridCol w:w="1201"/>
        <w:gridCol w:w="1202"/>
        <w:gridCol w:w="1201"/>
        <w:gridCol w:w="1179"/>
        <w:gridCol w:w="1224"/>
        <w:gridCol w:w="1179"/>
      </w:tblGrid>
      <w:tr>
        <w:trPr>
          <w:trHeight w:val="158" w:hRule="exact"/>
        </w:trPr>
        <w:tc>
          <w:tcPr>
            <w:tcW w:w="12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87" w:type="dxa"/>
            <w:vMerge w:val="restart"/>
            <w:tcBorders>
              <w:top w:val="single" w:sz="6" w:space="0" w:color="000000"/>
              <w:left w:val="single" w:sz="6" w:space="0" w:color="000000"/>
              <w:right w:val="single" w:sz="6" w:space="0" w:color="000000"/>
            </w:tcBorders>
            <w:shd w:val="clear" w:color="auto" w:fill="D2D2D2"/>
          </w:tcPr>
          <w:p>
            <w:pPr/>
          </w:p>
        </w:tc>
        <w:tc>
          <w:tcPr>
            <w:tcW w:w="1201" w:type="dxa"/>
            <w:vMerge w:val="restart"/>
            <w:tcBorders>
              <w:top w:val="single" w:sz="6" w:space="0" w:color="000000"/>
              <w:left w:val="single" w:sz="6" w:space="0" w:color="000000"/>
              <w:right w:val="single" w:sz="6" w:space="0" w:color="000000"/>
            </w:tcBorders>
            <w:shd w:val="clear" w:color="auto" w:fill="D2D2D2"/>
          </w:tcPr>
          <w:p>
            <w:pPr/>
          </w:p>
        </w:tc>
        <w:tc>
          <w:tcPr>
            <w:tcW w:w="1202" w:type="dxa"/>
            <w:tcBorders>
              <w:top w:val="single" w:sz="6" w:space="0" w:color="000000"/>
              <w:left w:val="single" w:sz="6" w:space="0" w:color="000000"/>
              <w:bottom w:val="nil" w:sz="6" w:space="0" w:color="auto"/>
              <w:right w:val="single" w:sz="6" w:space="0" w:color="000000"/>
            </w:tcBorders>
            <w:shd w:val="clear" w:color="auto" w:fill="D2D2D2"/>
          </w:tcPr>
          <w:p>
            <w:pPr/>
          </w:p>
        </w:tc>
        <w:tc>
          <w:tcPr>
            <w:tcW w:w="1201" w:type="dxa"/>
            <w:vMerge w:val="restart"/>
            <w:tcBorders>
              <w:top w:val="single" w:sz="6" w:space="0" w:color="000000"/>
              <w:left w:val="single" w:sz="6" w:space="0" w:color="000000"/>
              <w:right w:val="single" w:sz="6" w:space="0" w:color="000000"/>
            </w:tcBorders>
            <w:shd w:val="clear" w:color="auto" w:fill="D2D2D2"/>
          </w:tcPr>
          <w:p>
            <w:pPr/>
          </w:p>
        </w:tc>
        <w:tc>
          <w:tcPr>
            <w:tcW w:w="1179" w:type="dxa"/>
            <w:tcBorders>
              <w:top w:val="single" w:sz="6" w:space="0" w:color="000000"/>
              <w:left w:val="single" w:sz="6" w:space="0" w:color="000000"/>
              <w:bottom w:val="nil" w:sz="6" w:space="0" w:color="auto"/>
              <w:right w:val="single" w:sz="6" w:space="0" w:color="000000"/>
            </w:tcBorders>
            <w:shd w:val="clear" w:color="auto" w:fill="D2D2D2"/>
          </w:tcPr>
          <w:p>
            <w:pPr/>
          </w:p>
        </w:tc>
        <w:tc>
          <w:tcPr>
            <w:tcW w:w="1224" w:type="dxa"/>
            <w:vMerge w:val="restart"/>
            <w:tcBorders>
              <w:top w:val="single" w:sz="6" w:space="0" w:color="000000"/>
              <w:left w:val="single" w:sz="6" w:space="0" w:color="000000"/>
              <w:right w:val="single" w:sz="6" w:space="0" w:color="000000"/>
            </w:tcBorders>
            <w:shd w:val="clear" w:color="auto" w:fill="D2D2D2"/>
          </w:tcPr>
          <w:p>
            <w:pPr/>
          </w:p>
        </w:tc>
        <w:tc>
          <w:tcPr>
            <w:tcW w:w="117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left="6"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80"/>
              <w:ind w:left="45" w:right="36"/>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0" w:hRule="exact"/>
        </w:trPr>
        <w:tc>
          <w:tcPr>
            <w:tcW w:w="1202"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bottom w:val="nil" w:sz="6" w:space="0" w:color="auto"/>
              <w:right w:val="single" w:sz="6" w:space="0" w:color="000000"/>
            </w:tcBorders>
            <w:shd w:val="clear" w:color="auto" w:fill="D2D2D2"/>
          </w:tcPr>
          <w:p>
            <w:pPr/>
          </w:p>
        </w:tc>
        <w:tc>
          <w:tcPr>
            <w:tcW w:w="1202" w:type="dxa"/>
            <w:vMerge w:val="restart"/>
            <w:tcBorders>
              <w:top w:val="nil" w:sz="6" w:space="0" w:color="auto"/>
              <w:left w:val="single" w:sz="6" w:space="0" w:color="000000"/>
              <w:right w:val="single" w:sz="6" w:space="0" w:color="000000"/>
            </w:tcBorders>
            <w:shd w:val="clear" w:color="auto" w:fill="D2D2D2"/>
          </w:tcPr>
          <w:p>
            <w:pPr>
              <w:pStyle w:val="TableParagraph"/>
              <w:spacing w:line="314" w:lineRule="auto" w:before="44"/>
              <w:ind w:left="60" w:right="44"/>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201" w:type="dxa"/>
            <w:vMerge/>
            <w:tcBorders>
              <w:left w:val="single" w:sz="6" w:space="0" w:color="000000"/>
              <w:right w:val="single" w:sz="6" w:space="0" w:color="000000"/>
            </w:tcBorders>
            <w:shd w:val="clear" w:color="auto" w:fill="D2D2D2"/>
          </w:tcPr>
          <w:p>
            <w:pPr/>
          </w:p>
        </w:tc>
        <w:tc>
          <w:tcPr>
            <w:tcW w:w="1179" w:type="dxa"/>
            <w:vMerge w:val="restart"/>
            <w:tcBorders>
              <w:top w:val="nil" w:sz="6" w:space="0" w:color="auto"/>
              <w:left w:val="single" w:sz="6" w:space="0" w:color="000000"/>
              <w:right w:val="single" w:sz="6" w:space="0" w:color="000000"/>
            </w:tcBorders>
            <w:shd w:val="clear" w:color="auto" w:fill="D2D2D2"/>
          </w:tcPr>
          <w:p>
            <w:pPr>
              <w:pStyle w:val="TableParagraph"/>
              <w:spacing w:line="314" w:lineRule="auto" w:before="44"/>
              <w:ind w:left="45" w:right="36"/>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24"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50" w:hRule="exact"/>
        </w:trPr>
        <w:tc>
          <w:tcPr>
            <w:tcW w:w="1202"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right w:val="single" w:sz="6" w:space="0" w:color="000000"/>
            </w:tcBorders>
            <w:shd w:val="clear" w:color="auto" w:fill="D2D2D2"/>
          </w:tcPr>
          <w:p>
            <w:pPr/>
          </w:p>
        </w:tc>
        <w:tc>
          <w:tcPr>
            <w:tcW w:w="1201"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5"/>
              <w:ind w:left="60" w:right="45" w:hanging="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202"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bottom w:val="nil" w:sz="6" w:space="0" w:color="auto"/>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c>
          <w:tcPr>
            <w:tcW w:w="1224"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65" w:hRule="exact"/>
        </w:trPr>
        <w:tc>
          <w:tcPr>
            <w:tcW w:w="1202"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202" w:type="dxa"/>
            <w:vMerge/>
            <w:tcBorders>
              <w:left w:val="single" w:sz="6" w:space="0" w:color="000000"/>
              <w:right w:val="single" w:sz="6" w:space="0" w:color="000000"/>
            </w:tcBorders>
            <w:shd w:val="clear" w:color="auto" w:fill="D2D2D2"/>
          </w:tcPr>
          <w:p>
            <w:pPr/>
          </w:p>
        </w:tc>
        <w:tc>
          <w:tcPr>
            <w:tcW w:w="120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21" w:lineRule="auto" w:before="79"/>
              <w:ind w:left="45" w:right="59"/>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79" w:type="dxa"/>
            <w:vMerge/>
            <w:tcBorders>
              <w:left w:val="single" w:sz="6" w:space="0" w:color="000000"/>
              <w:right w:val="single" w:sz="6" w:space="0" w:color="000000"/>
            </w:tcBorders>
            <w:shd w:val="clear" w:color="auto" w:fill="D2D2D2"/>
          </w:tcPr>
          <w:p>
            <w:pPr/>
          </w:p>
        </w:tc>
        <w:tc>
          <w:tcPr>
            <w:tcW w:w="1224" w:type="dxa"/>
            <w:vMerge/>
            <w:tcBorders>
              <w:left w:val="single" w:sz="6" w:space="0" w:color="000000"/>
              <w:bottom w:val="nil" w:sz="6" w:space="0" w:color="auto"/>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50" w:hRule="exact"/>
        </w:trPr>
        <w:tc>
          <w:tcPr>
            <w:tcW w:w="1202"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bottom w:val="nil" w:sz="6" w:space="0" w:color="auto"/>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202"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c>
          <w:tcPr>
            <w:tcW w:w="122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67"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21" w:lineRule="auto" w:before="65"/>
              <w:ind w:left="428" w:right="149" w:hanging="271"/>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79" w:type="dxa"/>
            <w:vMerge/>
            <w:tcBorders>
              <w:left w:val="single" w:sz="6" w:space="0" w:color="000000"/>
              <w:right w:val="single" w:sz="6" w:space="0" w:color="000000"/>
            </w:tcBorders>
            <w:shd w:val="clear" w:color="auto" w:fill="D2D2D2"/>
          </w:tcPr>
          <w:p>
            <w:pPr/>
          </w:p>
        </w:tc>
      </w:tr>
      <w:tr>
        <w:trPr>
          <w:trHeight w:val="706" w:hRule="exact"/>
        </w:trPr>
        <w:tc>
          <w:tcPr>
            <w:tcW w:w="1202" w:type="dxa"/>
            <w:vMerge/>
            <w:tcBorders>
              <w:left w:val="single" w:sz="6" w:space="0" w:color="000000"/>
              <w:right w:val="single" w:sz="6" w:space="0" w:color="000000"/>
            </w:tcBorders>
            <w:shd w:val="clear" w:color="auto" w:fill="D2D2D2"/>
          </w:tcPr>
          <w:p>
            <w:pPr/>
          </w:p>
        </w:tc>
        <w:tc>
          <w:tcPr>
            <w:tcW w:w="118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201" w:type="dxa"/>
            <w:vMerge/>
            <w:tcBorders>
              <w:left w:val="single" w:sz="6" w:space="0" w:color="000000"/>
              <w:right w:val="single" w:sz="6" w:space="0" w:color="000000"/>
            </w:tcBorders>
            <w:shd w:val="clear" w:color="auto" w:fill="D2D2D2"/>
          </w:tcPr>
          <w:p>
            <w:pPr/>
          </w:p>
        </w:tc>
        <w:tc>
          <w:tcPr>
            <w:tcW w:w="1202"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c>
          <w:tcPr>
            <w:tcW w:w="1224"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65" w:hRule="exact"/>
        </w:trPr>
        <w:tc>
          <w:tcPr>
            <w:tcW w:w="1202" w:type="dxa"/>
            <w:vMerge/>
            <w:tcBorders>
              <w:left w:val="single" w:sz="6" w:space="0" w:color="000000"/>
              <w:right w:val="single" w:sz="6" w:space="0" w:color="000000"/>
            </w:tcBorders>
            <w:shd w:val="clear" w:color="auto" w:fill="D2D2D2"/>
          </w:tcPr>
          <w:p>
            <w:pPr/>
          </w:p>
        </w:tc>
        <w:tc>
          <w:tcPr>
            <w:tcW w:w="1187" w:type="dxa"/>
            <w:vMerge w:val="restart"/>
            <w:tcBorders>
              <w:top w:val="nil" w:sz="6" w:space="0" w:color="auto"/>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202"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c>
          <w:tcPr>
            <w:tcW w:w="1224" w:type="dxa"/>
            <w:vMerge/>
            <w:tcBorders>
              <w:left w:val="single" w:sz="6" w:space="0" w:color="000000"/>
              <w:bottom w:val="nil" w:sz="6" w:space="0" w:color="auto"/>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51" w:hRule="exact"/>
        </w:trPr>
        <w:tc>
          <w:tcPr>
            <w:tcW w:w="1202"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202"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bottom w:val="nil" w:sz="6" w:space="0" w:color="auto"/>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c>
          <w:tcPr>
            <w:tcW w:w="1224" w:type="dxa"/>
            <w:vMerge w:val="restart"/>
            <w:tcBorders>
              <w:top w:val="nil" w:sz="6" w:space="0" w:color="auto"/>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50" w:hRule="exact"/>
        </w:trPr>
        <w:tc>
          <w:tcPr>
            <w:tcW w:w="1202"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bottom w:val="nil" w:sz="6" w:space="0" w:color="auto"/>
              <w:right w:val="single" w:sz="6" w:space="0" w:color="000000"/>
            </w:tcBorders>
            <w:shd w:val="clear" w:color="auto" w:fill="D2D2D2"/>
          </w:tcPr>
          <w:p>
            <w:pPr/>
          </w:p>
        </w:tc>
        <w:tc>
          <w:tcPr>
            <w:tcW w:w="1202" w:type="dxa"/>
            <w:vMerge/>
            <w:tcBorders>
              <w:left w:val="single" w:sz="6" w:space="0" w:color="000000"/>
              <w:right w:val="single" w:sz="6" w:space="0" w:color="000000"/>
            </w:tcBorders>
            <w:shd w:val="clear" w:color="auto" w:fill="D2D2D2"/>
          </w:tcPr>
          <w:p>
            <w:pPr/>
          </w:p>
        </w:tc>
        <w:tc>
          <w:tcPr>
            <w:tcW w:w="1201" w:type="dxa"/>
            <w:vMerge w:val="restart"/>
            <w:tcBorders>
              <w:top w:val="nil" w:sz="6" w:space="0" w:color="auto"/>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c>
          <w:tcPr>
            <w:tcW w:w="1224"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65" w:hRule="exact"/>
        </w:trPr>
        <w:tc>
          <w:tcPr>
            <w:tcW w:w="1202"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right w:val="single" w:sz="6" w:space="0" w:color="000000"/>
            </w:tcBorders>
            <w:shd w:val="clear" w:color="auto" w:fill="D2D2D2"/>
          </w:tcPr>
          <w:p>
            <w:pPr/>
          </w:p>
        </w:tc>
        <w:tc>
          <w:tcPr>
            <w:tcW w:w="1201" w:type="dxa"/>
            <w:vMerge w:val="restart"/>
            <w:tcBorders>
              <w:top w:val="nil" w:sz="6" w:space="0" w:color="auto"/>
              <w:left w:val="single" w:sz="6" w:space="0" w:color="000000"/>
              <w:right w:val="single" w:sz="6" w:space="0" w:color="000000"/>
            </w:tcBorders>
            <w:shd w:val="clear" w:color="auto" w:fill="D2D2D2"/>
          </w:tcPr>
          <w:p>
            <w:pPr/>
          </w:p>
        </w:tc>
        <w:tc>
          <w:tcPr>
            <w:tcW w:w="1202" w:type="dxa"/>
            <w:vMerge/>
            <w:tcBorders>
              <w:left w:val="single" w:sz="6" w:space="0" w:color="000000"/>
              <w:bottom w:val="nil" w:sz="6" w:space="0" w:color="auto"/>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bottom w:val="nil" w:sz="6" w:space="0" w:color="auto"/>
              <w:right w:val="single" w:sz="6" w:space="0" w:color="000000"/>
            </w:tcBorders>
            <w:shd w:val="clear" w:color="auto" w:fill="D2D2D2"/>
          </w:tcPr>
          <w:p>
            <w:pPr/>
          </w:p>
        </w:tc>
        <w:tc>
          <w:tcPr>
            <w:tcW w:w="1224"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58" w:hRule="exact"/>
        </w:trPr>
        <w:tc>
          <w:tcPr>
            <w:tcW w:w="1202" w:type="dxa"/>
            <w:vMerge/>
            <w:tcBorders>
              <w:left w:val="single" w:sz="6" w:space="0" w:color="000000"/>
              <w:bottom w:val="single" w:sz="6" w:space="0" w:color="000000"/>
              <w:right w:val="single" w:sz="6" w:space="0" w:color="000000"/>
            </w:tcBorders>
            <w:shd w:val="clear" w:color="auto" w:fill="D2D2D2"/>
          </w:tcPr>
          <w:p>
            <w:pPr/>
          </w:p>
        </w:tc>
        <w:tc>
          <w:tcPr>
            <w:tcW w:w="1187" w:type="dxa"/>
            <w:vMerge/>
            <w:tcBorders>
              <w:left w:val="single" w:sz="6" w:space="0" w:color="000000"/>
              <w:bottom w:val="single" w:sz="6" w:space="0" w:color="000000"/>
              <w:right w:val="single" w:sz="6" w:space="0" w:color="000000"/>
            </w:tcBorders>
            <w:shd w:val="clear" w:color="auto" w:fill="D2D2D2"/>
          </w:tcPr>
          <w:p>
            <w:pPr/>
          </w:p>
        </w:tc>
        <w:tc>
          <w:tcPr>
            <w:tcW w:w="1201" w:type="dxa"/>
            <w:vMerge/>
            <w:tcBorders>
              <w:left w:val="single" w:sz="6" w:space="0" w:color="000000"/>
              <w:bottom w:val="single" w:sz="6" w:space="0" w:color="000000"/>
              <w:right w:val="single" w:sz="6" w:space="0" w:color="000000"/>
            </w:tcBorders>
            <w:shd w:val="clear" w:color="auto" w:fill="D2D2D2"/>
          </w:tcPr>
          <w:p>
            <w:pPr/>
          </w:p>
        </w:tc>
        <w:tc>
          <w:tcPr>
            <w:tcW w:w="1202" w:type="dxa"/>
            <w:tcBorders>
              <w:top w:val="nil" w:sz="6" w:space="0" w:color="auto"/>
              <w:left w:val="single" w:sz="6" w:space="0" w:color="000000"/>
              <w:bottom w:val="single" w:sz="6" w:space="0" w:color="000000"/>
              <w:right w:val="single" w:sz="6" w:space="0" w:color="000000"/>
            </w:tcBorders>
            <w:shd w:val="clear" w:color="auto" w:fill="D2D2D2"/>
          </w:tcPr>
          <w:p>
            <w:pPr/>
          </w:p>
        </w:tc>
        <w:tc>
          <w:tcPr>
            <w:tcW w:w="1201" w:type="dxa"/>
            <w:vMerge/>
            <w:tcBorders>
              <w:left w:val="single" w:sz="6" w:space="0" w:color="000000"/>
              <w:bottom w:val="single" w:sz="6" w:space="0" w:color="000000"/>
              <w:right w:val="single" w:sz="6" w:space="0" w:color="000000"/>
            </w:tcBorders>
            <w:shd w:val="clear" w:color="auto" w:fill="D2D2D2"/>
          </w:tcPr>
          <w:p>
            <w:pPr/>
          </w:p>
        </w:tc>
        <w:tc>
          <w:tcPr>
            <w:tcW w:w="1179" w:type="dxa"/>
            <w:tcBorders>
              <w:top w:val="nil" w:sz="6" w:space="0" w:color="auto"/>
              <w:left w:val="single" w:sz="6" w:space="0" w:color="000000"/>
              <w:bottom w:val="single" w:sz="6" w:space="0" w:color="000000"/>
              <w:right w:val="single" w:sz="6" w:space="0" w:color="000000"/>
            </w:tcBorders>
            <w:shd w:val="clear" w:color="auto" w:fill="D2D2D2"/>
          </w:tcPr>
          <w:p>
            <w:pPr/>
          </w:p>
        </w:tc>
        <w:tc>
          <w:tcPr>
            <w:tcW w:w="1224" w:type="dxa"/>
            <w:vMerge/>
            <w:tcBorders>
              <w:left w:val="single" w:sz="6" w:space="0" w:color="000000"/>
              <w:bottom w:val="single" w:sz="6" w:space="0" w:color="000000"/>
              <w:right w:val="single" w:sz="6" w:space="0" w:color="000000"/>
            </w:tcBorders>
            <w:shd w:val="clear" w:color="auto" w:fill="D2D2D2"/>
          </w:tcPr>
          <w:p>
            <w:pPr/>
          </w:p>
        </w:tc>
        <w:tc>
          <w:tcPr>
            <w:tcW w:w="1179"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11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8,360,880.00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90,234,261.13</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w w:val="95"/>
                <w:sz w:val="18"/>
              </w:rPr>
              <w:t>9.27%</w:t>
            </w:r>
            <w:r>
              <w:rPr>
                <w:rFonts w:ascii="Times New Roman"/>
                <w:sz w:val="18"/>
              </w:rPr>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0.00</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5"/>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8,360,880.00</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5"/>
              <w:jc w:val="right"/>
              <w:rPr>
                <w:rFonts w:ascii="Times New Roman" w:hAnsi="Times New Roman" w:cs="Times New Roman" w:eastAsia="Times New Roman" w:hint="default"/>
                <w:sz w:val="18"/>
                <w:szCs w:val="18"/>
              </w:rPr>
            </w:pPr>
            <w:r>
              <w:rPr>
                <w:rFonts w:ascii="Times New Roman"/>
                <w:w w:val="95"/>
                <w:sz w:val="18"/>
              </w:rPr>
              <w:t>9.27%</w:t>
            </w:r>
            <w:r>
              <w:rPr>
                <w:rFonts w:ascii="Times New Roman"/>
                <w:sz w:val="18"/>
              </w:rPr>
            </w:r>
          </w:p>
        </w:tc>
      </w:tr>
      <w:tr>
        <w:trPr>
          <w:trHeight w:val="405"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1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20,902,200.00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133,273,482.46</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15.68%</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20,902,200.00</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6"/>
              <w:jc w:val="right"/>
              <w:rPr>
                <w:rFonts w:ascii="Times New Roman" w:hAnsi="Times New Roman" w:cs="Times New Roman" w:eastAsia="Times New Roman" w:hint="default"/>
                <w:sz w:val="18"/>
                <w:szCs w:val="18"/>
              </w:rPr>
            </w:pPr>
            <w:r>
              <w:rPr>
                <w:rFonts w:ascii="Times New Roman"/>
                <w:sz w:val="18"/>
              </w:rPr>
              <w:t>15.68%</w:t>
            </w:r>
          </w:p>
        </w:tc>
      </w:tr>
      <w:tr>
        <w:trPr>
          <w:trHeight w:val="391"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tc>
        <w:tc>
          <w:tcPr>
            <w:tcW w:w="11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20,902,200.00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125,174,450.29</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16.70%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5"/>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20,902,200.00</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Times New Roman" w:hAnsi="Times New Roman" w:cs="Times New Roman" w:eastAsia="Times New Roman" w:hint="default"/>
                <w:sz w:val="18"/>
                <w:szCs w:val="18"/>
              </w:rPr>
            </w:pPr>
            <w:r>
              <w:rPr>
                <w:rFonts w:ascii="Times New Roman"/>
                <w:sz w:val="18"/>
              </w:rPr>
              <w:t>16.70%</w:t>
            </w:r>
          </w:p>
        </w:tc>
      </w:tr>
    </w:tbl>
    <w:p>
      <w:pPr>
        <w:pStyle w:val="BodyText"/>
        <w:spacing w:line="240" w:lineRule="auto" w:before="44"/>
        <w:ind w:right="1100"/>
        <w:jc w:val="left"/>
      </w:pPr>
      <w:r>
        <w:rPr/>
        <w:t>公司报告期内盈利且母公司可供普通股股东分配利润为正但未提出普通股现金红利分配预案</w:t>
      </w:r>
    </w:p>
    <w:p>
      <w:pPr>
        <w:pStyle w:val="BodyText"/>
        <w:spacing w:line="240" w:lineRule="auto" w:before="125"/>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1100"/>
        <w:jc w:val="left"/>
        <w:rPr>
          <w:b w:val="0"/>
          <w:bCs w:val="0"/>
        </w:rPr>
      </w:pPr>
      <w:bookmarkStart w:name="二、承诺事项履行情况" w:id="64"/>
      <w:bookmarkEnd w:id="64"/>
      <w:r>
        <w:rPr>
          <w:b w:val="0"/>
          <w:bCs w:val="0"/>
        </w:rPr>
      </w:r>
      <w:r>
        <w:rPr/>
        <w:t>二、承诺事项履行情况</w:t>
      </w:r>
      <w:r>
        <w:rPr>
          <w:b w:val="0"/>
          <w:bCs w:val="0"/>
        </w:rPr>
      </w:r>
    </w:p>
    <w:p>
      <w:pPr>
        <w:spacing w:line="240" w:lineRule="auto" w:before="7"/>
        <w:rPr>
          <w:rFonts w:ascii="宋体" w:hAnsi="宋体" w:cs="宋体" w:eastAsia="宋体" w:hint="default"/>
          <w:b/>
          <w:bCs/>
          <w:sz w:val="24"/>
          <w:szCs w:val="24"/>
        </w:rPr>
      </w:pPr>
    </w:p>
    <w:p>
      <w:pPr>
        <w:pStyle w:val="Heading4"/>
        <w:spacing w:line="247" w:lineRule="auto"/>
        <w:ind w:right="1100"/>
        <w:jc w:val="left"/>
        <w:rPr>
          <w:b w:val="0"/>
          <w:bCs w:val="0"/>
        </w:rPr>
      </w:pPr>
      <w:bookmarkStart w:name="1、公司实际控制人、股东、关联方、收购人以及公司等承诺相关方在报告期内履行完毕及" w:id="65"/>
      <w:bookmarkEnd w:id="65"/>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53"/>
        </w:rPr>
        <w:t> </w:t>
      </w:r>
      <w:r>
        <w:rPr>
          <w:spacing w:val="-53"/>
        </w:rPr>
      </w:r>
      <w:r>
        <w:rPr/>
        <w:t>尚未履行完毕的承诺事项</w:t>
      </w:r>
      <w:r>
        <w:rPr>
          <w:b w:val="0"/>
          <w:bCs w:val="0"/>
        </w:rPr>
      </w:r>
    </w:p>
    <w:p>
      <w:pPr>
        <w:spacing w:line="240" w:lineRule="auto" w:before="3"/>
        <w:rPr>
          <w:rFonts w:ascii="宋体" w:hAnsi="宋体" w:cs="宋体" w:eastAsia="宋体" w:hint="default"/>
          <w:b/>
          <w:bCs/>
          <w:sz w:val="28"/>
          <w:szCs w:val="28"/>
        </w:rPr>
      </w:pPr>
    </w:p>
    <w:p>
      <w:pPr>
        <w:pStyle w:val="BodyText"/>
        <w:spacing w:line="240" w:lineRule="auto"/>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33" w:type="dxa"/>
        <w:tblLayout w:type="fixed"/>
        <w:tblCellMar>
          <w:top w:w="0" w:type="dxa"/>
          <w:left w:w="0" w:type="dxa"/>
          <w:bottom w:w="0" w:type="dxa"/>
          <w:right w:w="0" w:type="dxa"/>
        </w:tblCellMar>
        <w:tblLook w:val="01E0"/>
      </w:tblPr>
      <w:tblGrid>
        <w:gridCol w:w="2538"/>
        <w:gridCol w:w="714"/>
        <w:gridCol w:w="1006"/>
        <w:gridCol w:w="1952"/>
        <w:gridCol w:w="1126"/>
        <w:gridCol w:w="1127"/>
        <w:gridCol w:w="1111"/>
      </w:tblGrid>
      <w:tr>
        <w:trPr>
          <w:trHeight w:val="405" w:hRule="exact"/>
        </w:trPr>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907"/>
              <w:jc w:val="right"/>
              <w:rPr>
                <w:rFonts w:ascii="宋体" w:hAnsi="宋体" w:cs="宋体" w:eastAsia="宋体" w:hint="default"/>
                <w:sz w:val="18"/>
                <w:szCs w:val="18"/>
              </w:rPr>
            </w:pPr>
            <w:r>
              <w:rPr>
                <w:rFonts w:ascii="宋体" w:hAnsi="宋体" w:cs="宋体" w:eastAsia="宋体" w:hint="default"/>
                <w:sz w:val="18"/>
                <w:szCs w:val="18"/>
              </w:rPr>
              <w:t>承诺来源</w:t>
            </w:r>
          </w:p>
        </w:tc>
        <w:tc>
          <w:tcPr>
            <w:tcW w:w="7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4"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9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80"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21" w:hRule="exact"/>
        </w:trPr>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173"/>
              <w:jc w:val="left"/>
              <w:rPr>
                <w:rFonts w:ascii="宋体" w:hAnsi="宋体" w:cs="宋体" w:eastAsia="宋体" w:hint="default"/>
                <w:sz w:val="18"/>
                <w:szCs w:val="18"/>
              </w:rPr>
            </w:pPr>
            <w:r>
              <w:rPr>
                <w:rFonts w:ascii="宋体" w:hAnsi="宋体" w:cs="宋体" w:eastAsia="宋体" w:hint="default"/>
                <w:sz w:val="18"/>
                <w:szCs w:val="18"/>
              </w:rPr>
              <w:t>收购报告书或权益变动报告书 中所作承诺</w:t>
            </w:r>
          </w:p>
        </w:tc>
        <w:tc>
          <w:tcPr>
            <w:tcW w:w="714" w:type="dxa"/>
            <w:tcBorders>
              <w:top w:val="single" w:sz="6" w:space="0" w:color="000000"/>
              <w:left w:val="single" w:sz="12"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952"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893"/>
              <w:jc w:val="righ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714" w:type="dxa"/>
            <w:tcBorders>
              <w:top w:val="single" w:sz="6" w:space="0" w:color="000000"/>
              <w:left w:val="single" w:sz="12"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952"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553"/>
        <w:gridCol w:w="706"/>
        <w:gridCol w:w="1006"/>
        <w:gridCol w:w="1952"/>
        <w:gridCol w:w="1126"/>
        <w:gridCol w:w="1127"/>
        <w:gridCol w:w="1111"/>
      </w:tblGrid>
      <w:tr>
        <w:trPr>
          <w:trHeight w:val="720" w:hRule="exact"/>
        </w:trPr>
        <w:tc>
          <w:tcPr>
            <w:tcW w:w="25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181"/>
              <w:jc w:val="left"/>
              <w:rPr>
                <w:rFonts w:ascii="宋体" w:hAnsi="宋体" w:cs="宋体" w:eastAsia="宋体" w:hint="default"/>
                <w:sz w:val="18"/>
                <w:szCs w:val="18"/>
              </w:rPr>
            </w:pPr>
            <w:r>
              <w:rPr>
                <w:rFonts w:ascii="宋体" w:hAnsi="宋体" w:cs="宋体" w:eastAsia="宋体" w:hint="default"/>
                <w:sz w:val="18"/>
                <w:szCs w:val="18"/>
              </w:rPr>
              <w:t>首次公开发行或再融资时所作 承诺</w:t>
            </w:r>
          </w:p>
        </w:tc>
        <w:tc>
          <w:tcPr>
            <w:tcW w:w="70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952"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70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952"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r>
      <w:tr>
        <w:trPr>
          <w:trHeight w:val="10089" w:hRule="exact"/>
        </w:trPr>
        <w:tc>
          <w:tcPr>
            <w:tcW w:w="255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30" w:right="0"/>
              <w:jc w:val="left"/>
              <w:rPr>
                <w:rFonts w:ascii="宋体" w:hAnsi="宋体" w:cs="宋体" w:eastAsia="宋体" w:hint="default"/>
                <w:sz w:val="18"/>
                <w:szCs w:val="18"/>
              </w:rPr>
            </w:pPr>
            <w:r>
              <w:rPr>
                <w:rFonts w:ascii="宋体" w:hAnsi="宋体" w:cs="宋体" w:eastAsia="宋体" w:hint="default"/>
                <w:sz w:val="18"/>
                <w:szCs w:val="18"/>
              </w:rPr>
              <w:t>黄煜</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321" w:lineRule="auto"/>
              <w:ind w:left="29" w:right="59"/>
              <w:jc w:val="left"/>
              <w:rPr>
                <w:rFonts w:ascii="宋体" w:hAnsi="宋体" w:cs="宋体" w:eastAsia="宋体" w:hint="default"/>
                <w:sz w:val="18"/>
                <w:szCs w:val="18"/>
              </w:rPr>
            </w:pPr>
            <w:r>
              <w:rPr>
                <w:rFonts w:ascii="宋体" w:hAnsi="宋体" w:cs="宋体" w:eastAsia="宋体" w:hint="default"/>
                <w:sz w:val="18"/>
                <w:szCs w:val="18"/>
              </w:rPr>
              <w:t>竞业禁止承 诺</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4" w:right="14"/>
              <w:jc w:val="left"/>
              <w:rPr>
                <w:rFonts w:ascii="宋体" w:hAnsi="宋体" w:cs="宋体" w:eastAsia="宋体" w:hint="default"/>
                <w:sz w:val="18"/>
                <w:szCs w:val="18"/>
              </w:rPr>
            </w:pPr>
            <w:r>
              <w:rPr>
                <w:rFonts w:ascii="宋体" w:hAnsi="宋体" w:cs="宋体" w:eastAsia="宋体" w:hint="default"/>
                <w:spacing w:val="-7"/>
                <w:sz w:val="18"/>
                <w:szCs w:val="18"/>
              </w:rPr>
              <w:t>截至承诺函出具之日，本</w:t>
            </w:r>
            <w:r>
              <w:rPr>
                <w:rFonts w:ascii="宋体" w:hAnsi="宋体" w:cs="宋体" w:eastAsia="宋体" w:hint="default"/>
                <w:sz w:val="18"/>
                <w:szCs w:val="18"/>
              </w:rPr>
              <w:t> 人未以任何方式直接或 间接从事与飞天诚信相 </w:t>
            </w:r>
            <w:r>
              <w:rPr>
                <w:rFonts w:ascii="宋体" w:hAnsi="宋体" w:cs="宋体" w:eastAsia="宋体" w:hint="default"/>
                <w:spacing w:val="-7"/>
                <w:sz w:val="18"/>
                <w:szCs w:val="18"/>
              </w:rPr>
              <w:t>竞争的业务，亦未直接或</w:t>
            </w:r>
            <w:r>
              <w:rPr>
                <w:rFonts w:ascii="宋体" w:hAnsi="宋体" w:cs="宋体" w:eastAsia="宋体" w:hint="default"/>
                <w:sz w:val="18"/>
                <w:szCs w:val="18"/>
              </w:rPr>
              <w:t> 间接控制其他与飞天诚 </w:t>
            </w:r>
            <w:r>
              <w:rPr>
                <w:rFonts w:ascii="宋体" w:hAnsi="宋体" w:cs="宋体" w:eastAsia="宋体" w:hint="default"/>
                <w:spacing w:val="-7"/>
                <w:sz w:val="18"/>
                <w:szCs w:val="18"/>
              </w:rPr>
              <w:t>信业务相竞争的企业。在</w:t>
            </w:r>
            <w:r>
              <w:rPr>
                <w:rFonts w:ascii="宋体" w:hAnsi="宋体" w:cs="宋体" w:eastAsia="宋体" w:hint="default"/>
                <w:sz w:val="18"/>
                <w:szCs w:val="18"/>
              </w:rPr>
              <w:t> 飞天诚信依法存续期间 且本人仍然为飞天诚信 第一大股东或持有飞天</w:t>
            </w:r>
          </w:p>
          <w:p>
            <w:pPr>
              <w:pStyle w:val="TableParagraph"/>
              <w:spacing w:line="312" w:lineRule="auto" w:before="37"/>
              <w:ind w:left="14" w:right="14"/>
              <w:jc w:val="left"/>
              <w:rPr>
                <w:rFonts w:ascii="宋体" w:hAnsi="宋体" w:cs="宋体" w:eastAsia="宋体" w:hint="default"/>
                <w:sz w:val="18"/>
                <w:szCs w:val="18"/>
              </w:rPr>
            </w:pPr>
            <w:r>
              <w:rPr>
                <w:rFonts w:ascii="宋体" w:hAnsi="宋体" w:cs="宋体" w:eastAsia="宋体" w:hint="default"/>
                <w:sz w:val="18"/>
                <w:szCs w:val="18"/>
              </w:rPr>
              <w:t>诚信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以上股份的情况 </w:t>
            </w:r>
            <w:r>
              <w:rPr>
                <w:rFonts w:ascii="宋体" w:hAnsi="宋体" w:cs="宋体" w:eastAsia="宋体" w:hint="default"/>
                <w:spacing w:val="-7"/>
                <w:sz w:val="18"/>
                <w:szCs w:val="18"/>
              </w:rPr>
              <w:t>下，本人承诺将不以任何</w:t>
            </w:r>
            <w:r>
              <w:rPr>
                <w:rFonts w:ascii="宋体" w:hAnsi="宋体" w:cs="宋体" w:eastAsia="宋体" w:hint="default"/>
                <w:sz w:val="18"/>
                <w:szCs w:val="18"/>
              </w:rPr>
              <w:t> 方式直接或间接经营任 何与飞天诚信的主营业 务有竞争或可能构成竞 </w:t>
            </w:r>
            <w:r>
              <w:rPr>
                <w:rFonts w:ascii="宋体" w:hAnsi="宋体" w:cs="宋体" w:eastAsia="宋体" w:hint="default"/>
                <w:spacing w:val="-7"/>
                <w:sz w:val="18"/>
                <w:szCs w:val="18"/>
              </w:rPr>
              <w:t>争的业务，以避免与飞天</w:t>
            </w:r>
          </w:p>
          <w:p>
            <w:pPr>
              <w:pStyle w:val="TableParagraph"/>
              <w:spacing w:line="316" w:lineRule="auto" w:before="25"/>
              <w:ind w:left="14" w:right="15"/>
              <w:jc w:val="left"/>
              <w:rPr>
                <w:rFonts w:ascii="宋体" w:hAnsi="宋体" w:cs="宋体" w:eastAsia="宋体" w:hint="default"/>
                <w:sz w:val="18"/>
                <w:szCs w:val="18"/>
              </w:rPr>
            </w:pPr>
            <w:r>
              <w:rPr>
                <w:rFonts w:ascii="宋体" w:hAnsi="宋体" w:cs="宋体" w:eastAsia="宋体" w:hint="default"/>
                <w:spacing w:val="-7"/>
                <w:sz w:val="18"/>
                <w:szCs w:val="18"/>
              </w:rPr>
              <w:t>诚信构成同业竞争；在飞</w:t>
            </w:r>
            <w:r>
              <w:rPr>
                <w:rFonts w:ascii="宋体" w:hAnsi="宋体" w:cs="宋体" w:eastAsia="宋体" w:hint="default"/>
                <w:sz w:val="18"/>
                <w:szCs w:val="18"/>
              </w:rPr>
              <w:t> 天诚信依法存续期间且 本人仍然为飞天诚信第 一大股东或持有飞天诚</w:t>
            </w:r>
          </w:p>
          <w:p>
            <w:pPr>
              <w:pStyle w:val="TableParagraph"/>
              <w:spacing w:line="314" w:lineRule="auto" w:before="37"/>
              <w:ind w:left="14" w:right="15"/>
              <w:jc w:val="left"/>
              <w:rPr>
                <w:rFonts w:ascii="宋体" w:hAnsi="宋体" w:cs="宋体" w:eastAsia="宋体" w:hint="default"/>
                <w:sz w:val="18"/>
                <w:szCs w:val="18"/>
              </w:rPr>
            </w:pPr>
            <w:r>
              <w:rPr>
                <w:rFonts w:ascii="宋体" w:hAnsi="宋体" w:cs="宋体" w:eastAsia="宋体" w:hint="default"/>
                <w:sz w:val="18"/>
                <w:szCs w:val="18"/>
              </w:rPr>
              <w:t>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以上股份的情况 </w:t>
            </w:r>
            <w:r>
              <w:rPr>
                <w:rFonts w:ascii="宋体" w:hAnsi="宋体" w:cs="宋体" w:eastAsia="宋体" w:hint="default"/>
                <w:spacing w:val="-7"/>
                <w:sz w:val="18"/>
                <w:szCs w:val="18"/>
              </w:rPr>
              <w:t>下，若因其所从事的业务</w:t>
            </w:r>
            <w:r>
              <w:rPr>
                <w:rFonts w:ascii="宋体" w:hAnsi="宋体" w:cs="宋体" w:eastAsia="宋体" w:hint="default"/>
                <w:sz w:val="18"/>
                <w:szCs w:val="18"/>
              </w:rPr>
              <w:t> 与飞天诚信的业务发生 重合而可能构成同业竞 </w:t>
            </w:r>
            <w:r>
              <w:rPr>
                <w:rFonts w:ascii="宋体" w:hAnsi="宋体" w:cs="宋体" w:eastAsia="宋体" w:hint="default"/>
                <w:spacing w:val="-7"/>
                <w:sz w:val="18"/>
                <w:szCs w:val="18"/>
              </w:rPr>
              <w:t>争，则飞天诚信有权在同</w:t>
            </w:r>
            <w:r>
              <w:rPr>
                <w:rFonts w:ascii="宋体" w:hAnsi="宋体" w:cs="宋体" w:eastAsia="宋体" w:hint="default"/>
                <w:sz w:val="18"/>
                <w:szCs w:val="18"/>
              </w:rPr>
              <w:t> 等条件下优先收购该等 </w:t>
            </w:r>
            <w:r>
              <w:rPr>
                <w:rFonts w:ascii="宋体" w:hAnsi="宋体" w:cs="宋体" w:eastAsia="宋体" w:hint="default"/>
                <w:spacing w:val="-7"/>
                <w:sz w:val="18"/>
                <w:szCs w:val="18"/>
              </w:rPr>
              <w:t>业务所涉资产或股权，以</w:t>
            </w:r>
          </w:p>
          <w:p>
            <w:pPr>
              <w:pStyle w:val="TableParagraph"/>
              <w:spacing w:line="319" w:lineRule="auto" w:before="23"/>
              <w:ind w:left="14" w:right="15"/>
              <w:jc w:val="left"/>
              <w:rPr>
                <w:rFonts w:ascii="宋体" w:hAnsi="宋体" w:cs="宋体" w:eastAsia="宋体" w:hint="default"/>
                <w:sz w:val="18"/>
                <w:szCs w:val="18"/>
              </w:rPr>
            </w:pPr>
            <w:r>
              <w:rPr>
                <w:rFonts w:ascii="宋体" w:hAnsi="宋体" w:cs="宋体" w:eastAsia="宋体" w:hint="default"/>
                <w:sz w:val="18"/>
                <w:szCs w:val="18"/>
              </w:rPr>
              <w:t>避免与飞天诚信的业务 </w:t>
            </w:r>
            <w:r>
              <w:rPr>
                <w:rFonts w:ascii="宋体" w:hAnsi="宋体" w:cs="宋体" w:eastAsia="宋体" w:hint="default"/>
                <w:spacing w:val="-7"/>
                <w:sz w:val="18"/>
                <w:szCs w:val="18"/>
              </w:rPr>
              <w:t>构成同业竞争；如因其违</w:t>
            </w:r>
            <w:r>
              <w:rPr>
                <w:rFonts w:ascii="宋体" w:hAnsi="宋体" w:cs="宋体" w:eastAsia="宋体" w:hint="default"/>
                <w:sz w:val="18"/>
                <w:szCs w:val="18"/>
              </w:rPr>
              <w:t> 反承诺函而给飞天诚信 </w:t>
            </w:r>
            <w:r>
              <w:rPr>
                <w:rFonts w:ascii="宋体" w:hAnsi="宋体" w:cs="宋体" w:eastAsia="宋体" w:hint="default"/>
                <w:spacing w:val="-7"/>
                <w:sz w:val="18"/>
                <w:szCs w:val="18"/>
              </w:rPr>
              <w:t>造成损失的，本人同意对</w:t>
            </w:r>
            <w:r>
              <w:rPr>
                <w:rFonts w:ascii="宋体" w:hAnsi="宋体" w:cs="宋体" w:eastAsia="宋体" w:hint="default"/>
                <w:sz w:val="18"/>
                <w:szCs w:val="18"/>
              </w:rPr>
              <w:t> 由此而给飞天诚信造成 的损失予以赔偿。</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30"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15"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2537" w:hRule="exact"/>
        </w:trPr>
        <w:tc>
          <w:tcPr>
            <w:tcW w:w="2553" w:type="dxa"/>
            <w:vMerge/>
            <w:tcBorders>
              <w:left w:val="single" w:sz="6" w:space="0" w:color="000000"/>
              <w:bottom w:val="single" w:sz="6" w:space="0" w:color="000000"/>
              <w:right w:val="single" w:sz="6" w:space="0" w:color="000000"/>
            </w:tcBorders>
            <w:shd w:val="clear" w:color="auto" w:fill="D2D2D2"/>
          </w:tcPr>
          <w:p>
            <w:pP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33"/>
              <w:ind w:left="30" w:right="0"/>
              <w:jc w:val="left"/>
              <w:rPr>
                <w:rFonts w:ascii="宋体" w:hAnsi="宋体" w:cs="宋体" w:eastAsia="宋体" w:hint="default"/>
                <w:sz w:val="18"/>
                <w:szCs w:val="18"/>
              </w:rPr>
            </w:pPr>
            <w:r>
              <w:rPr>
                <w:rFonts w:ascii="宋体" w:hAnsi="宋体" w:cs="宋体" w:eastAsia="宋体" w:hint="default"/>
                <w:spacing w:val="-15"/>
                <w:sz w:val="18"/>
                <w:szCs w:val="18"/>
              </w:rPr>
              <w:t>李伟、陆</w:t>
            </w:r>
            <w:r>
              <w:rPr>
                <w:rFonts w:ascii="宋体" w:hAnsi="宋体" w:cs="宋体" w:eastAsia="宋体" w:hint="default"/>
                <w:sz w:val="18"/>
                <w:szCs w:val="18"/>
              </w:rPr>
              <w:t> 舟</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33"/>
              <w:ind w:left="29" w:right="59"/>
              <w:jc w:val="left"/>
              <w:rPr>
                <w:rFonts w:ascii="宋体" w:hAnsi="宋体" w:cs="宋体" w:eastAsia="宋体" w:hint="default"/>
                <w:sz w:val="18"/>
                <w:szCs w:val="18"/>
              </w:rPr>
            </w:pPr>
            <w:r>
              <w:rPr>
                <w:rFonts w:ascii="宋体" w:hAnsi="宋体" w:cs="宋体" w:eastAsia="宋体" w:hint="default"/>
                <w:sz w:val="18"/>
                <w:szCs w:val="18"/>
              </w:rPr>
              <w:t>竞业禁止承 诺</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4" w:right="15"/>
              <w:jc w:val="left"/>
              <w:rPr>
                <w:rFonts w:ascii="宋体" w:hAnsi="宋体" w:cs="宋体" w:eastAsia="宋体" w:hint="default"/>
                <w:sz w:val="18"/>
                <w:szCs w:val="18"/>
              </w:rPr>
            </w:pPr>
            <w:r>
              <w:rPr>
                <w:rFonts w:ascii="宋体" w:hAnsi="宋体" w:cs="宋体" w:eastAsia="宋体" w:hint="default"/>
                <w:spacing w:val="-7"/>
                <w:sz w:val="18"/>
                <w:szCs w:val="18"/>
              </w:rPr>
              <w:t>截至承诺函出具之日，本</w:t>
            </w:r>
            <w:r>
              <w:rPr>
                <w:rFonts w:ascii="宋体" w:hAnsi="宋体" w:cs="宋体" w:eastAsia="宋体" w:hint="default"/>
                <w:sz w:val="18"/>
                <w:szCs w:val="18"/>
              </w:rPr>
              <w:t> 人未以任何方式直接或 间接从事与飞天诚信相 </w:t>
            </w:r>
            <w:r>
              <w:rPr>
                <w:rFonts w:ascii="宋体" w:hAnsi="宋体" w:cs="宋体" w:eastAsia="宋体" w:hint="default"/>
                <w:spacing w:val="-7"/>
                <w:sz w:val="18"/>
                <w:szCs w:val="18"/>
              </w:rPr>
              <w:t>竞争的业务，亦未直接或</w:t>
            </w:r>
            <w:r>
              <w:rPr>
                <w:rFonts w:ascii="宋体" w:hAnsi="宋体" w:cs="宋体" w:eastAsia="宋体" w:hint="default"/>
                <w:sz w:val="18"/>
                <w:szCs w:val="18"/>
              </w:rPr>
              <w:t> 间接控制其他与飞天诚 </w:t>
            </w:r>
            <w:r>
              <w:rPr>
                <w:rFonts w:ascii="宋体" w:hAnsi="宋体" w:cs="宋体" w:eastAsia="宋体" w:hint="default"/>
                <w:spacing w:val="-7"/>
                <w:sz w:val="18"/>
                <w:szCs w:val="18"/>
              </w:rPr>
              <w:t>信业务相竞争的企业。在</w:t>
            </w:r>
            <w:r>
              <w:rPr>
                <w:rFonts w:ascii="宋体" w:hAnsi="宋体" w:cs="宋体" w:eastAsia="宋体" w:hint="default"/>
                <w:sz w:val="18"/>
                <w:szCs w:val="18"/>
              </w:rPr>
              <w:t> 飞天诚信依法存续期间 且本人仍然为飞天诚信</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5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553"/>
        <w:gridCol w:w="706"/>
        <w:gridCol w:w="1006"/>
        <w:gridCol w:w="1952"/>
        <w:gridCol w:w="1126"/>
        <w:gridCol w:w="1127"/>
        <w:gridCol w:w="1111"/>
      </w:tblGrid>
      <w:tr>
        <w:trPr>
          <w:trHeight w:val="7551" w:hRule="exact"/>
        </w:trPr>
        <w:tc>
          <w:tcPr>
            <w:tcW w:w="255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ind w:left="14" w:right="14"/>
              <w:jc w:val="left"/>
              <w:rPr>
                <w:rFonts w:ascii="宋体" w:hAnsi="宋体" w:cs="宋体" w:eastAsia="宋体" w:hint="default"/>
                <w:sz w:val="18"/>
                <w:szCs w:val="18"/>
              </w:rPr>
            </w:pPr>
            <w:r>
              <w:rPr>
                <w:rFonts w:ascii="宋体" w:hAnsi="宋体" w:cs="宋体" w:eastAsia="宋体" w:hint="default"/>
                <w:sz w:val="18"/>
                <w:szCs w:val="18"/>
              </w:rPr>
              <w:t>第一大股东或持有飞天 诚信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以上股份的情况 </w:t>
            </w:r>
            <w:r>
              <w:rPr>
                <w:rFonts w:ascii="宋体" w:hAnsi="宋体" w:cs="宋体" w:eastAsia="宋体" w:hint="default"/>
                <w:spacing w:val="-7"/>
                <w:sz w:val="18"/>
                <w:szCs w:val="18"/>
              </w:rPr>
              <w:t>下，本人承诺将不以任何</w:t>
            </w:r>
            <w:r>
              <w:rPr>
                <w:rFonts w:ascii="宋体" w:hAnsi="宋体" w:cs="宋体" w:eastAsia="宋体" w:hint="default"/>
                <w:sz w:val="18"/>
                <w:szCs w:val="18"/>
              </w:rPr>
              <w:t> 方式直接或间接经营任 何与飞天诚信的主营业</w:t>
            </w:r>
          </w:p>
          <w:p>
            <w:pPr>
              <w:pStyle w:val="TableParagraph"/>
              <w:spacing w:line="319" w:lineRule="auto" w:before="26"/>
              <w:ind w:left="14" w:right="15"/>
              <w:jc w:val="left"/>
              <w:rPr>
                <w:rFonts w:ascii="宋体" w:hAnsi="宋体" w:cs="宋体" w:eastAsia="宋体" w:hint="default"/>
                <w:sz w:val="18"/>
                <w:szCs w:val="18"/>
              </w:rPr>
            </w:pPr>
            <w:r>
              <w:rPr>
                <w:rFonts w:ascii="宋体" w:hAnsi="宋体" w:cs="宋体" w:eastAsia="宋体" w:hint="default"/>
                <w:sz w:val="18"/>
                <w:szCs w:val="18"/>
              </w:rPr>
              <w:t>务有竞争或可能构成竞 </w:t>
            </w:r>
            <w:r>
              <w:rPr>
                <w:rFonts w:ascii="宋体" w:hAnsi="宋体" w:cs="宋体" w:eastAsia="宋体" w:hint="default"/>
                <w:spacing w:val="-7"/>
                <w:sz w:val="18"/>
                <w:szCs w:val="18"/>
              </w:rPr>
              <w:t>争的业务，以避免与飞天</w:t>
            </w:r>
            <w:r>
              <w:rPr>
                <w:rFonts w:ascii="宋体" w:hAnsi="宋体" w:cs="宋体" w:eastAsia="宋体" w:hint="default"/>
                <w:sz w:val="18"/>
                <w:szCs w:val="18"/>
              </w:rPr>
              <w:t> </w:t>
            </w:r>
            <w:r>
              <w:rPr>
                <w:rFonts w:ascii="宋体" w:hAnsi="宋体" w:cs="宋体" w:eastAsia="宋体" w:hint="default"/>
                <w:spacing w:val="-7"/>
                <w:sz w:val="18"/>
                <w:szCs w:val="18"/>
              </w:rPr>
              <w:t>诚信构成同业竞争；在飞</w:t>
            </w:r>
            <w:r>
              <w:rPr>
                <w:rFonts w:ascii="宋体" w:hAnsi="宋体" w:cs="宋体" w:eastAsia="宋体" w:hint="default"/>
                <w:sz w:val="18"/>
                <w:szCs w:val="18"/>
              </w:rPr>
              <w:t> 天诚信依法存续期间且 本人仍然为飞天诚信第 一大股东或持有飞天诚 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以上股份的情况</w:t>
            </w:r>
          </w:p>
          <w:p>
            <w:pPr>
              <w:pStyle w:val="TableParagraph"/>
              <w:spacing w:line="221" w:lineRule="exact"/>
              <w:ind w:left="14" w:right="0"/>
              <w:jc w:val="left"/>
              <w:rPr>
                <w:rFonts w:ascii="宋体" w:hAnsi="宋体" w:cs="宋体" w:eastAsia="宋体" w:hint="default"/>
                <w:sz w:val="18"/>
                <w:szCs w:val="18"/>
              </w:rPr>
            </w:pPr>
            <w:r>
              <w:rPr>
                <w:rFonts w:ascii="宋体" w:hAnsi="宋体" w:cs="宋体" w:eastAsia="宋体" w:hint="default"/>
                <w:sz w:val="18"/>
                <w:szCs w:val="18"/>
              </w:rPr>
              <w:t>下</w:t>
            </w:r>
            <w:r>
              <w:rPr>
                <w:rFonts w:ascii="宋体" w:hAnsi="宋体" w:cs="宋体" w:eastAsia="宋体" w:hint="default"/>
                <w:spacing w:val="-76"/>
                <w:sz w:val="18"/>
                <w:szCs w:val="18"/>
              </w:rPr>
              <w:t>，</w:t>
            </w:r>
            <w:r>
              <w:rPr>
                <w:rFonts w:ascii="宋体" w:hAnsi="宋体" w:cs="宋体" w:eastAsia="宋体" w:hint="default"/>
                <w:sz w:val="18"/>
                <w:szCs w:val="18"/>
              </w:rPr>
              <w:t>若因其所从事的业务</w:t>
            </w:r>
          </w:p>
          <w:p>
            <w:pPr>
              <w:pStyle w:val="TableParagraph"/>
              <w:spacing w:line="319" w:lineRule="auto" w:before="79"/>
              <w:ind w:left="14" w:right="14"/>
              <w:jc w:val="left"/>
              <w:rPr>
                <w:rFonts w:ascii="宋体" w:hAnsi="宋体" w:cs="宋体" w:eastAsia="宋体" w:hint="default"/>
                <w:sz w:val="18"/>
                <w:szCs w:val="18"/>
              </w:rPr>
            </w:pPr>
            <w:r>
              <w:rPr>
                <w:rFonts w:ascii="宋体" w:hAnsi="宋体" w:cs="宋体" w:eastAsia="宋体" w:hint="default"/>
                <w:sz w:val="18"/>
                <w:szCs w:val="18"/>
              </w:rPr>
              <w:t>与飞天诚信的业务发生 重合而可能构成同业竞 </w:t>
            </w:r>
            <w:r>
              <w:rPr>
                <w:rFonts w:ascii="宋体" w:hAnsi="宋体" w:cs="宋体" w:eastAsia="宋体" w:hint="default"/>
                <w:spacing w:val="-7"/>
                <w:sz w:val="18"/>
                <w:szCs w:val="18"/>
              </w:rPr>
              <w:t>争，则飞天诚信有权在同</w:t>
            </w:r>
            <w:r>
              <w:rPr>
                <w:rFonts w:ascii="宋体" w:hAnsi="宋体" w:cs="宋体" w:eastAsia="宋体" w:hint="default"/>
                <w:sz w:val="18"/>
                <w:szCs w:val="18"/>
              </w:rPr>
              <w:t> 等条件下优先收购该等 </w:t>
            </w:r>
            <w:r>
              <w:rPr>
                <w:rFonts w:ascii="宋体" w:hAnsi="宋体" w:cs="宋体" w:eastAsia="宋体" w:hint="default"/>
                <w:spacing w:val="-7"/>
                <w:sz w:val="18"/>
                <w:szCs w:val="18"/>
              </w:rPr>
              <w:t>业务所涉资产或股权，以</w:t>
            </w:r>
            <w:r>
              <w:rPr>
                <w:rFonts w:ascii="宋体" w:hAnsi="宋体" w:cs="宋体" w:eastAsia="宋体" w:hint="default"/>
                <w:sz w:val="18"/>
                <w:szCs w:val="18"/>
              </w:rPr>
              <w:t> 避免与飞天诚信的业务 </w:t>
            </w:r>
            <w:r>
              <w:rPr>
                <w:rFonts w:ascii="宋体" w:hAnsi="宋体" w:cs="宋体" w:eastAsia="宋体" w:hint="default"/>
                <w:spacing w:val="-7"/>
                <w:sz w:val="18"/>
                <w:szCs w:val="18"/>
              </w:rPr>
              <w:t>构成同业竞争；如因其违</w:t>
            </w:r>
            <w:r>
              <w:rPr>
                <w:rFonts w:ascii="宋体" w:hAnsi="宋体" w:cs="宋体" w:eastAsia="宋体" w:hint="default"/>
                <w:sz w:val="18"/>
                <w:szCs w:val="18"/>
              </w:rPr>
              <w:t> 反承诺函而给飞天诚信 </w:t>
            </w:r>
            <w:r>
              <w:rPr>
                <w:rFonts w:ascii="宋体" w:hAnsi="宋体" w:cs="宋体" w:eastAsia="宋体" w:hint="default"/>
                <w:spacing w:val="-7"/>
                <w:sz w:val="18"/>
                <w:szCs w:val="18"/>
              </w:rPr>
              <w:t>造成损失的，本人同意对</w:t>
            </w:r>
            <w:r>
              <w:rPr>
                <w:rFonts w:ascii="宋体" w:hAnsi="宋体" w:cs="宋体" w:eastAsia="宋体" w:hint="default"/>
                <w:sz w:val="18"/>
                <w:szCs w:val="18"/>
              </w:rPr>
              <w:t> 由此而给飞天诚信造成 的损失予以赔偿。</w:t>
            </w:r>
          </w:p>
        </w:tc>
        <w:tc>
          <w:tcPr>
            <w:tcW w:w="112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5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029"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6"/>
        <w:rPr>
          <w:rFonts w:ascii="Times New Roman" w:hAnsi="Times New Roman" w:cs="Times New Roman" w:eastAsia="Times New Roman" w:hint="default"/>
          <w:sz w:val="22"/>
          <w:szCs w:val="22"/>
        </w:rPr>
      </w:pPr>
    </w:p>
    <w:p>
      <w:pPr>
        <w:pStyle w:val="Heading4"/>
        <w:spacing w:line="247" w:lineRule="auto" w:before="35"/>
        <w:ind w:right="1100"/>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53"/>
        </w:rPr>
        <w:t> </w:t>
      </w:r>
      <w:r>
        <w:rPr>
          <w:spacing w:val="-53"/>
        </w:rPr>
      </w:r>
      <w:r>
        <w:rPr/>
        <w:t>其原因做出说明</w:t>
      </w:r>
      <w:r>
        <w:rPr>
          <w:b w:val="0"/>
          <w:bCs w:val="0"/>
        </w:rPr>
      </w:r>
    </w:p>
    <w:p>
      <w:pPr>
        <w:spacing w:line="240" w:lineRule="auto" w:before="3"/>
        <w:rPr>
          <w:rFonts w:ascii="宋体" w:hAnsi="宋体" w:cs="宋体" w:eastAsia="宋体" w:hint="default"/>
          <w:b/>
          <w:bCs/>
          <w:sz w:val="28"/>
          <w:szCs w:val="28"/>
        </w:rPr>
      </w:pPr>
    </w:p>
    <w:p>
      <w:pPr>
        <w:pStyle w:val="BodyText"/>
        <w:spacing w:line="240" w:lineRule="auto"/>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1100"/>
        <w:jc w:val="left"/>
        <w:rPr>
          <w:b w:val="0"/>
          <w:bCs w:val="0"/>
        </w:rPr>
      </w:pPr>
      <w:bookmarkStart w:name="三、控股股东及其关联方对上市公司的非经营性占用资金情况" w:id="67"/>
      <w:bookmarkEnd w:id="67"/>
      <w:r>
        <w:rPr>
          <w:b w:val="0"/>
          <w:bCs w:val="0"/>
        </w:rPr>
      </w:r>
      <w:r>
        <w:rPr/>
        <w:t>三、控股股东及其关联方对上市公司的非经营性占用资金情况</w:t>
      </w:r>
      <w:r>
        <w:rPr>
          <w:b w:val="0"/>
          <w:bCs w:val="0"/>
        </w:rPr>
      </w:r>
    </w:p>
    <w:p>
      <w:pPr>
        <w:spacing w:line="240" w:lineRule="auto" w:before="1"/>
        <w:rPr>
          <w:rFonts w:ascii="宋体" w:hAnsi="宋体" w:cs="宋体" w:eastAsia="宋体" w:hint="default"/>
          <w:b/>
          <w:bCs/>
          <w:sz w:val="26"/>
          <w:szCs w:val="26"/>
        </w:rPr>
      </w:pPr>
    </w:p>
    <w:p>
      <w:pPr>
        <w:pStyle w:val="BodyText"/>
        <w:spacing w:line="333" w:lineRule="auto"/>
        <w:ind w:right="49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公司报告期不存在控股股东及其关联方对上市公司的非经营性占用资金。</w:t>
      </w:r>
    </w:p>
    <w:p>
      <w:pPr>
        <w:spacing w:line="240" w:lineRule="auto" w:before="8"/>
        <w:rPr>
          <w:rFonts w:ascii="宋体" w:hAnsi="宋体" w:cs="宋体" w:eastAsia="宋体" w:hint="default"/>
          <w:sz w:val="20"/>
          <w:szCs w:val="20"/>
        </w:rPr>
      </w:pPr>
    </w:p>
    <w:p>
      <w:pPr>
        <w:pStyle w:val="Heading2"/>
        <w:spacing w:line="240" w:lineRule="auto"/>
        <w:ind w:right="1100"/>
        <w:jc w:val="left"/>
        <w:rPr>
          <w:b w:val="0"/>
          <w:bCs w:val="0"/>
        </w:rPr>
      </w:pPr>
      <w:bookmarkStart w:name="四、董事会对最近一期“非标准审计报告”相关情况的说明" w:id="68"/>
      <w:bookmarkEnd w:id="68"/>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1"/>
        <w:rPr>
          <w:rFonts w:ascii="宋体" w:hAnsi="宋体" w:cs="宋体" w:eastAsia="宋体" w:hint="default"/>
          <w:b/>
          <w:bCs/>
          <w:sz w:val="25"/>
          <w:szCs w:val="25"/>
        </w:rPr>
      </w:pPr>
    </w:p>
    <w:p>
      <w:pPr>
        <w:pStyle w:val="BodyText"/>
        <w:spacing w:line="240" w:lineRule="auto"/>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0"/>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5"/>
          <w:szCs w:val="25"/>
        </w:rPr>
      </w:pPr>
      <w:r>
        <w:rPr/>
        <w:pict>
          <v:shape style="position:absolute;margin-left:54.825001pt;margin-top:120.099998pt;width:486.25pt;height:636.6pt;mso-position-horizontal-relative:page;mso-position-vertical-relative:page;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44"/>
                    <w:gridCol w:w="3229"/>
                    <w:gridCol w:w="3229"/>
                  </w:tblGrid>
                  <w:tr>
                    <w:trPr>
                      <w:trHeight w:val="405" w:hRule="exact"/>
                    </w:trPr>
                    <w:tc>
                      <w:tcPr>
                        <w:tcW w:w="3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2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2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8212" w:hRule="exact"/>
                    </w:trPr>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0" w:right="0"/>
                          <w:jc w:val="both"/>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年陆续修订印发《企业会</w:t>
                        </w:r>
                      </w:p>
                      <w:p>
                        <w:pPr>
                          <w:pStyle w:val="TableParagraph"/>
                          <w:spacing w:line="240" w:lineRule="auto" w:before="66"/>
                          <w:ind w:left="30" w:right="0"/>
                          <w:jc w:val="both"/>
                          <w:rPr>
                            <w:rFonts w:ascii="宋体" w:hAnsi="宋体" w:cs="宋体" w:eastAsia="宋体" w:hint="default"/>
                            <w:sz w:val="18"/>
                            <w:szCs w:val="18"/>
                          </w:rPr>
                        </w:pPr>
                        <w:r>
                          <w:rPr>
                            <w:rFonts w:ascii="宋体" w:hAnsi="宋体" w:cs="宋体" w:eastAsia="宋体" w:hint="default"/>
                            <w:sz w:val="18"/>
                            <w:szCs w:val="18"/>
                          </w:rPr>
                          <w:t>计准则第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金融工具确认和计量</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66"/>
                          <w:ind w:left="30" w:right="0"/>
                          <w:jc w:val="both"/>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5"/>
                            <w:sz w:val="18"/>
                            <w:szCs w:val="18"/>
                          </w:rPr>
                          <w:t> </w:t>
                        </w:r>
                        <w:r>
                          <w:rPr>
                            <w:rFonts w:ascii="宋体" w:hAnsi="宋体" w:cs="宋体" w:eastAsia="宋体" w:hint="default"/>
                            <w:spacing w:val="-14"/>
                            <w:sz w:val="18"/>
                            <w:szCs w:val="18"/>
                          </w:rPr>
                          <w:t>号</w:t>
                        </w:r>
                        <w:r>
                          <w:rPr>
                            <w:rFonts w:ascii="Times New Roman" w:hAnsi="Times New Roman" w:cs="Times New Roman" w:eastAsia="Times New Roman" w:hint="default"/>
                            <w:spacing w:val="-14"/>
                            <w:sz w:val="18"/>
                            <w:szCs w:val="18"/>
                          </w:rPr>
                          <w:t>-</w:t>
                        </w:r>
                        <w:r>
                          <w:rPr>
                            <w:rFonts w:ascii="宋体" w:hAnsi="宋体" w:cs="宋体" w:eastAsia="宋体" w:hint="default"/>
                            <w:spacing w:val="-14"/>
                            <w:sz w:val="18"/>
                            <w:szCs w:val="18"/>
                          </w:rPr>
                          <w:t>金融资产转移》、</w:t>
                        </w:r>
                        <w:r>
                          <w:rPr>
                            <w:rFonts w:ascii="宋体" w:hAnsi="宋体" w:cs="宋体" w:eastAsia="宋体" w:hint="default"/>
                            <w:sz w:val="18"/>
                            <w:szCs w:val="18"/>
                          </w:rPr>
                        </w:r>
                      </w:p>
                      <w:p>
                        <w:pPr>
                          <w:pStyle w:val="TableParagraph"/>
                          <w:spacing w:line="240" w:lineRule="auto" w:before="51"/>
                          <w:ind w:left="30" w:right="0"/>
                          <w:jc w:val="both"/>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套期会计</w:t>
                        </w:r>
                        <w:r>
                          <w:rPr>
                            <w:rFonts w:ascii="宋体" w:hAnsi="宋体" w:cs="宋体" w:eastAsia="宋体" w:hint="default"/>
                            <w:spacing w:val="-90"/>
                            <w:sz w:val="18"/>
                            <w:szCs w:val="18"/>
                          </w:rPr>
                          <w:t>》和</w:t>
                        </w:r>
                        <w:r>
                          <w:rPr>
                            <w:rFonts w:ascii="宋体" w:hAnsi="宋体" w:cs="宋体" w:eastAsia="宋体" w:hint="default"/>
                            <w:sz w:val="18"/>
                            <w:szCs w:val="18"/>
                          </w:rPr>
                          <w:t>《企</w:t>
                        </w:r>
                      </w:p>
                      <w:p>
                        <w:pPr>
                          <w:pStyle w:val="TableParagraph"/>
                          <w:spacing w:line="304" w:lineRule="auto" w:before="66"/>
                          <w:ind w:left="30" w:right="15"/>
                          <w:jc w:val="both"/>
                          <w:rPr>
                            <w:rFonts w:ascii="宋体" w:hAnsi="宋体" w:cs="宋体" w:eastAsia="宋体" w:hint="default"/>
                            <w:sz w:val="18"/>
                            <w:szCs w:val="18"/>
                          </w:rPr>
                        </w:pPr>
                        <w:r>
                          <w:rPr>
                            <w:rFonts w:ascii="宋体" w:hAnsi="宋体" w:cs="宋体" w:eastAsia="宋体" w:hint="default"/>
                            <w:sz w:val="18"/>
                            <w:szCs w:val="18"/>
                          </w:rPr>
                          <w:t>业会计准则第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37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金融工具列报》等四</w:t>
                        </w:r>
                        <w:r>
                          <w:rPr>
                            <w:rFonts w:ascii="宋体" w:hAnsi="宋体" w:cs="宋体" w:eastAsia="宋体" w:hint="default"/>
                            <w:sz w:val="18"/>
                            <w:szCs w:val="18"/>
                          </w:rPr>
                          <w:t> </w:t>
                        </w:r>
                        <w:r>
                          <w:rPr>
                            <w:rFonts w:ascii="宋体" w:hAnsi="宋体" w:cs="宋体" w:eastAsia="宋体" w:hint="default"/>
                            <w:spacing w:val="-5"/>
                            <w:w w:val="99"/>
                            <w:sz w:val="18"/>
                            <w:szCs w:val="18"/>
                          </w:rPr>
                          <w:t>项会计准则（简称</w:t>
                        </w:r>
                        <w:r>
                          <w:rPr>
                            <w:rFonts w:ascii="Times New Roman" w:hAnsi="Times New Roman" w:cs="Times New Roman" w:eastAsia="Times New Roman" w:hint="default"/>
                            <w:spacing w:val="-5"/>
                            <w:w w:val="99"/>
                            <w:sz w:val="18"/>
                            <w:szCs w:val="18"/>
                          </w:rPr>
                          <w:t>"</w:t>
                        </w:r>
                        <w:r>
                          <w:rPr>
                            <w:rFonts w:ascii="宋体" w:hAnsi="宋体" w:cs="宋体" w:eastAsia="宋体" w:hint="default"/>
                            <w:spacing w:val="-5"/>
                            <w:w w:val="99"/>
                            <w:sz w:val="18"/>
                            <w:szCs w:val="18"/>
                          </w:rPr>
                          <w:t>新金融准则</w:t>
                        </w:r>
                        <w:r>
                          <w:rPr>
                            <w:rFonts w:ascii="Times New Roman" w:hAnsi="Times New Roman" w:cs="Times New Roman" w:eastAsia="Times New Roman" w:hint="default"/>
                            <w:spacing w:val="-5"/>
                            <w:w w:val="99"/>
                            <w:sz w:val="18"/>
                            <w:szCs w:val="18"/>
                          </w:rPr>
                          <w:t>"</w:t>
                        </w:r>
                        <w:r>
                          <w:rPr>
                            <w:rFonts w:ascii="宋体" w:hAnsi="宋体" w:cs="宋体" w:eastAsia="宋体" w:hint="default"/>
                            <w:spacing w:val="-5"/>
                            <w:w w:val="99"/>
                            <w:sz w:val="18"/>
                            <w:szCs w:val="18"/>
                          </w:rPr>
                          <w:t>），境内</w:t>
                        </w:r>
                        <w:r>
                          <w:rPr>
                            <w:rFonts w:ascii="宋体" w:hAnsi="宋体" w:cs="宋体" w:eastAsia="宋体" w:hint="default"/>
                            <w:spacing w:val="-80"/>
                            <w:w w:val="99"/>
                            <w:sz w:val="18"/>
                            <w:szCs w:val="18"/>
                          </w:rPr>
                          <w:t> </w:t>
                        </w:r>
                        <w:r>
                          <w:rPr>
                            <w:rFonts w:ascii="宋体" w:hAnsi="宋体" w:cs="宋体" w:eastAsia="宋体" w:hint="default"/>
                            <w:spacing w:val="-80"/>
                            <w:w w:val="99"/>
                            <w:sz w:val="18"/>
                            <w:szCs w:val="18"/>
                          </w:rPr>
                        </w:r>
                        <w:r>
                          <w:rPr>
                            <w:rFonts w:ascii="宋体" w:hAnsi="宋体" w:cs="宋体" w:eastAsia="宋体" w:hint="default"/>
                            <w:sz w:val="18"/>
                            <w:szCs w:val="18"/>
                          </w:rPr>
                          <w:t>上市企业自</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日起开始执行</w:t>
                        </w:r>
                      </w:p>
                    </w:tc>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97" w:lineRule="auto"/>
                          <w:ind w:left="14" w:right="134"/>
                          <w:jc w:val="both"/>
                          <w:rPr>
                            <w:rFonts w:ascii="宋体" w:hAnsi="宋体" w:cs="宋体" w:eastAsia="宋体" w:hint="default"/>
                            <w:sz w:val="18"/>
                            <w:szCs w:val="18"/>
                          </w:rPr>
                        </w:pPr>
                        <w:r>
                          <w:rPr>
                            <w:rFonts w:ascii="宋体" w:hAnsi="宋体" w:cs="宋体" w:eastAsia="宋体" w:hint="default"/>
                            <w:sz w:val="18"/>
                            <w:szCs w:val="18"/>
                          </w:rPr>
                          <w:t>经本公司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 三届董事会第二十四次会议和第三届监 事会第十七次会议审议通过。</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37" w:right="0"/>
                          <w:jc w:val="left"/>
                          <w:rPr>
                            <w:rFonts w:ascii="宋体" w:hAnsi="宋体" w:cs="宋体" w:eastAsia="宋体" w:hint="default"/>
                            <w:sz w:val="18"/>
                            <w:szCs w:val="18"/>
                          </w:rPr>
                        </w:pPr>
                        <w:r>
                          <w:rPr>
                            <w:rFonts w:ascii="宋体" w:hAnsi="宋体" w:cs="宋体" w:eastAsia="宋体" w:hint="default"/>
                            <w:sz w:val="18"/>
                            <w:szCs w:val="18"/>
                          </w:rPr>
                          <w:t>。</w:t>
                        </w:r>
                      </w:p>
                    </w:tc>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59"/>
                          <w:ind w:left="15" w:right="1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、以企业持有金融资产的</w:t>
                        </w:r>
                        <w:r>
                          <w:rPr>
                            <w:rFonts w:ascii="Times New Roman" w:hAnsi="Times New Roman" w:cs="Times New Roman" w:eastAsia="Times New Roman" w:hint="default"/>
                            <w:sz w:val="18"/>
                            <w:szCs w:val="18"/>
                          </w:rPr>
                          <w:t>"</w:t>
                        </w:r>
                        <w:r>
                          <w:rPr>
                            <w:rFonts w:ascii="宋体" w:hAnsi="宋体" w:cs="宋体" w:eastAsia="宋体" w:hint="default"/>
                            <w:sz w:val="18"/>
                            <w:szCs w:val="18"/>
                          </w:rPr>
                          <w:t>业务模式</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金融资产合同现金流量特征</w:t>
                        </w:r>
                        <w:r>
                          <w:rPr>
                            <w:rFonts w:ascii="Times New Roman" w:hAnsi="Times New Roman" w:cs="Times New Roman" w:eastAsia="Times New Roman" w:hint="default"/>
                            <w:sz w:val="18"/>
                            <w:szCs w:val="18"/>
                          </w:rPr>
                          <w:t>"</w:t>
                        </w:r>
                        <w:r>
                          <w:rPr>
                            <w:rFonts w:ascii="宋体" w:hAnsi="宋体" w:cs="宋体" w:eastAsia="宋体" w:hint="default"/>
                            <w:sz w:val="18"/>
                            <w:szCs w:val="18"/>
                          </w:rPr>
                          <w:t>作为金融资</w:t>
                        </w:r>
                        <w:r>
                          <w:rPr>
                            <w:rFonts w:ascii="宋体" w:hAnsi="宋体" w:cs="宋体" w:eastAsia="宋体" w:hint="default"/>
                            <w:spacing w:val="-87"/>
                            <w:sz w:val="18"/>
                            <w:szCs w:val="18"/>
                          </w:rPr>
                          <w:t> </w:t>
                        </w:r>
                        <w:r>
                          <w:rPr>
                            <w:rFonts w:ascii="宋体" w:hAnsi="宋体" w:cs="宋体" w:eastAsia="宋体" w:hint="default"/>
                            <w:sz w:val="18"/>
                            <w:szCs w:val="18"/>
                          </w:rPr>
                          <w:t>产分类的判断依据，将金融资产分类为</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pacing w:val="-2"/>
                            <w:sz w:val="18"/>
                            <w:szCs w:val="18"/>
                          </w:rPr>
                          <w:t>以摊余成本计量的金融资产</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以公允价</w:t>
                        </w:r>
                        <w:r>
                          <w:rPr>
                            <w:rFonts w:ascii="宋体" w:hAnsi="宋体" w:cs="宋体" w:eastAsia="宋体" w:hint="default"/>
                            <w:spacing w:val="-78"/>
                            <w:sz w:val="18"/>
                            <w:szCs w:val="18"/>
                          </w:rPr>
                          <w:t> </w:t>
                        </w:r>
                        <w:r>
                          <w:rPr>
                            <w:rFonts w:ascii="宋体" w:hAnsi="宋体" w:cs="宋体" w:eastAsia="宋体" w:hint="default"/>
                            <w:sz w:val="18"/>
                            <w:szCs w:val="18"/>
                          </w:rPr>
                          <w:t>值计量且其变动计入其他综合收益的金 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以公允价值计量且其变动计 </w:t>
                        </w:r>
                        <w:r>
                          <w:rPr>
                            <w:rFonts w:ascii="宋体" w:hAnsi="宋体" w:cs="宋体" w:eastAsia="宋体" w:hint="default"/>
                            <w:spacing w:val="-4"/>
                            <w:sz w:val="18"/>
                            <w:szCs w:val="18"/>
                          </w:rPr>
                          <w:t>入当期损益的金融资产</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三类。</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、调整了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非交易性权益工具投资的会计处理。允许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企业将非交易性权益工具投资指定为以 公允价值计量且其变动计入其他综合收 </w:t>
                        </w:r>
                        <w:r>
                          <w:rPr>
                            <w:rFonts w:ascii="宋体" w:hAnsi="宋体" w:cs="宋体" w:eastAsia="宋体" w:hint="default"/>
                            <w:spacing w:val="-4"/>
                            <w:sz w:val="18"/>
                            <w:szCs w:val="18"/>
                          </w:rPr>
                          <w:t>益进行处理，但该指定不可撤销，且在处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置时应将之前已计入其他综合收益的累 </w:t>
                        </w:r>
                        <w:r>
                          <w:rPr>
                            <w:rFonts w:ascii="宋体" w:hAnsi="宋体" w:cs="宋体" w:eastAsia="宋体" w:hint="default"/>
                            <w:spacing w:val="-4"/>
                            <w:sz w:val="18"/>
                            <w:szCs w:val="18"/>
                          </w:rPr>
                          <w:t>计利得或损失转入留存收益，不得结转计</w:t>
                        </w:r>
                      </w:p>
                      <w:p>
                        <w:pPr>
                          <w:pStyle w:val="TableParagraph"/>
                          <w:spacing w:line="288" w:lineRule="auto" w:before="44"/>
                          <w:ind w:left="15" w:right="-42"/>
                          <w:jc w:val="both"/>
                          <w:rPr>
                            <w:rFonts w:ascii="宋体" w:hAnsi="宋体" w:cs="宋体" w:eastAsia="宋体" w:hint="default"/>
                            <w:sz w:val="18"/>
                            <w:szCs w:val="18"/>
                          </w:rPr>
                        </w:pPr>
                        <w:r>
                          <w:rPr>
                            <w:rFonts w:ascii="宋体" w:hAnsi="宋体" w:cs="宋体" w:eastAsia="宋体" w:hint="default"/>
                            <w:sz w:val="18"/>
                            <w:szCs w:val="18"/>
                          </w:rPr>
                          <w:t>入当期损益。</w:t>
                        </w:r>
                        <w:r>
                          <w:rPr>
                            <w:rFonts w:ascii="Times New Roman" w:hAnsi="Times New Roman" w:cs="Times New Roman" w:eastAsia="Times New Roman" w:hint="default"/>
                            <w:sz w:val="18"/>
                            <w:szCs w:val="18"/>
                          </w:rPr>
                          <w:t>3</w:t>
                        </w:r>
                        <w:r>
                          <w:rPr>
                            <w:rFonts w:ascii="宋体" w:hAnsi="宋体" w:cs="宋体" w:eastAsia="宋体" w:hint="default"/>
                            <w:sz w:val="18"/>
                            <w:szCs w:val="18"/>
                          </w:rPr>
                          <w:t>、金融资产减值会计处理 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已发生损失法</w:t>
                        </w:r>
                        <w:r>
                          <w:rPr>
                            <w:rFonts w:ascii="Times New Roman" w:hAnsi="Times New Roman" w:cs="Times New Roman" w:eastAsia="Times New Roman" w:hint="default"/>
                            <w:sz w:val="18"/>
                            <w:szCs w:val="18"/>
                          </w:rPr>
                          <w:t>"</w:t>
                        </w:r>
                        <w:r>
                          <w:rPr>
                            <w:rFonts w:ascii="宋体" w:hAnsi="宋体" w:cs="宋体" w:eastAsia="宋体" w:hint="default"/>
                            <w:sz w:val="18"/>
                            <w:szCs w:val="18"/>
                          </w:rPr>
                          <w:t>改为</w:t>
                        </w:r>
                        <w:r>
                          <w:rPr>
                            <w:rFonts w:ascii="Times New Roman" w:hAnsi="Times New Roman" w:cs="Times New Roman" w:eastAsia="Times New Roman" w:hint="default"/>
                            <w:sz w:val="18"/>
                            <w:szCs w:val="18"/>
                          </w:rPr>
                          <w:t>"</w:t>
                        </w:r>
                        <w:r>
                          <w:rPr>
                            <w:rFonts w:ascii="宋体" w:hAnsi="宋体" w:cs="宋体" w:eastAsia="宋体" w:hint="default"/>
                            <w:sz w:val="18"/>
                            <w:szCs w:val="18"/>
                          </w:rPr>
                          <w:t>预期损失法</w:t>
                        </w:r>
                        <w:r>
                          <w:rPr>
                            <w:rFonts w:ascii="Times New Roman" w:hAnsi="Times New Roman" w:cs="Times New Roman" w:eastAsia="Times New Roman" w:hint="default"/>
                            <w:sz w:val="18"/>
                            <w:szCs w:val="18"/>
                          </w:rPr>
                          <w:t>"</w:t>
                        </w:r>
                        <w:r>
                          <w:rPr>
                            <w:rFonts w:ascii="宋体" w:hAnsi="宋体" w:cs="宋体" w:eastAsia="宋体" w:hint="default"/>
                            <w:sz w:val="18"/>
                            <w:szCs w:val="18"/>
                          </w:rPr>
                          <w:t>，要</w:t>
                        </w:r>
                        <w:r>
                          <w:rPr>
                            <w:rFonts w:ascii="宋体" w:hAnsi="宋体" w:cs="宋体" w:eastAsia="宋体" w:hint="default"/>
                            <w:spacing w:val="-84"/>
                            <w:sz w:val="18"/>
                            <w:szCs w:val="18"/>
                          </w:rPr>
                          <w:t> </w:t>
                        </w:r>
                        <w:r>
                          <w:rPr>
                            <w:rFonts w:ascii="宋体" w:hAnsi="宋体" w:cs="宋体" w:eastAsia="宋体" w:hint="default"/>
                            <w:sz w:val="18"/>
                            <w:szCs w:val="18"/>
                          </w:rPr>
                          <w:t>求考虑金融资产未来预期信用损失情况，</w:t>
                        </w:r>
                      </w:p>
                      <w:p>
                        <w:pPr>
                          <w:pStyle w:val="TableParagraph"/>
                          <w:spacing w:line="319" w:lineRule="auto" w:before="43"/>
                          <w:ind w:left="15" w:right="16"/>
                          <w:jc w:val="both"/>
                          <w:rPr>
                            <w:rFonts w:ascii="宋体" w:hAnsi="宋体" w:cs="宋体" w:eastAsia="宋体" w:hint="default"/>
                            <w:sz w:val="18"/>
                            <w:szCs w:val="18"/>
                          </w:rPr>
                        </w:pPr>
                        <w:r>
                          <w:rPr>
                            <w:rFonts w:ascii="宋体" w:hAnsi="宋体" w:cs="宋体" w:eastAsia="宋体" w:hint="default"/>
                            <w:spacing w:val="-4"/>
                            <w:sz w:val="18"/>
                            <w:szCs w:val="18"/>
                          </w:rPr>
                          <w:t>从而更加及时、足额地计提金融资产减值</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准备。</w:t>
                        </w:r>
                        <w:r>
                          <w:rPr>
                            <w:rFonts w:ascii="Times New Roman" w:hAnsi="Times New Roman" w:cs="Times New Roman" w:eastAsia="Times New Roman" w:hint="default"/>
                            <w:sz w:val="18"/>
                            <w:szCs w:val="18"/>
                          </w:rPr>
                          <w:t>4</w:t>
                        </w:r>
                        <w:r>
                          <w:rPr>
                            <w:rFonts w:ascii="宋体" w:hAnsi="宋体" w:cs="宋体" w:eastAsia="宋体" w:hint="default"/>
                            <w:sz w:val="18"/>
                            <w:szCs w:val="18"/>
                          </w:rPr>
                          <w:t>、进一步明确金融资产转移的判 断原则及其会计处理。</w:t>
                        </w:r>
                        <w:r>
                          <w:rPr>
                            <w:rFonts w:ascii="Times New Roman" w:hAnsi="Times New Roman" w:cs="Times New Roman" w:eastAsia="Times New Roman" w:hint="default"/>
                            <w:sz w:val="18"/>
                            <w:szCs w:val="18"/>
                          </w:rPr>
                          <w:t>5</w:t>
                        </w:r>
                        <w:r>
                          <w:rPr>
                            <w:rFonts w:ascii="宋体" w:hAnsi="宋体" w:cs="宋体" w:eastAsia="宋体" w:hint="default"/>
                            <w:sz w:val="18"/>
                            <w:szCs w:val="18"/>
                          </w:rPr>
                          <w:t>、修订套期会计</w:t>
                        </w:r>
                      </w:p>
                      <w:p>
                        <w:pPr>
                          <w:pStyle w:val="TableParagraph"/>
                          <w:spacing w:line="221" w:lineRule="exact"/>
                          <w:ind w:left="15" w:right="0"/>
                          <w:jc w:val="left"/>
                          <w:rPr>
                            <w:rFonts w:ascii="宋体" w:hAnsi="宋体" w:cs="宋体" w:eastAsia="宋体" w:hint="default"/>
                            <w:sz w:val="18"/>
                            <w:szCs w:val="18"/>
                          </w:rPr>
                        </w:pPr>
                        <w:r>
                          <w:rPr>
                            <w:rFonts w:ascii="宋体" w:hAnsi="宋体" w:cs="宋体" w:eastAsia="宋体" w:hint="default"/>
                            <w:spacing w:val="-4"/>
                            <w:sz w:val="18"/>
                            <w:szCs w:val="18"/>
                          </w:rPr>
                          <w:t>相关规定，使套期会计更加如实地反映企</w:t>
                        </w:r>
                      </w:p>
                      <w:p>
                        <w:pPr>
                          <w:pStyle w:val="TableParagraph"/>
                          <w:spacing w:line="319" w:lineRule="auto" w:before="64"/>
                          <w:ind w:left="15" w:right="14"/>
                          <w:jc w:val="left"/>
                          <w:rPr>
                            <w:rFonts w:ascii="宋体" w:hAnsi="宋体" w:cs="宋体" w:eastAsia="宋体" w:hint="default"/>
                            <w:sz w:val="18"/>
                            <w:szCs w:val="18"/>
                          </w:rPr>
                        </w:pPr>
                        <w:r>
                          <w:rPr>
                            <w:rFonts w:ascii="宋体" w:hAnsi="宋体" w:cs="宋体" w:eastAsia="宋体" w:hint="default"/>
                            <w:spacing w:val="-4"/>
                            <w:sz w:val="18"/>
                            <w:szCs w:val="18"/>
                          </w:rPr>
                          <w:t>业的风险管理活动。根据新金融准则衔接</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规定要求，公司对上年同期比较报表不进</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行追溯调整，新旧准则转换累计影响结果</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仅对期初留存收益或其他综合收益进行 </w:t>
                        </w:r>
                        <w:r>
                          <w:rPr>
                            <w:rFonts w:ascii="宋体" w:hAnsi="宋体" w:cs="宋体" w:eastAsia="宋体" w:hint="default"/>
                            <w:spacing w:val="-4"/>
                            <w:sz w:val="18"/>
                            <w:szCs w:val="18"/>
                          </w:rPr>
                          <w:t>调整。执行上述新金融准则不会对公司财</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务报表产生重大影响。</w:t>
                        </w:r>
                      </w:p>
                    </w:tc>
                  </w:tr>
                  <w:tr>
                    <w:trPr>
                      <w:trHeight w:val="4099" w:hRule="exact"/>
                    </w:trPr>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pacing w:val="-9"/>
                            <w:sz w:val="18"/>
                            <w:szCs w:val="18"/>
                          </w:rPr>
                          <w:t>日发布《关于修</w:t>
                        </w:r>
                      </w:p>
                      <w:p>
                        <w:pPr>
                          <w:pStyle w:val="TableParagraph"/>
                          <w:spacing w:line="300" w:lineRule="auto" w:before="66"/>
                          <w:ind w:left="30" w:right="46"/>
                          <w:jc w:val="left"/>
                          <w:rPr>
                            <w:rFonts w:ascii="宋体" w:hAnsi="宋体" w:cs="宋体" w:eastAsia="宋体" w:hint="default"/>
                            <w:sz w:val="18"/>
                            <w:szCs w:val="18"/>
                          </w:rPr>
                        </w:pPr>
                        <w:r>
                          <w:rPr>
                            <w:rFonts w:ascii="宋体" w:hAnsi="宋体" w:cs="宋体" w:eastAsia="宋体" w:hint="default"/>
                            <w:sz w:val="18"/>
                            <w:szCs w:val="18"/>
                          </w:rPr>
                          <w:t>订印发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年度一般企业财务报表格式 </w:t>
                        </w:r>
                        <w:r>
                          <w:rPr>
                            <w:rFonts w:ascii="宋体" w:hAnsi="宋体" w:cs="宋体" w:eastAsia="宋体" w:hint="default"/>
                            <w:spacing w:val="-7"/>
                            <w:sz w:val="18"/>
                            <w:szCs w:val="18"/>
                          </w:rPr>
                          <w:t>的通知》（财会</w:t>
                        </w:r>
                        <w:r>
                          <w:rPr>
                            <w:rFonts w:ascii="Times New Roman" w:hAnsi="Times New Roman" w:cs="Times New Roman" w:eastAsia="Times New Roman" w:hint="default"/>
                            <w:spacing w:val="-7"/>
                            <w:sz w:val="18"/>
                            <w:szCs w:val="18"/>
                          </w:rPr>
                          <w:t>[2019]6</w:t>
                        </w:r>
                        <w:r>
                          <w:rPr>
                            <w:rFonts w:ascii="Times New Roman" w:hAnsi="Times New Roman" w:cs="Times New Roman" w:eastAsia="Times New Roman" w:hint="default"/>
                            <w:sz w:val="18"/>
                            <w:szCs w:val="18"/>
                          </w:rPr>
                          <w:t> </w:t>
                        </w:r>
                        <w:r>
                          <w:rPr>
                            <w:rFonts w:ascii="宋体" w:hAnsi="宋体" w:cs="宋体" w:eastAsia="宋体" w:hint="default"/>
                            <w:spacing w:val="-12"/>
                            <w:sz w:val="18"/>
                            <w:szCs w:val="18"/>
                          </w:rPr>
                          <w:t>号），适用于执行</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企业会计准则的非金融企业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 中期财务报表和年度财务报表及以后期 间的财务报表。</w:t>
                        </w:r>
                      </w:p>
                    </w:tc>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04" w:lineRule="auto"/>
                          <w:ind w:left="14" w:right="14"/>
                          <w:jc w:val="left"/>
                          <w:rPr>
                            <w:rFonts w:ascii="宋体" w:hAnsi="宋体" w:cs="宋体" w:eastAsia="宋体" w:hint="default"/>
                            <w:sz w:val="18"/>
                            <w:szCs w:val="18"/>
                          </w:rPr>
                        </w:pPr>
                        <w:r>
                          <w:rPr>
                            <w:rFonts w:ascii="宋体" w:hAnsi="宋体" w:cs="宋体" w:eastAsia="宋体" w:hint="default"/>
                            <w:sz w:val="18"/>
                            <w:szCs w:val="18"/>
                          </w:rPr>
                          <w:t>经本公司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日召开的第三 届董事会第二十四次会议和第三届监事 会第十七次会议审议通过。</w:t>
                        </w:r>
                      </w:p>
                    </w:tc>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60"/>
                          <w:ind w:left="15" w:right="-30"/>
                          <w:jc w:val="left"/>
                          <w:rPr>
                            <w:rFonts w:ascii="宋体" w:hAnsi="宋体" w:cs="宋体" w:eastAsia="宋体" w:hint="default"/>
                            <w:sz w:val="18"/>
                            <w:szCs w:val="18"/>
                          </w:rPr>
                        </w:pPr>
                        <w:r>
                          <w:rPr>
                            <w:rFonts w:ascii="宋体" w:hAnsi="宋体" w:cs="宋体" w:eastAsia="宋体" w:hint="default"/>
                            <w:sz w:val="18"/>
                            <w:szCs w:val="18"/>
                          </w:rPr>
                          <w:t>根据《关于修订印发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年度一般企业 </w:t>
                        </w:r>
                        <w:r>
                          <w:rPr>
                            <w:rFonts w:ascii="宋体" w:hAnsi="宋体" w:cs="宋体" w:eastAsia="宋体" w:hint="default"/>
                            <w:spacing w:val="-5"/>
                            <w:sz w:val="18"/>
                            <w:szCs w:val="18"/>
                          </w:rPr>
                          <w:t>财务报表格式的通知》（财会</w:t>
                        </w:r>
                        <w:r>
                          <w:rPr>
                            <w:rFonts w:ascii="Times New Roman" w:hAnsi="Times New Roman" w:cs="Times New Roman" w:eastAsia="Times New Roman" w:hint="default"/>
                            <w:spacing w:val="-5"/>
                            <w:sz w:val="18"/>
                            <w:szCs w:val="18"/>
                          </w:rPr>
                          <w:t>[2019]6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r>
                          <w:rPr>
                            <w:rFonts w:ascii="宋体" w:hAnsi="宋体" w:cs="宋体" w:eastAsia="宋体" w:hint="default"/>
                            <w:spacing w:val="-87"/>
                            <w:sz w:val="18"/>
                            <w:szCs w:val="18"/>
                          </w:rPr>
                          <w:t> </w:t>
                        </w:r>
                        <w:r>
                          <w:rPr>
                            <w:rFonts w:ascii="宋体" w:hAnsi="宋体" w:cs="宋体" w:eastAsia="宋体" w:hint="default"/>
                            <w:spacing w:val="-4"/>
                            <w:sz w:val="18"/>
                            <w:szCs w:val="18"/>
                          </w:rPr>
                          <w:t>相关要求，公司将对财务报表相关项目进</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行列报调整，并对可比会计期间的比较数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据相应进行调整，具体情况如下：</w:t>
                        </w:r>
                        <w:r>
                          <w:rPr>
                            <w:rFonts w:ascii="Times New Roman" w:hAnsi="Times New Roman" w:cs="Times New Roman" w:eastAsia="Times New Roman" w:hint="default"/>
                            <w:sz w:val="18"/>
                            <w:szCs w:val="18"/>
                          </w:rPr>
                          <w:t>1</w:t>
                        </w:r>
                        <w:r>
                          <w:rPr>
                            <w:rFonts w:ascii="宋体" w:hAnsi="宋体" w:cs="宋体" w:eastAsia="宋体" w:hint="default"/>
                            <w:sz w:val="18"/>
                            <w:szCs w:val="18"/>
                          </w:rPr>
                          <w:t>、资</w:t>
                        </w:r>
                        <w:r>
                          <w:rPr>
                            <w:rFonts w:ascii="宋体" w:hAnsi="宋体" w:cs="宋体" w:eastAsia="宋体" w:hint="default"/>
                            <w:spacing w:val="-87"/>
                            <w:sz w:val="18"/>
                            <w:szCs w:val="18"/>
                          </w:rPr>
                          <w:t> </w:t>
                        </w:r>
                        <w:r>
                          <w:rPr>
                            <w:rFonts w:ascii="宋体" w:hAnsi="宋体" w:cs="宋体" w:eastAsia="宋体" w:hint="default"/>
                            <w:sz w:val="18"/>
                            <w:szCs w:val="18"/>
                          </w:rPr>
                          <w:t>产负债表中</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r>
                          <w:rPr>
                            <w:rFonts w:ascii="宋体" w:hAnsi="宋体" w:cs="宋体" w:eastAsia="宋体" w:hint="default"/>
                            <w:spacing w:val="-87"/>
                            <w:sz w:val="18"/>
                            <w:szCs w:val="18"/>
                          </w:rPr>
                          <w:t> </w:t>
                        </w:r>
                        <w:r>
                          <w:rPr>
                            <w:rFonts w:ascii="宋体" w:hAnsi="宋体" w:cs="宋体" w:eastAsia="宋体" w:hint="default"/>
                            <w:sz w:val="18"/>
                            <w:szCs w:val="18"/>
                          </w:rPr>
                          <w:t>分拆为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两个项</w:t>
                        </w:r>
                        <w:r>
                          <w:rPr>
                            <w:rFonts w:ascii="宋体" w:hAnsi="宋体" w:cs="宋体" w:eastAsia="宋体" w:hint="default"/>
                            <w:spacing w:val="-85"/>
                            <w:sz w:val="18"/>
                            <w:szCs w:val="18"/>
                          </w:rPr>
                          <w:t> </w:t>
                        </w:r>
                        <w:r>
                          <w:rPr>
                            <w:rFonts w:ascii="宋体" w:hAnsi="宋体" w:cs="宋体" w:eastAsia="宋体" w:hint="default"/>
                            <w:sz w:val="18"/>
                            <w:szCs w:val="18"/>
                          </w:rPr>
                          <w:t>目；</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项目分拆为</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两个项目。</w:t>
                        </w:r>
                        <w:r>
                          <w:rPr>
                            <w:rFonts w:ascii="Times New Roman" w:hAnsi="Times New Roman" w:cs="Times New Roman" w:eastAsia="Times New Roman" w:hint="default"/>
                            <w:sz w:val="18"/>
                            <w:szCs w:val="18"/>
                          </w:rPr>
                          <w:t>2</w:t>
                        </w:r>
                        <w:r>
                          <w:rPr>
                            <w:rFonts w:ascii="宋体" w:hAnsi="宋体" w:cs="宋体" w:eastAsia="宋体" w:hint="default"/>
                            <w:sz w:val="18"/>
                            <w:szCs w:val="18"/>
                          </w:rPr>
                          <w:t>、资</w:t>
                        </w:r>
                        <w:r>
                          <w:rPr>
                            <w:rFonts w:ascii="宋体" w:hAnsi="宋体" w:cs="宋体" w:eastAsia="宋体" w:hint="default"/>
                            <w:spacing w:val="-86"/>
                            <w:sz w:val="18"/>
                            <w:szCs w:val="18"/>
                          </w:rPr>
                          <w:t> </w:t>
                        </w:r>
                        <w:r>
                          <w:rPr>
                            <w:rFonts w:ascii="宋体" w:hAnsi="宋体" w:cs="宋体" w:eastAsia="宋体" w:hint="default"/>
                            <w:sz w:val="18"/>
                            <w:szCs w:val="18"/>
                          </w:rPr>
                          <w:t>产负债表新增</w:t>
                        </w:r>
                        <w:r>
                          <w:rPr>
                            <w:rFonts w:ascii="Times New Roman" w:hAnsi="Times New Roman" w:cs="Times New Roman" w:eastAsia="Times New Roman" w:hint="default"/>
                            <w:sz w:val="18"/>
                            <w:szCs w:val="18"/>
                          </w:rPr>
                          <w:t>"</w:t>
                        </w:r>
                        <w:r>
                          <w:rPr>
                            <w:rFonts w:ascii="宋体" w:hAnsi="宋体" w:cs="宋体" w:eastAsia="宋体" w:hint="default"/>
                            <w:sz w:val="18"/>
                            <w:szCs w:val="18"/>
                          </w:rPr>
                          <w:t>其他权益工具投资</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r>
                          <w:rPr>
                            <w:rFonts w:ascii="宋体" w:hAnsi="宋体" w:cs="宋体" w:eastAsia="宋体" w:hint="default"/>
                            <w:spacing w:val="-87"/>
                            <w:sz w:val="18"/>
                            <w:szCs w:val="18"/>
                          </w:rPr>
                          <w:t> </w:t>
                        </w:r>
                        <w:r>
                          <w:rPr>
                            <w:rFonts w:ascii="宋体" w:hAnsi="宋体" w:cs="宋体" w:eastAsia="宋体" w:hint="default"/>
                            <w:sz w:val="18"/>
                            <w:szCs w:val="18"/>
                          </w:rPr>
                          <w:t>反映资产负债表日企业指定为以公允价 值计量且其变动计入其他综合收益的非</w:t>
                        </w:r>
                      </w:p>
                      <w:p>
                        <w:pPr>
                          <w:pStyle w:val="TableParagraph"/>
                          <w:spacing w:line="240" w:lineRule="auto" w:before="47"/>
                          <w:ind w:left="15"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交易性权益工具投资的期末账面价值。</w:t>
                        </w:r>
                        <w:r>
                          <w:rPr>
                            <w:rFonts w:ascii="Times New Roman" w:hAnsi="Times New Roman" w:cs="Times New Roman" w:eastAsia="Times New Roman" w:hint="default"/>
                            <w:spacing w:val="-4"/>
                            <w:sz w:val="18"/>
                            <w:szCs w:val="18"/>
                          </w:rPr>
                          <w:t>3</w:t>
                        </w:r>
                      </w:p>
                    </w:tc>
                  </w:tr>
                </w:tbl>
                <w:p>
                  <w:pPr/>
                </w:p>
              </w:txbxContent>
            </v:textbox>
            <w10:wrap type="none"/>
          </v:shape>
        </w:pict>
      </w:r>
    </w:p>
    <w:p>
      <w:pPr>
        <w:pStyle w:val="Heading2"/>
        <w:spacing w:line="240" w:lineRule="auto" w:before="26"/>
        <w:ind w:left="161" w:right="0"/>
        <w:jc w:val="left"/>
        <w:rPr>
          <w:b w:val="0"/>
          <w:bCs w:val="0"/>
        </w:rPr>
      </w:pPr>
      <w:bookmarkStart w:name="六、董事会关于报告期会计政策、会计估计变更或重大会计差错更正的说明" w:id="70"/>
      <w:bookmarkEnd w:id="70"/>
      <w:r>
        <w:rPr>
          <w:b w:val="0"/>
          <w:bCs w:val="0"/>
        </w:rPr>
      </w:r>
      <w:r>
        <w:rPr/>
        <w:t>六、董事会关于报告期会计政策、会计估计变更或重大会计差错更正的说明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left="161"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2"/>
          <w:szCs w:val="12"/>
        </w:rPr>
      </w:pPr>
    </w:p>
    <w:p>
      <w:pPr>
        <w:spacing w:line="345" w:lineRule="exact"/>
        <w:ind w:left="3390"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159.2pt;height:17.3pt;mso-position-horizontal-relative:char;mso-position-vertical-relative:line" coordorigin="0,0" coordsize="3184,346">
            <v:group style="position:absolute;left:0;top:0;width:3184;height:346" coordorigin="0,0" coordsize="3184,346">
              <v:shape style="position:absolute;left:0;top:0;width:3184;height:346" coordorigin="0,0" coordsize="3184,346" path="m0,346l3184,346,3184,0,0,0,0,346xe" filled="true" fillcolor="#ffffff" stroked="false">
                <v:path arrowok="t"/>
                <v:fill type="solid"/>
              </v:shape>
            </v:group>
          </v:group>
        </w:pict>
      </w:r>
      <w:r>
        <w:rPr>
          <w:rFonts w:ascii="宋体" w:hAnsi="宋体" w:cs="宋体" w:eastAsia="宋体" w:hint="default"/>
          <w:position w:val="-6"/>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1"/>
          <w:szCs w:val="11"/>
        </w:rPr>
      </w:pPr>
    </w:p>
    <w:p>
      <w:pPr>
        <w:spacing w:line="3588" w:lineRule="exact"/>
        <w:ind w:left="3375" w:right="0" w:firstLine="0"/>
        <w:rPr>
          <w:rFonts w:ascii="宋体" w:hAnsi="宋体" w:cs="宋体" w:eastAsia="宋体" w:hint="default"/>
          <w:sz w:val="20"/>
          <w:szCs w:val="20"/>
        </w:rPr>
      </w:pPr>
      <w:r>
        <w:rPr>
          <w:rFonts w:ascii="宋体" w:hAnsi="宋体" w:cs="宋体" w:eastAsia="宋体" w:hint="default"/>
          <w:position w:val="-71"/>
          <w:sz w:val="20"/>
          <w:szCs w:val="20"/>
        </w:rPr>
        <w:pict>
          <v:group style="width:160.7pt;height:179.4pt;mso-position-horizontal-relative:char;mso-position-vertical-relative:line" coordorigin="0,0" coordsize="3214,3588">
            <v:group style="position:absolute;left:0;top:0;width:3214;height:3588" coordorigin="0,0" coordsize="3214,3588">
              <v:shape style="position:absolute;left:0;top:0;width:3214;height:3588" coordorigin="0,0" coordsize="3214,3588" path="m0,3588l3214,3588,3214,0,0,0,0,3588xe" filled="true" fillcolor="#ffffff" stroked="false">
                <v:path arrowok="t"/>
                <v:fill type="solid"/>
              </v:shape>
            </v:group>
          </v:group>
        </w:pict>
      </w:r>
      <w:r>
        <w:rPr>
          <w:rFonts w:ascii="宋体" w:hAnsi="宋体" w:cs="宋体" w:eastAsia="宋体" w:hint="default"/>
          <w:position w:val="-71"/>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7"/>
          <w:szCs w:val="27"/>
        </w:rPr>
      </w:pPr>
    </w:p>
    <w:p>
      <w:pPr>
        <w:pStyle w:val="BodyText"/>
        <w:spacing w:line="240" w:lineRule="auto" w:before="44"/>
        <w:ind w:left="0" w:right="1034"/>
        <w:jc w:val="right"/>
      </w:pPr>
      <w:r>
        <w:rPr/>
        <w:t>、</w:t>
      </w:r>
    </w:p>
    <w:p>
      <w:pPr>
        <w:spacing w:after="0" w:line="240" w:lineRule="auto"/>
        <w:jc w:val="right"/>
        <w:sectPr>
          <w:pgSz w:w="11910" w:h="16850"/>
          <w:pgMar w:header="731" w:footer="981" w:top="104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BodyText"/>
        <w:spacing w:line="240" w:lineRule="auto" w:before="44"/>
        <w:ind w:left="0" w:right="1068"/>
        <w:jc w:val="right"/>
      </w:pPr>
      <w:r>
        <w:rPr/>
        <w:pict>
          <v:shape style="position:absolute;margin-left:54.825001pt;margin-top:-123.128265pt;width:486.25pt;height:480.4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44"/>
                    <w:gridCol w:w="3229"/>
                    <w:gridCol w:w="3229"/>
                  </w:tblGrid>
                  <w:tr>
                    <w:trPr>
                      <w:trHeight w:val="323" w:hRule="exact"/>
                    </w:trPr>
                    <w:tc>
                      <w:tcPr>
                        <w:tcW w:w="3244" w:type="dxa"/>
                        <w:vMerge w:val="restart"/>
                        <w:tcBorders>
                          <w:top w:val="single" w:sz="6" w:space="0" w:color="000000"/>
                          <w:left w:val="single" w:sz="6" w:space="0" w:color="000000"/>
                          <w:right w:val="single" w:sz="6" w:space="0" w:color="000000"/>
                        </w:tcBorders>
                      </w:tcPr>
                      <w:p>
                        <w:pPr/>
                      </w:p>
                    </w:tc>
                    <w:tc>
                      <w:tcPr>
                        <w:tcW w:w="3229" w:type="dxa"/>
                        <w:vMerge w:val="restart"/>
                        <w:tcBorders>
                          <w:top w:val="single" w:sz="6" w:space="0" w:color="000000"/>
                          <w:left w:val="single" w:sz="6" w:space="0" w:color="000000"/>
                          <w:right w:val="single" w:sz="6" w:space="0" w:color="000000"/>
                        </w:tcBorders>
                      </w:tcPr>
                      <w:p>
                        <w:pPr/>
                      </w:p>
                    </w:tc>
                    <w:tc>
                      <w:tcPr>
                        <w:tcW w:w="322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pacing w:val="-2"/>
                            <w:sz w:val="18"/>
                            <w:szCs w:val="18"/>
                          </w:rPr>
                          <w:t>利润表新增</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信用减值损失</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项目，反映企</w:t>
                        </w:r>
                      </w:p>
                    </w:tc>
                  </w:tr>
                  <w:tr>
                    <w:trPr>
                      <w:trHeight w:val="308" w:hRule="exact"/>
                    </w:trPr>
                    <w:tc>
                      <w:tcPr>
                        <w:tcW w:w="3244" w:type="dxa"/>
                        <w:vMerge/>
                        <w:tcBorders>
                          <w:left w:val="single" w:sz="6" w:space="0" w:color="000000"/>
                          <w:right w:val="single" w:sz="6" w:space="0" w:color="000000"/>
                        </w:tcBorders>
                      </w:tcPr>
                      <w:p>
                        <w:pPr/>
                      </w:p>
                    </w:tc>
                    <w:tc>
                      <w:tcPr>
                        <w:tcW w:w="3229" w:type="dxa"/>
                        <w:vMerge/>
                        <w:tcBorders>
                          <w:left w:val="single" w:sz="6" w:space="0" w:color="000000"/>
                          <w:right w:val="single" w:sz="6" w:space="0" w:color="000000"/>
                        </w:tcBorders>
                      </w:tcPr>
                      <w:p>
                        <w:pPr/>
                      </w:p>
                    </w:tc>
                    <w:tc>
                      <w:tcPr>
                        <w:tcW w:w="3229" w:type="dxa"/>
                        <w:tcBorders>
                          <w:top w:val="nil" w:sz="6" w:space="0" w:color="auto"/>
                          <w:left w:val="single" w:sz="6" w:space="0" w:color="000000"/>
                          <w:bottom w:val="nil" w:sz="6" w:space="0" w:color="auto"/>
                          <w:right w:val="single" w:sz="6" w:space="0" w:color="000000"/>
                        </w:tcBorders>
                      </w:tcPr>
                      <w:p>
                        <w:pPr>
                          <w:pStyle w:val="TableParagraph"/>
                          <w:spacing w:line="249" w:lineRule="exact"/>
                          <w:ind w:left="15" w:right="0"/>
                          <w:jc w:val="left"/>
                          <w:rPr>
                            <w:rFonts w:ascii="宋体" w:hAnsi="宋体" w:cs="宋体" w:eastAsia="宋体" w:hint="default"/>
                            <w:sz w:val="18"/>
                            <w:szCs w:val="18"/>
                          </w:rPr>
                        </w:pPr>
                        <w:r>
                          <w:rPr>
                            <w:rFonts w:ascii="宋体" w:hAnsi="宋体" w:cs="宋体" w:eastAsia="宋体" w:hint="default"/>
                            <w:sz w:val="18"/>
                            <w:szCs w:val="18"/>
                          </w:rPr>
                          <w:t>业按照《企业会计准则第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w:t>
                        </w:r>
                      </w:p>
                    </w:tc>
                  </w:tr>
                  <w:tr>
                    <w:trPr>
                      <w:trHeight w:val="308" w:hRule="exact"/>
                    </w:trPr>
                    <w:tc>
                      <w:tcPr>
                        <w:tcW w:w="3244" w:type="dxa"/>
                        <w:vMerge/>
                        <w:tcBorders>
                          <w:left w:val="single" w:sz="6" w:space="0" w:color="000000"/>
                          <w:right w:val="single" w:sz="6" w:space="0" w:color="000000"/>
                        </w:tcBorders>
                      </w:tcPr>
                      <w:p>
                        <w:pPr/>
                      </w:p>
                    </w:tc>
                    <w:tc>
                      <w:tcPr>
                        <w:tcW w:w="3229" w:type="dxa"/>
                        <w:vMerge/>
                        <w:tcBorders>
                          <w:left w:val="single" w:sz="6" w:space="0" w:color="000000"/>
                          <w:right w:val="single" w:sz="6" w:space="0" w:color="000000"/>
                        </w:tcBorders>
                      </w:tcPr>
                      <w:p>
                        <w:pPr/>
                      </w:p>
                    </w:tc>
                    <w:tc>
                      <w:tcPr>
                        <w:tcW w:w="322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15" w:right="0"/>
                          <w:jc w:val="left"/>
                          <w:rPr>
                            <w:rFonts w:ascii="宋体" w:hAnsi="宋体" w:cs="宋体" w:eastAsia="宋体" w:hint="default"/>
                            <w:sz w:val="18"/>
                            <w:szCs w:val="18"/>
                          </w:rPr>
                        </w:pPr>
                        <w:r>
                          <w:rPr>
                            <w:rFonts w:ascii="宋体" w:hAnsi="宋体" w:cs="宋体" w:eastAsia="宋体" w:hint="default"/>
                            <w:sz w:val="18"/>
                            <w:szCs w:val="18"/>
                          </w:rPr>
                          <w:t>具确认和计量</w:t>
                        </w:r>
                        <w:r>
                          <w:rPr>
                            <w:rFonts w:ascii="宋体" w:hAnsi="宋体" w:cs="宋体" w:eastAsia="宋体" w:hint="default"/>
                            <w:spacing w:val="-90"/>
                            <w:sz w:val="18"/>
                            <w:szCs w:val="18"/>
                          </w:rPr>
                          <w:t>》</w:t>
                        </w:r>
                        <w:r>
                          <w:rPr>
                            <w:rFonts w:ascii="宋体" w:hAnsi="宋体" w:cs="宋体" w:eastAsia="宋体" w:hint="default"/>
                            <w:sz w:val="18"/>
                            <w:szCs w:val="18"/>
                          </w:rPr>
                          <w:t>（财会</w:t>
                        </w:r>
                        <w:r>
                          <w:rPr>
                            <w:rFonts w:ascii="宋体" w:hAnsi="宋体" w:cs="宋体" w:eastAsia="宋体" w:hint="default"/>
                            <w:spacing w:val="2"/>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7 </w:t>
                        </w:r>
                        <w:r>
                          <w:rPr>
                            <w:rFonts w:ascii="宋体" w:hAnsi="宋体" w:cs="宋体" w:eastAsia="宋体" w:hint="default"/>
                            <w:sz w:val="18"/>
                            <w:szCs w:val="18"/>
                          </w:rPr>
                          <w:t>号）要</w:t>
                        </w:r>
                      </w:p>
                    </w:tc>
                  </w:tr>
                  <w:tr>
                    <w:trPr>
                      <w:trHeight w:val="310" w:hRule="exact"/>
                    </w:trPr>
                    <w:tc>
                      <w:tcPr>
                        <w:tcW w:w="3244" w:type="dxa"/>
                        <w:vMerge/>
                        <w:tcBorders>
                          <w:left w:val="single" w:sz="6" w:space="0" w:color="000000"/>
                          <w:right w:val="single" w:sz="6" w:space="0" w:color="000000"/>
                        </w:tcBorders>
                      </w:tcPr>
                      <w:p>
                        <w:pPr/>
                      </w:p>
                    </w:tc>
                    <w:tc>
                      <w:tcPr>
                        <w:tcW w:w="3229" w:type="dxa"/>
                        <w:vMerge/>
                        <w:tcBorders>
                          <w:left w:val="single" w:sz="6" w:space="0" w:color="000000"/>
                          <w:right w:val="single" w:sz="6" w:space="0" w:color="000000"/>
                        </w:tcBorders>
                      </w:tcPr>
                      <w:p>
                        <w:pPr/>
                      </w:p>
                    </w:tc>
                    <w:tc>
                      <w:tcPr>
                        <w:tcW w:w="3229"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求计提的各项金融工具信用减值准备所</w:t>
                        </w:r>
                      </w:p>
                    </w:tc>
                  </w:tr>
                  <w:tr>
                    <w:trPr>
                      <w:trHeight w:val="328" w:hRule="exact"/>
                    </w:trPr>
                    <w:tc>
                      <w:tcPr>
                        <w:tcW w:w="3244" w:type="dxa"/>
                        <w:vMerge/>
                        <w:tcBorders>
                          <w:left w:val="single" w:sz="6" w:space="0" w:color="000000"/>
                          <w:right w:val="single" w:sz="6" w:space="0" w:color="000000"/>
                        </w:tcBorders>
                      </w:tcPr>
                      <w:p>
                        <w:pPr/>
                      </w:p>
                    </w:tc>
                    <w:tc>
                      <w:tcPr>
                        <w:tcW w:w="3229" w:type="dxa"/>
                        <w:vMerge/>
                        <w:tcBorders>
                          <w:left w:val="single" w:sz="6" w:space="0" w:color="000000"/>
                          <w:right w:val="single" w:sz="6" w:space="0" w:color="000000"/>
                        </w:tcBorders>
                      </w:tcPr>
                      <w:p>
                        <w:pPr/>
                      </w:p>
                    </w:tc>
                    <w:tc>
                      <w:tcPr>
                        <w:tcW w:w="3229"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left="15" w:right="0"/>
                          <w:jc w:val="left"/>
                          <w:rPr>
                            <w:rFonts w:ascii="宋体" w:hAnsi="宋体" w:cs="宋体" w:eastAsia="宋体" w:hint="default"/>
                            <w:sz w:val="18"/>
                            <w:szCs w:val="18"/>
                          </w:rPr>
                        </w:pPr>
                        <w:r>
                          <w:rPr>
                            <w:rFonts w:ascii="宋体" w:hAnsi="宋体" w:cs="宋体" w:eastAsia="宋体" w:hint="default"/>
                            <w:spacing w:val="-3"/>
                            <w:sz w:val="18"/>
                            <w:szCs w:val="18"/>
                          </w:rPr>
                          <w:t>确认的信用损失。</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、将利润表</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减：资产</w:t>
                        </w:r>
                      </w:p>
                    </w:tc>
                  </w:tr>
                  <w:tr>
                    <w:trPr>
                      <w:trHeight w:val="308" w:hRule="exact"/>
                    </w:trPr>
                    <w:tc>
                      <w:tcPr>
                        <w:tcW w:w="3244" w:type="dxa"/>
                        <w:vMerge/>
                        <w:tcBorders>
                          <w:left w:val="single" w:sz="6" w:space="0" w:color="000000"/>
                          <w:right w:val="single" w:sz="6" w:space="0" w:color="000000"/>
                        </w:tcBorders>
                      </w:tcPr>
                      <w:p>
                        <w:pPr/>
                      </w:p>
                    </w:tc>
                    <w:tc>
                      <w:tcPr>
                        <w:tcW w:w="3229" w:type="dxa"/>
                        <w:vMerge/>
                        <w:tcBorders>
                          <w:left w:val="single" w:sz="6" w:space="0" w:color="000000"/>
                          <w:right w:val="single" w:sz="6" w:space="0" w:color="000000"/>
                        </w:tcBorders>
                      </w:tcPr>
                      <w:p>
                        <w:pPr/>
                      </w:p>
                    </w:tc>
                    <w:tc>
                      <w:tcPr>
                        <w:tcW w:w="322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15" w:right="0"/>
                          <w:jc w:val="left"/>
                          <w:rPr>
                            <w:rFonts w:ascii="宋体" w:hAnsi="宋体" w:cs="宋体" w:eastAsia="宋体" w:hint="default"/>
                            <w:sz w:val="18"/>
                            <w:szCs w:val="18"/>
                          </w:rPr>
                        </w:pPr>
                        <w:r>
                          <w:rPr>
                            <w:rFonts w:ascii="宋体" w:hAnsi="宋体" w:cs="宋体" w:eastAsia="宋体" w:hint="default"/>
                            <w:spacing w:val="-2"/>
                            <w:sz w:val="18"/>
                            <w:szCs w:val="18"/>
                          </w:rPr>
                          <w:t>减值损失</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调整为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加：资产减值损失（损</w:t>
                        </w:r>
                      </w:p>
                    </w:tc>
                  </w:tr>
                  <w:tr>
                    <w:trPr>
                      <w:trHeight w:val="300" w:hRule="exact"/>
                    </w:trPr>
                    <w:tc>
                      <w:tcPr>
                        <w:tcW w:w="3244" w:type="dxa"/>
                        <w:vMerge/>
                        <w:tcBorders>
                          <w:left w:val="single" w:sz="6" w:space="0" w:color="000000"/>
                          <w:right w:val="single" w:sz="6" w:space="0" w:color="000000"/>
                        </w:tcBorders>
                      </w:tcPr>
                      <w:p>
                        <w:pPr/>
                      </w:p>
                    </w:tc>
                    <w:tc>
                      <w:tcPr>
                        <w:tcW w:w="3229" w:type="dxa"/>
                        <w:vMerge/>
                        <w:tcBorders>
                          <w:left w:val="single" w:sz="6" w:space="0" w:color="000000"/>
                          <w:right w:val="single" w:sz="6" w:space="0" w:color="000000"/>
                        </w:tcBorders>
                      </w:tcPr>
                      <w:p>
                        <w:pPr/>
                      </w:p>
                    </w:tc>
                    <w:tc>
                      <w:tcPr>
                        <w:tcW w:w="3229" w:type="dxa"/>
                        <w:tcBorders>
                          <w:top w:val="nil" w:sz="6" w:space="0" w:color="auto"/>
                          <w:left w:val="single" w:sz="6" w:space="0" w:color="000000"/>
                          <w:bottom w:val="nil" w:sz="6" w:space="0" w:color="auto"/>
                          <w:right w:val="single" w:sz="6" w:space="0" w:color="000000"/>
                        </w:tcBorders>
                      </w:tcPr>
                      <w:p>
                        <w:pPr>
                          <w:pStyle w:val="TableParagraph"/>
                          <w:spacing w:line="249" w:lineRule="exact"/>
                          <w:ind w:left="15" w:right="0"/>
                          <w:jc w:val="left"/>
                          <w:rPr>
                            <w:rFonts w:ascii="宋体" w:hAnsi="宋体" w:cs="宋体" w:eastAsia="宋体" w:hint="default"/>
                            <w:sz w:val="18"/>
                            <w:szCs w:val="18"/>
                          </w:rPr>
                        </w:pPr>
                        <w:r>
                          <w:rPr>
                            <w:rFonts w:ascii="宋体" w:hAnsi="宋体" w:cs="宋体" w:eastAsia="宋体" w:hint="default"/>
                            <w:spacing w:val="-3"/>
                            <w:sz w:val="18"/>
                            <w:szCs w:val="18"/>
                          </w:rPr>
                          <w:t>失以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列示）</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、现金流量表明确了政府</w:t>
                        </w:r>
                      </w:p>
                    </w:tc>
                  </w:tr>
                  <w:tr>
                    <w:trPr>
                      <w:trHeight w:val="303" w:hRule="exact"/>
                    </w:trPr>
                    <w:tc>
                      <w:tcPr>
                        <w:tcW w:w="3244" w:type="dxa"/>
                        <w:vMerge/>
                        <w:tcBorders>
                          <w:left w:val="single" w:sz="6" w:space="0" w:color="000000"/>
                          <w:right w:val="single" w:sz="6" w:space="0" w:color="000000"/>
                        </w:tcBorders>
                      </w:tcPr>
                      <w:p>
                        <w:pPr/>
                      </w:p>
                    </w:tc>
                    <w:tc>
                      <w:tcPr>
                        <w:tcW w:w="3229" w:type="dxa"/>
                        <w:vMerge/>
                        <w:tcBorders>
                          <w:left w:val="single" w:sz="6" w:space="0" w:color="000000"/>
                          <w:right w:val="single" w:sz="6" w:space="0" w:color="000000"/>
                        </w:tcBorders>
                      </w:tcPr>
                      <w:p>
                        <w:pPr/>
                      </w:p>
                    </w:tc>
                    <w:tc>
                      <w:tcPr>
                        <w:tcW w:w="3229"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pacing w:val="-4"/>
                            <w:sz w:val="18"/>
                            <w:szCs w:val="18"/>
                          </w:rPr>
                          <w:t>补助的填列口径，企业实际收到的政府补</w:t>
                        </w:r>
                      </w:p>
                    </w:tc>
                  </w:tr>
                  <w:tr>
                    <w:trPr>
                      <w:trHeight w:val="323" w:hRule="exact"/>
                    </w:trPr>
                    <w:tc>
                      <w:tcPr>
                        <w:tcW w:w="3244" w:type="dxa"/>
                        <w:vMerge/>
                        <w:tcBorders>
                          <w:left w:val="single" w:sz="6" w:space="0" w:color="000000"/>
                          <w:right w:val="single" w:sz="6" w:space="0" w:color="000000"/>
                        </w:tcBorders>
                      </w:tcPr>
                      <w:p>
                        <w:pPr/>
                      </w:p>
                    </w:tc>
                    <w:tc>
                      <w:tcPr>
                        <w:tcW w:w="3229" w:type="dxa"/>
                        <w:vMerge/>
                        <w:tcBorders>
                          <w:left w:val="single" w:sz="6" w:space="0" w:color="000000"/>
                          <w:right w:val="single" w:sz="6" w:space="0" w:color="000000"/>
                        </w:tcBorders>
                      </w:tcPr>
                      <w:p>
                        <w:pPr/>
                      </w:p>
                    </w:tc>
                    <w:tc>
                      <w:tcPr>
                        <w:tcW w:w="3229"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助，无论是与资产相关还是与收益相关</w:t>
                        </w:r>
                      </w:p>
                    </w:tc>
                  </w:tr>
                  <w:tr>
                    <w:trPr>
                      <w:trHeight w:val="328" w:hRule="exact"/>
                    </w:trPr>
                    <w:tc>
                      <w:tcPr>
                        <w:tcW w:w="3244" w:type="dxa"/>
                        <w:vMerge/>
                        <w:tcBorders>
                          <w:left w:val="single" w:sz="6" w:space="0" w:color="000000"/>
                          <w:right w:val="single" w:sz="6" w:space="0" w:color="000000"/>
                        </w:tcBorders>
                      </w:tcPr>
                      <w:p>
                        <w:pPr/>
                      </w:p>
                    </w:tc>
                    <w:tc>
                      <w:tcPr>
                        <w:tcW w:w="3229" w:type="dxa"/>
                        <w:vMerge/>
                        <w:tcBorders>
                          <w:left w:val="single" w:sz="6" w:space="0" w:color="000000"/>
                          <w:right w:val="single" w:sz="6" w:space="0" w:color="000000"/>
                        </w:tcBorders>
                      </w:tcPr>
                      <w:p>
                        <w:pPr/>
                      </w:p>
                    </w:tc>
                    <w:tc>
                      <w:tcPr>
                        <w:tcW w:w="3229"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left="15" w:right="0"/>
                          <w:jc w:val="left"/>
                          <w:rPr>
                            <w:rFonts w:ascii="宋体" w:hAnsi="宋体" w:cs="宋体" w:eastAsia="宋体" w:hint="default"/>
                            <w:sz w:val="18"/>
                            <w:szCs w:val="18"/>
                          </w:rPr>
                        </w:pPr>
                        <w:r>
                          <w:rPr>
                            <w:rFonts w:ascii="宋体" w:hAnsi="宋体" w:cs="宋体" w:eastAsia="宋体" w:hint="default"/>
                            <w:sz w:val="18"/>
                            <w:szCs w:val="18"/>
                          </w:rPr>
                          <w:t>均在</w:t>
                        </w:r>
                        <w:r>
                          <w:rPr>
                            <w:rFonts w:ascii="Times New Roman" w:hAnsi="Times New Roman" w:cs="Times New Roman" w:eastAsia="Times New Roman" w:hint="default"/>
                            <w:sz w:val="18"/>
                            <w:szCs w:val="18"/>
                          </w:rPr>
                          <w:t>"</w:t>
                        </w:r>
                        <w:r>
                          <w:rPr>
                            <w:rFonts w:ascii="宋体" w:hAnsi="宋体" w:cs="宋体" w:eastAsia="宋体" w:hint="default"/>
                            <w:sz w:val="18"/>
                            <w:szCs w:val="18"/>
                          </w:rPr>
                          <w:t>收到的其他与经营活动有关的现金</w:t>
                        </w:r>
                      </w:p>
                    </w:tc>
                  </w:tr>
                  <w:tr>
                    <w:trPr>
                      <w:trHeight w:val="345" w:hRule="exact"/>
                    </w:trPr>
                    <w:tc>
                      <w:tcPr>
                        <w:tcW w:w="3244" w:type="dxa"/>
                        <w:vMerge/>
                        <w:tcBorders>
                          <w:left w:val="single" w:sz="6" w:space="0" w:color="000000"/>
                          <w:bottom w:val="single" w:sz="6" w:space="0" w:color="000000"/>
                          <w:right w:val="single" w:sz="6" w:space="0" w:color="000000"/>
                        </w:tcBorders>
                      </w:tcPr>
                      <w:p>
                        <w:pPr/>
                      </w:p>
                    </w:tc>
                    <w:tc>
                      <w:tcPr>
                        <w:tcW w:w="3229" w:type="dxa"/>
                        <w:vMerge/>
                        <w:tcBorders>
                          <w:left w:val="single" w:sz="6" w:space="0" w:color="000000"/>
                          <w:bottom w:val="single" w:sz="6" w:space="0" w:color="000000"/>
                          <w:right w:val="single" w:sz="6" w:space="0" w:color="000000"/>
                        </w:tcBorders>
                      </w:tcPr>
                      <w:p>
                        <w:pPr/>
                      </w:p>
                    </w:tc>
                    <w:tc>
                      <w:tcPr>
                        <w:tcW w:w="322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7"/>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项目填列。</w:t>
                        </w:r>
                      </w:p>
                    </w:tc>
                  </w:tr>
                  <w:tr>
                    <w:trPr>
                      <w:trHeight w:val="368" w:hRule="exact"/>
                    </w:trPr>
                    <w:tc>
                      <w:tcPr>
                        <w:tcW w:w="3244" w:type="dxa"/>
                        <w:tcBorders>
                          <w:top w:val="single" w:sz="6" w:space="0" w:color="000000"/>
                          <w:left w:val="single" w:sz="6" w:space="0" w:color="000000"/>
                          <w:bottom w:val="nil" w:sz="6" w:space="0" w:color="auto"/>
                          <w:right w:val="single" w:sz="6" w:space="0" w:color="000000"/>
                        </w:tcBorders>
                      </w:tcPr>
                      <w:p>
                        <w:pPr/>
                      </w:p>
                    </w:tc>
                    <w:tc>
                      <w:tcPr>
                        <w:tcW w:w="3229" w:type="dxa"/>
                        <w:tcBorders>
                          <w:top w:val="single" w:sz="6" w:space="0" w:color="000000"/>
                          <w:left w:val="single" w:sz="6" w:space="0" w:color="000000"/>
                          <w:bottom w:val="nil" w:sz="6" w:space="0" w:color="auto"/>
                          <w:right w:val="single" w:sz="6" w:space="0" w:color="000000"/>
                        </w:tcBorders>
                      </w:tcPr>
                      <w:p>
                        <w:pPr/>
                      </w:p>
                    </w:tc>
                    <w:tc>
                      <w:tcPr>
                        <w:tcW w:w="322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、非货币性资产示例中删除</w:t>
                        </w:r>
                        <w:r>
                          <w:rPr>
                            <w:rFonts w:ascii="Times New Roman" w:hAnsi="Times New Roman" w:cs="Times New Roman" w:eastAsia="Times New Roman" w:hint="default"/>
                            <w:sz w:val="18"/>
                            <w:szCs w:val="18"/>
                          </w:rPr>
                          <w:t>"</w:t>
                        </w: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，其</w:t>
                        </w:r>
                      </w:p>
                    </w:tc>
                  </w:tr>
                  <w:tr>
                    <w:trPr>
                      <w:trHeight w:val="308" w:hRule="exact"/>
                    </w:trPr>
                    <w:tc>
                      <w:tcPr>
                        <w:tcW w:w="3244" w:type="dxa"/>
                        <w:tcBorders>
                          <w:top w:val="nil" w:sz="6" w:space="0" w:color="auto"/>
                          <w:left w:val="single" w:sz="6" w:space="0" w:color="000000"/>
                          <w:bottom w:val="nil" w:sz="6" w:space="0" w:color="auto"/>
                          <w:right w:val="single" w:sz="6" w:space="0" w:color="000000"/>
                        </w:tcBorders>
                      </w:tcPr>
                      <w:p>
                        <w:pPr/>
                      </w:p>
                    </w:tc>
                    <w:tc>
                      <w:tcPr>
                        <w:tcW w:w="3229" w:type="dxa"/>
                        <w:tcBorders>
                          <w:top w:val="nil" w:sz="6" w:space="0" w:color="auto"/>
                          <w:left w:val="single" w:sz="6" w:space="0" w:color="000000"/>
                          <w:bottom w:val="nil" w:sz="6" w:space="0" w:color="auto"/>
                          <w:right w:val="single" w:sz="6" w:space="0" w:color="000000"/>
                        </w:tcBorders>
                      </w:tcPr>
                      <w:p>
                        <w:pPr/>
                      </w:p>
                    </w:tc>
                    <w:tc>
                      <w:tcPr>
                        <w:tcW w:w="3229" w:type="dxa"/>
                        <w:tcBorders>
                          <w:top w:val="nil" w:sz="6" w:space="0" w:color="auto"/>
                          <w:left w:val="single" w:sz="6" w:space="0" w:color="000000"/>
                          <w:bottom w:val="nil" w:sz="6" w:space="0" w:color="auto"/>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适用于第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号收入准则；货币性资产定</w:t>
                        </w:r>
                      </w:p>
                    </w:tc>
                  </w:tr>
                  <w:tr>
                    <w:trPr>
                      <w:trHeight w:val="315" w:hRule="exact"/>
                    </w:trPr>
                    <w:tc>
                      <w:tcPr>
                        <w:tcW w:w="3244"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30"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日发布《企业会</w:t>
                        </w:r>
                      </w:p>
                    </w:tc>
                    <w:tc>
                      <w:tcPr>
                        <w:tcW w:w="3229" w:type="dxa"/>
                        <w:tcBorders>
                          <w:top w:val="nil" w:sz="6" w:space="0" w:color="auto"/>
                          <w:left w:val="single" w:sz="6" w:space="0" w:color="000000"/>
                          <w:bottom w:val="nil" w:sz="6" w:space="0" w:color="auto"/>
                          <w:right w:val="single" w:sz="6" w:space="0" w:color="000000"/>
                        </w:tcBorders>
                      </w:tcPr>
                      <w:p>
                        <w:pPr/>
                      </w:p>
                    </w:tc>
                    <w:tc>
                      <w:tcPr>
                        <w:tcW w:w="322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义中将收取固定或可确定金额的</w:t>
                        </w:r>
                        <w:r>
                          <w:rPr>
                            <w:rFonts w:ascii="Times New Roman" w:hAnsi="Times New Roman" w:cs="Times New Roman" w:eastAsia="Times New Roman" w:hint="default"/>
                            <w:sz w:val="18"/>
                            <w:szCs w:val="18"/>
                          </w:rPr>
                          <w:t>"</w:t>
                        </w:r>
                        <w:r>
                          <w:rPr>
                            <w:rFonts w:ascii="宋体" w:hAnsi="宋体" w:cs="宋体" w:eastAsia="宋体" w:hint="default"/>
                            <w:sz w:val="18"/>
                            <w:szCs w:val="18"/>
                          </w:rPr>
                          <w:t>资产</w:t>
                        </w:r>
                        <w:r>
                          <w:rPr>
                            <w:rFonts w:ascii="Times New Roman" w:hAnsi="Times New Roman" w:cs="Times New Roman" w:eastAsia="Times New Roman" w:hint="default"/>
                            <w:sz w:val="18"/>
                            <w:szCs w:val="18"/>
                          </w:rPr>
                          <w:t>"</w:t>
                        </w:r>
                      </w:p>
                    </w:tc>
                  </w:tr>
                  <w:tr>
                    <w:trPr>
                      <w:trHeight w:val="308" w:hRule="exact"/>
                    </w:trPr>
                    <w:tc>
                      <w:tcPr>
                        <w:tcW w:w="3244"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30" w:right="0"/>
                          <w:jc w:val="left"/>
                          <w:rPr>
                            <w:rFonts w:ascii="宋体" w:hAnsi="宋体" w:cs="宋体" w:eastAsia="宋体" w:hint="default"/>
                            <w:sz w:val="18"/>
                            <w:szCs w:val="18"/>
                          </w:rPr>
                        </w:pPr>
                        <w:r>
                          <w:rPr>
                            <w:rFonts w:ascii="宋体" w:hAnsi="宋体" w:cs="宋体" w:eastAsia="宋体" w:hint="default"/>
                            <w:sz w:val="18"/>
                            <w:szCs w:val="18"/>
                          </w:rPr>
                          <w:t>计准则第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非货币性资产交换</w:t>
                        </w:r>
                        <w:r>
                          <w:rPr>
                            <w:rFonts w:ascii="宋体" w:hAnsi="宋体" w:cs="宋体" w:eastAsia="宋体" w:hint="default"/>
                            <w:spacing w:val="-121"/>
                            <w:sz w:val="18"/>
                            <w:szCs w:val="18"/>
                          </w:rPr>
                          <w:t>》</w:t>
                        </w:r>
                        <w:r>
                          <w:rPr>
                            <w:rFonts w:ascii="宋体" w:hAnsi="宋体" w:cs="宋体" w:eastAsia="宋体" w:hint="default"/>
                            <w:sz w:val="18"/>
                            <w:szCs w:val="18"/>
                          </w:rPr>
                          <w:t>（财会</w:t>
                        </w:r>
                      </w:p>
                    </w:tc>
                    <w:tc>
                      <w:tcPr>
                        <w:tcW w:w="322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14" w:right="0"/>
                          <w:jc w:val="left"/>
                          <w:rPr>
                            <w:rFonts w:ascii="宋体" w:hAnsi="宋体" w:cs="宋体" w:eastAsia="宋体" w:hint="default"/>
                            <w:sz w:val="18"/>
                            <w:szCs w:val="18"/>
                          </w:rPr>
                        </w:pPr>
                        <w:r>
                          <w:rPr>
                            <w:rFonts w:ascii="宋体" w:hAnsi="宋体" w:cs="宋体" w:eastAsia="宋体" w:hint="default"/>
                            <w:sz w:val="18"/>
                            <w:szCs w:val="18"/>
                          </w:rPr>
                          <w:t>经本公司</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日召开的第三</w:t>
                        </w:r>
                      </w:p>
                    </w:tc>
                    <w:tc>
                      <w:tcPr>
                        <w:tcW w:w="322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15" w:right="0"/>
                          <w:jc w:val="left"/>
                          <w:rPr>
                            <w:rFonts w:ascii="宋体" w:hAnsi="宋体" w:cs="宋体" w:eastAsia="宋体" w:hint="default"/>
                            <w:sz w:val="18"/>
                            <w:szCs w:val="18"/>
                          </w:rPr>
                        </w:pPr>
                        <w:r>
                          <w:rPr>
                            <w:rFonts w:ascii="宋体" w:hAnsi="宋体" w:cs="宋体" w:eastAsia="宋体" w:hint="default"/>
                            <w:sz w:val="18"/>
                            <w:szCs w:val="18"/>
                          </w:rPr>
                          <w:t>改为</w:t>
                        </w:r>
                        <w:r>
                          <w:rPr>
                            <w:rFonts w:ascii="Times New Roman" w:hAnsi="Times New Roman" w:cs="Times New Roman" w:eastAsia="Times New Roman" w:hint="default"/>
                            <w:sz w:val="18"/>
                            <w:szCs w:val="18"/>
                          </w:rPr>
                          <w:t>"</w:t>
                        </w:r>
                        <w:r>
                          <w:rPr>
                            <w:rFonts w:ascii="宋体" w:hAnsi="宋体" w:cs="宋体" w:eastAsia="宋体" w:hint="default"/>
                            <w:sz w:val="18"/>
                            <w:szCs w:val="18"/>
                          </w:rPr>
                          <w:t>权利</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、增加规范非货币性资产</w:t>
                        </w:r>
                      </w:p>
                    </w:tc>
                  </w:tr>
                  <w:tr>
                    <w:trPr>
                      <w:trHeight w:val="308" w:hRule="exact"/>
                    </w:trPr>
                    <w:tc>
                      <w:tcPr>
                        <w:tcW w:w="3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pacing w:val="-45"/>
                            <w:sz w:val="18"/>
                            <w:szCs w:val="18"/>
                          </w:rPr>
                          <w:t>】</w:t>
                        </w:r>
                        <w:r>
                          <w:rPr>
                            <w:rFonts w:ascii="Times New Roman" w:hAnsi="Times New Roman" w:cs="Times New Roman" w:eastAsia="Times New Roman" w:hint="default"/>
                            <w:sz w:val="18"/>
                            <w:szCs w:val="18"/>
                          </w:rPr>
                          <w:t>8 </w:t>
                        </w:r>
                        <w:r>
                          <w:rPr>
                            <w:rFonts w:ascii="宋体" w:hAnsi="宋体" w:cs="宋体" w:eastAsia="宋体" w:hint="default"/>
                            <w:sz w:val="18"/>
                            <w:szCs w:val="18"/>
                          </w:rPr>
                          <w:t>号</w:t>
                        </w:r>
                        <w:r>
                          <w:rPr>
                            <w:rFonts w:ascii="宋体" w:hAnsi="宋体" w:cs="宋体" w:eastAsia="宋体" w:hint="default"/>
                            <w:spacing w:val="-90"/>
                            <w:sz w:val="18"/>
                            <w:szCs w:val="18"/>
                          </w:rPr>
                          <w:t>）</w:t>
                        </w:r>
                        <w:r>
                          <w:rPr>
                            <w:rFonts w:ascii="宋体" w:hAnsi="宋体" w:cs="宋体" w:eastAsia="宋体" w:hint="default"/>
                            <w:spacing w:val="-45"/>
                            <w:sz w:val="18"/>
                            <w:szCs w:val="18"/>
                          </w:rPr>
                          <w:t>，</w:t>
                        </w:r>
                        <w:r>
                          <w:rPr>
                            <w:rFonts w:ascii="宋体" w:hAnsi="宋体" w:cs="宋体" w:eastAsia="宋体" w:hint="default"/>
                            <w:sz w:val="18"/>
                            <w:szCs w:val="18"/>
                          </w:rPr>
                          <w:t>根据要求</w:t>
                        </w:r>
                        <w:r>
                          <w:rPr>
                            <w:rFonts w:ascii="宋体" w:hAnsi="宋体" w:cs="宋体" w:eastAsia="宋体" w:hint="default"/>
                            <w:spacing w:val="-45"/>
                            <w:sz w:val="18"/>
                            <w:szCs w:val="18"/>
                          </w:rPr>
                          <w:t>，</w:t>
                        </w:r>
                        <w:r>
                          <w:rPr>
                            <w:rFonts w:ascii="宋体" w:hAnsi="宋体" w:cs="宋体" w:eastAsia="宋体" w:hint="default"/>
                            <w:sz w:val="18"/>
                            <w:szCs w:val="18"/>
                          </w:rPr>
                          <w:t>本公司对</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p>
                    </w:tc>
                    <w:tc>
                      <w:tcPr>
                        <w:tcW w:w="3229"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14" w:right="0"/>
                          <w:jc w:val="left"/>
                          <w:rPr>
                            <w:rFonts w:ascii="宋体" w:hAnsi="宋体" w:cs="宋体" w:eastAsia="宋体" w:hint="default"/>
                            <w:sz w:val="18"/>
                            <w:szCs w:val="18"/>
                          </w:rPr>
                        </w:pPr>
                        <w:r>
                          <w:rPr>
                            <w:rFonts w:ascii="宋体" w:hAnsi="宋体" w:cs="宋体" w:eastAsia="宋体" w:hint="default"/>
                            <w:sz w:val="18"/>
                            <w:szCs w:val="18"/>
                          </w:rPr>
                          <w:t>届董事会第二十四次会议和第三届监事</w:t>
                        </w:r>
                      </w:p>
                    </w:tc>
                    <w:tc>
                      <w:tcPr>
                        <w:tcW w:w="3229"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pacing w:val="-4"/>
                            <w:sz w:val="18"/>
                            <w:szCs w:val="18"/>
                          </w:rPr>
                          <w:t>交换的确认时点，即换入资产应在符合资</w:t>
                        </w:r>
                      </w:p>
                    </w:tc>
                  </w:tr>
                  <w:tr>
                    <w:trPr>
                      <w:trHeight w:val="308" w:hRule="exact"/>
                    </w:trPr>
                    <w:tc>
                      <w:tcPr>
                        <w:tcW w:w="3244"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30"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日至执行日之间发生的非货币性</w:t>
                        </w:r>
                      </w:p>
                    </w:tc>
                    <w:tc>
                      <w:tcPr>
                        <w:tcW w:w="3229" w:type="dxa"/>
                        <w:tcBorders>
                          <w:top w:val="nil" w:sz="6" w:space="0" w:color="auto"/>
                          <w:left w:val="single" w:sz="6" w:space="0" w:color="000000"/>
                          <w:bottom w:val="nil" w:sz="6" w:space="0" w:color="auto"/>
                          <w:right w:val="single" w:sz="6" w:space="0" w:color="000000"/>
                        </w:tcBorders>
                      </w:tcPr>
                      <w:p>
                        <w:pPr>
                          <w:pStyle w:val="TableParagraph"/>
                          <w:spacing w:line="228" w:lineRule="exact"/>
                          <w:ind w:left="14" w:right="0"/>
                          <w:jc w:val="left"/>
                          <w:rPr>
                            <w:rFonts w:ascii="宋体" w:hAnsi="宋体" w:cs="宋体" w:eastAsia="宋体" w:hint="default"/>
                            <w:sz w:val="18"/>
                            <w:szCs w:val="18"/>
                          </w:rPr>
                        </w:pPr>
                        <w:r>
                          <w:rPr>
                            <w:rFonts w:ascii="宋体" w:hAnsi="宋体" w:cs="宋体" w:eastAsia="宋体" w:hint="default"/>
                            <w:sz w:val="18"/>
                            <w:szCs w:val="18"/>
                          </w:rPr>
                          <w:t>会第十七次会议审议通过。</w:t>
                        </w:r>
                      </w:p>
                    </w:tc>
                    <w:tc>
                      <w:tcPr>
                        <w:tcW w:w="3229" w:type="dxa"/>
                        <w:tcBorders>
                          <w:top w:val="nil" w:sz="6" w:space="0" w:color="auto"/>
                          <w:left w:val="single" w:sz="6" w:space="0" w:color="000000"/>
                          <w:bottom w:val="nil" w:sz="6" w:space="0" w:color="auto"/>
                          <w:right w:val="single" w:sz="6" w:space="0" w:color="000000"/>
                        </w:tcBorders>
                      </w:tcPr>
                      <w:p>
                        <w:pPr>
                          <w:pStyle w:val="TableParagraph"/>
                          <w:spacing w:line="228" w:lineRule="exact"/>
                          <w:ind w:left="15" w:right="0"/>
                          <w:jc w:val="left"/>
                          <w:rPr>
                            <w:rFonts w:ascii="宋体" w:hAnsi="宋体" w:cs="宋体" w:eastAsia="宋体" w:hint="default"/>
                            <w:sz w:val="18"/>
                            <w:szCs w:val="18"/>
                          </w:rPr>
                        </w:pPr>
                        <w:r>
                          <w:rPr>
                            <w:rFonts w:ascii="宋体" w:hAnsi="宋体" w:cs="宋体" w:eastAsia="宋体" w:hint="default"/>
                            <w:sz w:val="18"/>
                            <w:szCs w:val="18"/>
                          </w:rPr>
                          <w:t>产定义并满足资产确认条件时予以确认</w:t>
                        </w:r>
                      </w:p>
                    </w:tc>
                  </w:tr>
                  <w:tr>
                    <w:trPr>
                      <w:trHeight w:val="310" w:hRule="exact"/>
                    </w:trPr>
                    <w:tc>
                      <w:tcPr>
                        <w:tcW w:w="3244"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30" w:right="0"/>
                          <w:jc w:val="left"/>
                          <w:rPr>
                            <w:rFonts w:ascii="宋体" w:hAnsi="宋体" w:cs="宋体" w:eastAsia="宋体" w:hint="default"/>
                            <w:sz w:val="18"/>
                            <w:szCs w:val="18"/>
                          </w:rPr>
                        </w:pPr>
                        <w:r>
                          <w:rPr>
                            <w:rFonts w:ascii="宋体" w:hAnsi="宋体" w:cs="宋体" w:eastAsia="宋体" w:hint="default"/>
                            <w:sz w:val="18"/>
                            <w:szCs w:val="18"/>
                          </w:rPr>
                          <w:t>资产交换，根据本准则进行调整。</w:t>
                        </w:r>
                      </w:p>
                    </w:tc>
                    <w:tc>
                      <w:tcPr>
                        <w:tcW w:w="3229" w:type="dxa"/>
                        <w:tcBorders>
                          <w:top w:val="nil" w:sz="6" w:space="0" w:color="auto"/>
                          <w:left w:val="single" w:sz="6" w:space="0" w:color="000000"/>
                          <w:bottom w:val="nil" w:sz="6" w:space="0" w:color="auto"/>
                          <w:right w:val="single" w:sz="6" w:space="0" w:color="000000"/>
                        </w:tcBorders>
                      </w:tcPr>
                      <w:p>
                        <w:pPr/>
                      </w:p>
                    </w:tc>
                    <w:tc>
                      <w:tcPr>
                        <w:tcW w:w="3229"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换出资产应在满足资产终止确认条件时</w:t>
                        </w:r>
                      </w:p>
                    </w:tc>
                  </w:tr>
                  <w:tr>
                    <w:trPr>
                      <w:trHeight w:val="320" w:hRule="exact"/>
                    </w:trPr>
                    <w:tc>
                      <w:tcPr>
                        <w:tcW w:w="3244" w:type="dxa"/>
                        <w:tcBorders>
                          <w:top w:val="nil" w:sz="6" w:space="0" w:color="auto"/>
                          <w:left w:val="single" w:sz="6" w:space="0" w:color="000000"/>
                          <w:bottom w:val="nil" w:sz="6" w:space="0" w:color="auto"/>
                          <w:right w:val="single" w:sz="6" w:space="0" w:color="000000"/>
                        </w:tcBorders>
                      </w:tcPr>
                      <w:p>
                        <w:pPr/>
                      </w:p>
                    </w:tc>
                    <w:tc>
                      <w:tcPr>
                        <w:tcW w:w="3229" w:type="dxa"/>
                        <w:tcBorders>
                          <w:top w:val="nil" w:sz="6" w:space="0" w:color="auto"/>
                          <w:left w:val="single" w:sz="6" w:space="0" w:color="000000"/>
                          <w:bottom w:val="nil" w:sz="6" w:space="0" w:color="auto"/>
                          <w:right w:val="single" w:sz="6" w:space="0" w:color="000000"/>
                        </w:tcBorders>
                      </w:tcPr>
                      <w:p>
                        <w:pPr/>
                      </w:p>
                    </w:tc>
                    <w:tc>
                      <w:tcPr>
                        <w:tcW w:w="3229"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left="15" w:right="0"/>
                          <w:jc w:val="left"/>
                          <w:rPr>
                            <w:rFonts w:ascii="宋体" w:hAnsi="宋体" w:cs="宋体" w:eastAsia="宋体" w:hint="default"/>
                            <w:sz w:val="18"/>
                            <w:szCs w:val="18"/>
                          </w:rPr>
                        </w:pPr>
                        <w:r>
                          <w:rPr>
                            <w:rFonts w:ascii="宋体" w:hAnsi="宋体" w:cs="宋体" w:eastAsia="宋体" w:hint="default"/>
                            <w:sz w:val="18"/>
                            <w:szCs w:val="18"/>
                          </w:rPr>
                          <w:t>终止确认；</w:t>
                        </w:r>
                        <w:r>
                          <w:rPr>
                            <w:rFonts w:ascii="Times New Roman" w:hAnsi="Times New Roman" w:cs="Times New Roman" w:eastAsia="Times New Roman" w:hint="default"/>
                            <w:sz w:val="18"/>
                            <w:szCs w:val="18"/>
                          </w:rPr>
                          <w:t>3</w:t>
                        </w:r>
                        <w:r>
                          <w:rPr>
                            <w:rFonts w:ascii="宋体" w:hAnsi="宋体" w:cs="宋体" w:eastAsia="宋体" w:hint="default"/>
                            <w:sz w:val="18"/>
                            <w:szCs w:val="18"/>
                          </w:rPr>
                          <w:t>、将非货币性资产交换的计</w:t>
                        </w:r>
                      </w:p>
                    </w:tc>
                  </w:tr>
                  <w:tr>
                    <w:trPr>
                      <w:trHeight w:val="352" w:hRule="exact"/>
                    </w:trPr>
                    <w:tc>
                      <w:tcPr>
                        <w:tcW w:w="3244" w:type="dxa"/>
                        <w:tcBorders>
                          <w:top w:val="nil" w:sz="6" w:space="0" w:color="auto"/>
                          <w:left w:val="single" w:sz="6" w:space="0" w:color="000000"/>
                          <w:bottom w:val="single" w:sz="6" w:space="0" w:color="000000"/>
                          <w:right w:val="single" w:sz="6" w:space="0" w:color="000000"/>
                        </w:tcBorders>
                      </w:tcPr>
                      <w:p>
                        <w:pPr/>
                      </w:p>
                    </w:tc>
                    <w:tc>
                      <w:tcPr>
                        <w:tcW w:w="3229" w:type="dxa"/>
                        <w:tcBorders>
                          <w:top w:val="nil" w:sz="6" w:space="0" w:color="auto"/>
                          <w:left w:val="single" w:sz="6" w:space="0" w:color="000000"/>
                          <w:bottom w:val="single" w:sz="6" w:space="0" w:color="000000"/>
                          <w:right w:val="single" w:sz="6" w:space="0" w:color="000000"/>
                        </w:tcBorders>
                      </w:tcPr>
                      <w:p>
                        <w:pPr/>
                      </w:p>
                    </w:tc>
                    <w:tc>
                      <w:tcPr>
                        <w:tcW w:w="3229" w:type="dxa"/>
                        <w:tcBorders>
                          <w:top w:val="nil" w:sz="6" w:space="0" w:color="auto"/>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量原则与新收入准则协调一致。</w:t>
                        </w:r>
                      </w:p>
                    </w:tc>
                  </w:tr>
                  <w:tr>
                    <w:trPr>
                      <w:trHeight w:val="368" w:hRule="exact"/>
                    </w:trPr>
                    <w:tc>
                      <w:tcPr>
                        <w:tcW w:w="3244" w:type="dxa"/>
                        <w:tcBorders>
                          <w:top w:val="single" w:sz="6" w:space="0" w:color="000000"/>
                          <w:left w:val="single" w:sz="6" w:space="0" w:color="000000"/>
                          <w:bottom w:val="nil" w:sz="6" w:space="0" w:color="auto"/>
                          <w:right w:val="single" w:sz="6" w:space="0" w:color="000000"/>
                        </w:tcBorders>
                      </w:tcPr>
                      <w:p>
                        <w:pPr/>
                      </w:p>
                    </w:tc>
                    <w:tc>
                      <w:tcPr>
                        <w:tcW w:w="3229" w:type="dxa"/>
                        <w:tcBorders>
                          <w:top w:val="single" w:sz="6" w:space="0" w:color="000000"/>
                          <w:left w:val="single" w:sz="6" w:space="0" w:color="000000"/>
                          <w:bottom w:val="nil" w:sz="6" w:space="0" w:color="auto"/>
                          <w:right w:val="single" w:sz="6" w:space="0" w:color="000000"/>
                        </w:tcBorders>
                      </w:tcPr>
                      <w:p>
                        <w:pPr/>
                      </w:p>
                    </w:tc>
                    <w:tc>
                      <w:tcPr>
                        <w:tcW w:w="322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、将原</w:t>
                        </w:r>
                        <w:r>
                          <w:rPr>
                            <w:rFonts w:ascii="Times New Roman" w:hAnsi="Times New Roman" w:cs="Times New Roman" w:eastAsia="Times New Roman" w:hint="default"/>
                            <w:sz w:val="18"/>
                            <w:szCs w:val="18"/>
                          </w:rPr>
                          <w:t>"</w:t>
                        </w:r>
                        <w:r>
                          <w:rPr>
                            <w:rFonts w:ascii="宋体" w:hAnsi="宋体" w:cs="宋体" w:eastAsia="宋体" w:hint="default"/>
                            <w:sz w:val="18"/>
                            <w:szCs w:val="18"/>
                          </w:rPr>
                          <w:t>债权人让步行为</w:t>
                        </w:r>
                        <w:r>
                          <w:rPr>
                            <w:rFonts w:ascii="Times New Roman" w:hAnsi="Times New Roman" w:cs="Times New Roman" w:eastAsia="Times New Roman" w:hint="default"/>
                            <w:sz w:val="18"/>
                            <w:szCs w:val="18"/>
                          </w:rPr>
                          <w:t>"</w:t>
                        </w:r>
                        <w:r>
                          <w:rPr>
                            <w:rFonts w:ascii="宋体" w:hAnsi="宋体" w:cs="宋体" w:eastAsia="宋体" w:hint="default"/>
                            <w:sz w:val="18"/>
                            <w:szCs w:val="18"/>
                          </w:rPr>
                          <w:t>改为将</w:t>
                        </w:r>
                        <w:r>
                          <w:rPr>
                            <w:rFonts w:ascii="Times New Roman" w:hAnsi="Times New Roman" w:cs="Times New Roman" w:eastAsia="Times New Roman" w:hint="default"/>
                            <w:sz w:val="18"/>
                            <w:szCs w:val="18"/>
                          </w:rPr>
                          <w:t>"</w:t>
                        </w:r>
                        <w:r>
                          <w:rPr>
                            <w:rFonts w:ascii="宋体" w:hAnsi="宋体" w:cs="宋体" w:eastAsia="宋体" w:hint="default"/>
                            <w:sz w:val="18"/>
                            <w:szCs w:val="18"/>
                          </w:rPr>
                          <w:t>原有债</w:t>
                        </w:r>
                      </w:p>
                    </w:tc>
                  </w:tr>
                  <w:tr>
                    <w:trPr>
                      <w:trHeight w:val="308" w:hRule="exact"/>
                    </w:trPr>
                    <w:tc>
                      <w:tcPr>
                        <w:tcW w:w="3244" w:type="dxa"/>
                        <w:tcBorders>
                          <w:top w:val="nil" w:sz="6" w:space="0" w:color="auto"/>
                          <w:left w:val="single" w:sz="6" w:space="0" w:color="000000"/>
                          <w:bottom w:val="nil" w:sz="6" w:space="0" w:color="auto"/>
                          <w:right w:val="single" w:sz="6" w:space="0" w:color="000000"/>
                        </w:tcBorders>
                      </w:tcPr>
                      <w:p>
                        <w:pPr/>
                      </w:p>
                    </w:tc>
                    <w:tc>
                      <w:tcPr>
                        <w:tcW w:w="3229" w:type="dxa"/>
                        <w:tcBorders>
                          <w:top w:val="nil" w:sz="6" w:space="0" w:color="auto"/>
                          <w:left w:val="single" w:sz="6" w:space="0" w:color="000000"/>
                          <w:bottom w:val="nil" w:sz="6" w:space="0" w:color="auto"/>
                          <w:right w:val="single" w:sz="6" w:space="0" w:color="000000"/>
                        </w:tcBorders>
                      </w:tcPr>
                      <w:p>
                        <w:pPr/>
                      </w:p>
                    </w:tc>
                    <w:tc>
                      <w:tcPr>
                        <w:tcW w:w="3229" w:type="dxa"/>
                        <w:tcBorders>
                          <w:top w:val="nil" w:sz="6" w:space="0" w:color="auto"/>
                          <w:left w:val="single" w:sz="6" w:space="0" w:color="000000"/>
                          <w:bottom w:val="nil" w:sz="6" w:space="0" w:color="auto"/>
                          <w:right w:val="single" w:sz="6" w:space="0" w:color="000000"/>
                        </w:tcBorders>
                      </w:tcPr>
                      <w:p>
                        <w:pPr>
                          <w:pStyle w:val="TableParagraph"/>
                          <w:spacing w:line="249" w:lineRule="exact"/>
                          <w:ind w:left="15" w:right="0"/>
                          <w:jc w:val="left"/>
                          <w:rPr>
                            <w:rFonts w:ascii="宋体" w:hAnsi="宋体" w:cs="宋体" w:eastAsia="宋体" w:hint="default"/>
                            <w:sz w:val="18"/>
                            <w:szCs w:val="18"/>
                          </w:rPr>
                        </w:pPr>
                        <w:r>
                          <w:rPr>
                            <w:rFonts w:ascii="宋体" w:hAnsi="宋体" w:cs="宋体" w:eastAsia="宋体" w:hint="default"/>
                            <w:spacing w:val="-3"/>
                            <w:sz w:val="18"/>
                            <w:szCs w:val="18"/>
                          </w:rPr>
                          <w:t>务重新达成协议的交易行为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、重组方</w:t>
                        </w:r>
                      </w:p>
                    </w:tc>
                  </w:tr>
                  <w:tr>
                    <w:trPr>
                      <w:trHeight w:val="1869" w:hRule="exact"/>
                    </w:trPr>
                    <w:tc>
                      <w:tcPr>
                        <w:tcW w:w="3244" w:type="dxa"/>
                        <w:tcBorders>
                          <w:top w:val="nil" w:sz="6" w:space="0" w:color="auto"/>
                          <w:left w:val="single" w:sz="6" w:space="0" w:color="000000"/>
                          <w:bottom w:val="nil" w:sz="6" w:space="0" w:color="auto"/>
                          <w:right w:val="single" w:sz="12"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pacing w:val="-9"/>
                            <w:sz w:val="18"/>
                            <w:szCs w:val="18"/>
                          </w:rPr>
                          <w:t>日发布《企业会</w:t>
                        </w:r>
                      </w:p>
                      <w:p>
                        <w:pPr>
                          <w:pStyle w:val="TableParagraph"/>
                          <w:spacing w:line="240" w:lineRule="auto" w:before="51"/>
                          <w:ind w:left="30" w:right="-38"/>
                          <w:jc w:val="left"/>
                          <w:rPr>
                            <w:rFonts w:ascii="宋体" w:hAnsi="宋体" w:cs="宋体" w:eastAsia="宋体" w:hint="default"/>
                            <w:sz w:val="18"/>
                            <w:szCs w:val="18"/>
                          </w:rPr>
                        </w:pPr>
                        <w:r>
                          <w:rPr>
                            <w:rFonts w:ascii="宋体" w:hAnsi="宋体" w:cs="宋体" w:eastAsia="宋体" w:hint="default"/>
                            <w:sz w:val="18"/>
                            <w:szCs w:val="18"/>
                          </w:rPr>
                          <w:t>计准则第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债务重组</w:t>
                        </w:r>
                        <w:r>
                          <w:rPr>
                            <w:rFonts w:ascii="宋体" w:hAnsi="宋体" w:cs="宋体" w:eastAsia="宋体" w:hint="default"/>
                            <w:spacing w:val="-105"/>
                            <w:sz w:val="18"/>
                            <w:szCs w:val="18"/>
                          </w:rPr>
                          <w:t>》</w:t>
                        </w:r>
                        <w:r>
                          <w:rPr>
                            <w:rFonts w:ascii="宋体" w:hAnsi="宋体" w:cs="宋体" w:eastAsia="宋体" w:hint="default"/>
                            <w:sz w:val="18"/>
                            <w:szCs w:val="18"/>
                          </w:rPr>
                          <w:t>（财</w:t>
                        </w:r>
                        <w:r>
                          <w:rPr>
                            <w:rFonts w:ascii="宋体" w:hAnsi="宋体" w:cs="宋体" w:eastAsia="宋体" w:hint="default"/>
                            <w:spacing w:val="-15"/>
                            <w:sz w:val="18"/>
                            <w:szCs w:val="18"/>
                          </w:rPr>
                          <w:t>会</w:t>
                        </w:r>
                        <w:r>
                          <w:rPr>
                            <w:rFonts w:ascii="宋体" w:hAnsi="宋体" w:cs="宋体" w:eastAsia="宋体" w:hint="default"/>
                            <w:spacing w:val="1"/>
                            <w:sz w:val="18"/>
                            <w:szCs w:val="18"/>
                          </w:rPr>
                          <w:t>【</w:t>
                        </w:r>
                        <w:r>
                          <w:rPr>
                            <w:rFonts w:ascii="Times New Roman" w:hAnsi="Times New Roman" w:cs="Times New Roman" w:eastAsia="Times New Roman" w:hint="default"/>
                            <w:sz w:val="18"/>
                            <w:szCs w:val="18"/>
                          </w:rPr>
                          <w:t>2019</w:t>
                        </w:r>
                        <w:r>
                          <w:rPr>
                            <w:rFonts w:ascii="宋体" w:hAnsi="宋体" w:cs="宋体" w:eastAsia="宋体" w:hint="default"/>
                            <w:spacing w:val="-45"/>
                            <w:sz w:val="18"/>
                            <w:szCs w:val="18"/>
                          </w:rPr>
                          <w:t>】</w:t>
                        </w:r>
                        <w:r>
                          <w:rPr>
                            <w:rFonts w:ascii="宋体" w:hAnsi="宋体" w:cs="宋体" w:eastAsia="宋体" w:hint="default"/>
                            <w:sz w:val="18"/>
                            <w:szCs w:val="18"/>
                          </w:rPr>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 </w:t>
                        </w:r>
                        <w:r>
                          <w:rPr>
                            <w:rFonts w:ascii="宋体" w:hAnsi="宋体" w:cs="宋体" w:eastAsia="宋体" w:hint="default"/>
                            <w:sz w:val="18"/>
                            <w:szCs w:val="18"/>
                          </w:rPr>
                          <w:t>号</w:t>
                        </w:r>
                        <w:r>
                          <w:rPr>
                            <w:rFonts w:ascii="宋体" w:hAnsi="宋体" w:cs="宋体" w:eastAsia="宋体" w:hint="default"/>
                            <w:spacing w:val="-90"/>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根据要求</w:t>
                        </w:r>
                        <w:r>
                          <w:rPr>
                            <w:rFonts w:ascii="宋体" w:hAnsi="宋体" w:cs="宋体" w:eastAsia="宋体" w:hint="default"/>
                            <w:spacing w:val="-15"/>
                            <w:sz w:val="18"/>
                            <w:szCs w:val="18"/>
                          </w:rPr>
                          <w:t>，</w:t>
                        </w:r>
                        <w:r>
                          <w:rPr>
                            <w:rFonts w:ascii="宋体" w:hAnsi="宋体" w:cs="宋体" w:eastAsia="宋体" w:hint="default"/>
                            <w:sz w:val="18"/>
                            <w:szCs w:val="18"/>
                          </w:rPr>
                          <w:t>本公司对</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p>
                      <w:p>
                        <w:pPr>
                          <w:pStyle w:val="TableParagraph"/>
                          <w:spacing w:line="290" w:lineRule="auto" w:before="66"/>
                          <w:ind w:left="30" w:right="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日至执行日之间发生的非货币性资产交 换，根据本准则进行调整。</w:t>
                        </w:r>
                      </w:p>
                    </w:tc>
                    <w:tc>
                      <w:tcPr>
                        <w:tcW w:w="3229" w:type="dxa"/>
                        <w:tcBorders>
                          <w:top w:val="nil" w:sz="6" w:space="0" w:color="auto"/>
                          <w:left w:val="single" w:sz="12"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97" w:lineRule="auto"/>
                          <w:ind w:left="7" w:right="44"/>
                          <w:jc w:val="left"/>
                          <w:rPr>
                            <w:rFonts w:ascii="宋体" w:hAnsi="宋体" w:cs="宋体" w:eastAsia="宋体" w:hint="default"/>
                            <w:sz w:val="18"/>
                            <w:szCs w:val="18"/>
                          </w:rPr>
                        </w:pPr>
                        <w:r>
                          <w:rPr>
                            <w:rFonts w:ascii="宋体" w:hAnsi="宋体" w:cs="宋体" w:eastAsia="宋体" w:hint="default"/>
                            <w:sz w:val="18"/>
                            <w:szCs w:val="18"/>
                          </w:rPr>
                          <w:t>经本公司</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6 </w:t>
                        </w:r>
                        <w:r>
                          <w:rPr>
                            <w:rFonts w:ascii="宋体" w:hAnsi="宋体" w:cs="宋体" w:eastAsia="宋体" w:hint="default"/>
                            <w:sz w:val="18"/>
                            <w:szCs w:val="18"/>
                          </w:rPr>
                          <w:t>日召开的第三 届董事会第二十四次会议和第三届监事 会第十七次会议审议通过。</w:t>
                        </w:r>
                      </w:p>
                    </w:tc>
                    <w:tc>
                      <w:tcPr>
                        <w:tcW w:w="3229" w:type="dxa"/>
                        <w:tcBorders>
                          <w:top w:val="nil" w:sz="6" w:space="0" w:color="auto"/>
                          <w:left w:val="single" w:sz="6" w:space="0" w:color="000000"/>
                          <w:bottom w:val="nil" w:sz="6" w:space="0" w:color="auto"/>
                          <w:right w:val="single" w:sz="6" w:space="0" w:color="000000"/>
                        </w:tcBorders>
                      </w:tcPr>
                      <w:p>
                        <w:pPr>
                          <w:pStyle w:val="TableParagraph"/>
                          <w:spacing w:line="304" w:lineRule="auto" w:before="7"/>
                          <w:ind w:left="15" w:right="16"/>
                          <w:jc w:val="both"/>
                          <w:rPr>
                            <w:rFonts w:ascii="宋体" w:hAnsi="宋体" w:cs="宋体" w:eastAsia="宋体" w:hint="default"/>
                            <w:sz w:val="18"/>
                            <w:szCs w:val="18"/>
                          </w:rPr>
                        </w:pPr>
                        <w:r>
                          <w:rPr>
                            <w:rFonts w:ascii="宋体" w:hAnsi="宋体" w:cs="宋体" w:eastAsia="宋体" w:hint="default"/>
                            <w:sz w:val="18"/>
                            <w:szCs w:val="18"/>
                          </w:rPr>
                          <w:t>式中债务转为</w:t>
                        </w:r>
                        <w:r>
                          <w:rPr>
                            <w:rFonts w:ascii="Times New Roman" w:hAnsi="Times New Roman" w:cs="Times New Roman" w:eastAsia="Times New Roman" w:hint="default"/>
                            <w:sz w:val="18"/>
                            <w:szCs w:val="18"/>
                          </w:rPr>
                          <w:t>"</w:t>
                        </w:r>
                        <w:r>
                          <w:rPr>
                            <w:rFonts w:ascii="宋体" w:hAnsi="宋体" w:cs="宋体" w:eastAsia="宋体" w:hint="default"/>
                            <w:sz w:val="18"/>
                            <w:szCs w:val="18"/>
                          </w:rPr>
                          <w:t>资本</w:t>
                        </w:r>
                        <w:r>
                          <w:rPr>
                            <w:rFonts w:ascii="Times New Roman" w:hAnsi="Times New Roman" w:cs="Times New Roman" w:eastAsia="Times New Roman" w:hint="default"/>
                            <w:sz w:val="18"/>
                            <w:szCs w:val="18"/>
                          </w:rPr>
                          <w:t>"</w:t>
                        </w:r>
                        <w:r>
                          <w:rPr>
                            <w:rFonts w:ascii="宋体" w:hAnsi="宋体" w:cs="宋体" w:eastAsia="宋体" w:hint="default"/>
                            <w:sz w:val="18"/>
                            <w:szCs w:val="18"/>
                          </w:rPr>
                          <w:t>改为债务转为</w:t>
                        </w:r>
                        <w:r>
                          <w:rPr>
                            <w:rFonts w:ascii="Times New Roman" w:hAnsi="Times New Roman" w:cs="Times New Roman" w:eastAsia="Times New Roman" w:hint="default"/>
                            <w:sz w:val="18"/>
                            <w:szCs w:val="18"/>
                          </w:rPr>
                          <w:t>"</w:t>
                        </w:r>
                        <w:r>
                          <w:rPr>
                            <w:rFonts w:ascii="宋体" w:hAnsi="宋体" w:cs="宋体" w:eastAsia="宋体" w:hint="default"/>
                            <w:sz w:val="18"/>
                            <w:szCs w:val="18"/>
                          </w:rPr>
                          <w:t>权益</w:t>
                        </w:r>
                        <w:r>
                          <w:rPr>
                            <w:rFonts w:ascii="宋体" w:hAnsi="宋体" w:cs="宋体" w:eastAsia="宋体" w:hint="default"/>
                            <w:spacing w:val="-86"/>
                            <w:sz w:val="18"/>
                            <w:szCs w:val="18"/>
                          </w:rPr>
                          <w:t> </w:t>
                        </w:r>
                        <w:r>
                          <w:rPr>
                            <w:rFonts w:ascii="宋体" w:hAnsi="宋体" w:cs="宋体" w:eastAsia="宋体" w:hint="default"/>
                            <w:spacing w:val="-4"/>
                            <w:sz w:val="18"/>
                            <w:szCs w:val="18"/>
                          </w:rPr>
                          <w:t>工具</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、将重组债权和债务的会计处理</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规定索引至新金融工具准则，从而与新金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融工具准则协调一致，同时删除关于或有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应收、应付金额遵循或有事项准则的规</w:t>
                        </w:r>
                      </w:p>
                      <w:p>
                        <w:pPr>
                          <w:pStyle w:val="TableParagraph"/>
                          <w:spacing w:line="240" w:lineRule="auto" w:before="46"/>
                          <w:ind w:left="15" w:right="0"/>
                          <w:jc w:val="both"/>
                          <w:rPr>
                            <w:rFonts w:ascii="宋体" w:hAnsi="宋体" w:cs="宋体" w:eastAsia="宋体" w:hint="default"/>
                            <w:sz w:val="18"/>
                            <w:szCs w:val="18"/>
                          </w:rPr>
                        </w:pPr>
                        <w:r>
                          <w:rPr>
                            <w:rFonts w:ascii="宋体" w:hAnsi="宋体" w:cs="宋体" w:eastAsia="宋体" w:hint="default"/>
                            <w:sz w:val="18"/>
                            <w:szCs w:val="18"/>
                          </w:rPr>
                          <w:t>定。</w:t>
                        </w:r>
                        <w:r>
                          <w:rPr>
                            <w:rFonts w:ascii="Times New Roman" w:hAnsi="Times New Roman" w:cs="Times New Roman" w:eastAsia="Times New Roman" w:hint="default"/>
                            <w:sz w:val="18"/>
                            <w:szCs w:val="18"/>
                          </w:rPr>
                          <w:t>4</w:t>
                        </w:r>
                        <w:r>
                          <w:rPr>
                            <w:rFonts w:ascii="宋体" w:hAnsi="宋体" w:cs="宋体" w:eastAsia="宋体" w:hint="default"/>
                            <w:sz w:val="18"/>
                            <w:szCs w:val="18"/>
                          </w:rPr>
                          <w:t>、将以非现金资产偿债情况下资产</w:t>
                        </w:r>
                      </w:p>
                    </w:tc>
                  </w:tr>
                  <w:tr>
                    <w:trPr>
                      <w:trHeight w:val="303" w:hRule="exact"/>
                    </w:trPr>
                    <w:tc>
                      <w:tcPr>
                        <w:tcW w:w="3244" w:type="dxa"/>
                        <w:tcBorders>
                          <w:top w:val="nil" w:sz="6" w:space="0" w:color="auto"/>
                          <w:left w:val="single" w:sz="6" w:space="0" w:color="000000"/>
                          <w:bottom w:val="nil" w:sz="6" w:space="0" w:color="auto"/>
                          <w:right w:val="single" w:sz="6" w:space="0" w:color="000000"/>
                        </w:tcBorders>
                      </w:tcPr>
                      <w:p>
                        <w:pPr/>
                      </w:p>
                    </w:tc>
                    <w:tc>
                      <w:tcPr>
                        <w:tcW w:w="3229" w:type="dxa"/>
                        <w:tcBorders>
                          <w:top w:val="nil" w:sz="6" w:space="0" w:color="auto"/>
                          <w:left w:val="single" w:sz="6" w:space="0" w:color="000000"/>
                          <w:bottom w:val="nil" w:sz="6" w:space="0" w:color="auto"/>
                          <w:right w:val="single" w:sz="6" w:space="0" w:color="000000"/>
                        </w:tcBorders>
                      </w:tcPr>
                      <w:p>
                        <w:pPr/>
                      </w:p>
                    </w:tc>
                    <w:tc>
                      <w:tcPr>
                        <w:tcW w:w="3229"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处置损益的计算方法与新收入准则协调</w:t>
                        </w:r>
                      </w:p>
                    </w:tc>
                  </w:tr>
                  <w:tr>
                    <w:trPr>
                      <w:trHeight w:val="365" w:hRule="exact"/>
                    </w:trPr>
                    <w:tc>
                      <w:tcPr>
                        <w:tcW w:w="3244" w:type="dxa"/>
                        <w:tcBorders>
                          <w:top w:val="nil" w:sz="6" w:space="0" w:color="auto"/>
                          <w:left w:val="single" w:sz="6" w:space="0" w:color="000000"/>
                          <w:bottom w:val="single" w:sz="6" w:space="0" w:color="000000"/>
                          <w:right w:val="single" w:sz="6" w:space="0" w:color="000000"/>
                        </w:tcBorders>
                      </w:tcPr>
                      <w:p>
                        <w:pPr/>
                      </w:p>
                    </w:tc>
                    <w:tc>
                      <w:tcPr>
                        <w:tcW w:w="3229" w:type="dxa"/>
                        <w:tcBorders>
                          <w:top w:val="nil" w:sz="6" w:space="0" w:color="auto"/>
                          <w:left w:val="single" w:sz="6" w:space="0" w:color="000000"/>
                          <w:bottom w:val="single" w:sz="6" w:space="0" w:color="000000"/>
                          <w:right w:val="single" w:sz="6" w:space="0" w:color="000000"/>
                        </w:tcBorders>
                      </w:tcPr>
                      <w:p>
                        <w:pPr/>
                      </w:p>
                    </w:tc>
                    <w:tc>
                      <w:tcPr>
                        <w:tcW w:w="322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一致。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BodyText"/>
        <w:spacing w:line="240" w:lineRule="auto" w:before="44"/>
        <w:ind w:left="0" w:right="106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line="345" w:lineRule="exact"/>
        <w:ind w:left="3390"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159.2pt;height:17.25pt;mso-position-horizontal-relative:char;mso-position-vertical-relative:line" coordorigin="0,0" coordsize="3184,345">
            <v:group style="position:absolute;left:0;top:0;width:3184;height:345" coordorigin="0,0" coordsize="3184,345">
              <v:shape style="position:absolute;left:0;top:0;width:3184;height:345" coordorigin="0,0" coordsize="3184,345" path="m0,345l3184,345,3184,0,0,0,0,345xe" filled="true" fillcolor="#ffffff" stroked="false">
                <v:path arrowok="t"/>
                <v:fill type="solid"/>
              </v:shape>
            </v:group>
          </v:group>
        </w:pict>
      </w:r>
      <w:r>
        <w:rPr>
          <w:rFonts w:ascii="宋体" w:hAnsi="宋体" w:cs="宋体" w:eastAsia="宋体" w:hint="default"/>
          <w:position w:val="-6"/>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tbl>
      <w:tblPr>
        <w:tblW w:w="0" w:type="auto"/>
        <w:jc w:val="left"/>
        <w:tblInd w:w="116" w:type="dxa"/>
        <w:tblLayout w:type="fixed"/>
        <w:tblCellMar>
          <w:top w:w="0" w:type="dxa"/>
          <w:left w:w="0" w:type="dxa"/>
          <w:bottom w:w="0" w:type="dxa"/>
          <w:right w:w="0" w:type="dxa"/>
        </w:tblCellMar>
        <w:tblLook w:val="01E0"/>
      </w:tblPr>
      <w:tblGrid>
        <w:gridCol w:w="3244"/>
        <w:gridCol w:w="6458"/>
      </w:tblGrid>
      <w:tr>
        <w:trPr>
          <w:trHeight w:val="346" w:hRule="exact"/>
        </w:trPr>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510"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会计政策变更的内容和原因</w:t>
            </w:r>
            <w:r>
              <w:rPr>
                <w:rFonts w:ascii="宋体" w:hAnsi="宋体" w:cs="宋体" w:eastAsia="宋体" w:hint="default"/>
                <w:sz w:val="18"/>
                <w:szCs w:val="18"/>
              </w:rPr>
            </w:r>
          </w:p>
        </w:tc>
        <w:tc>
          <w:tcPr>
            <w:tcW w:w="6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042" w:right="0"/>
              <w:jc w:val="left"/>
              <w:rPr>
                <w:rFonts w:ascii="宋体" w:hAnsi="宋体" w:cs="宋体" w:eastAsia="宋体" w:hint="default"/>
                <w:sz w:val="18"/>
                <w:szCs w:val="18"/>
              </w:rPr>
            </w:pPr>
            <w:r>
              <w:rPr>
                <w:rFonts w:ascii="宋体" w:hAnsi="宋体" w:cs="宋体" w:eastAsia="宋体" w:hint="default"/>
                <w:b/>
                <w:bCs/>
                <w:sz w:val="18"/>
                <w:szCs w:val="18"/>
              </w:rPr>
              <w:t>受影响的报表项目名称和金额</w:t>
            </w:r>
            <w:r>
              <w:rPr>
                <w:rFonts w:ascii="宋体" w:hAnsi="宋体" w:cs="宋体" w:eastAsia="宋体" w:hint="default"/>
                <w:sz w:val="18"/>
                <w:szCs w:val="18"/>
              </w:rPr>
            </w:r>
          </w:p>
        </w:tc>
      </w:tr>
      <w:tr>
        <w:trPr>
          <w:trHeight w:val="338" w:hRule="exact"/>
        </w:trPr>
        <w:tc>
          <w:tcPr>
            <w:tcW w:w="324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9"/>
              <w:ind w:right="0"/>
              <w:jc w:val="left"/>
              <w:rPr>
                <w:rFonts w:ascii="宋体" w:hAnsi="宋体" w:cs="宋体" w:eastAsia="宋体" w:hint="default"/>
                <w:sz w:val="18"/>
                <w:szCs w:val="18"/>
              </w:rPr>
            </w:pPr>
            <w:r>
              <w:rPr>
                <w:rFonts w:ascii="宋体" w:hAnsi="宋体" w:cs="宋体" w:eastAsia="宋体" w:hint="default"/>
                <w:spacing w:val="14"/>
                <w:sz w:val="18"/>
                <w:szCs w:val="18"/>
              </w:rPr>
              <w:t>将应收票据及应收账款分开为</w:t>
            </w:r>
            <w:r>
              <w:rPr>
                <w:rFonts w:ascii="Times New Roman" w:hAnsi="Times New Roman" w:cs="Times New Roman" w:eastAsia="Times New Roman" w:hint="default"/>
                <w:spacing w:val="14"/>
                <w:sz w:val="18"/>
                <w:szCs w:val="18"/>
              </w:rPr>
              <w:t>“</w:t>
            </w:r>
            <w:r>
              <w:rPr>
                <w:rFonts w:ascii="Times New Roman" w:hAnsi="Times New Roman" w:cs="Times New Roman" w:eastAsia="Times New Roman" w:hint="default"/>
                <w:spacing w:val="-18"/>
                <w:sz w:val="18"/>
                <w:szCs w:val="18"/>
              </w:rPr>
              <w:t> </w:t>
            </w:r>
            <w:r>
              <w:rPr>
                <w:rFonts w:ascii="宋体" w:hAnsi="宋体" w:cs="宋体" w:eastAsia="宋体" w:hint="default"/>
                <w:spacing w:val="15"/>
                <w:sz w:val="18"/>
                <w:szCs w:val="18"/>
              </w:rPr>
              <w:t>应收票</w:t>
            </w:r>
            <w:r>
              <w:rPr>
                <w:rFonts w:ascii="宋体" w:hAnsi="宋体" w:cs="宋体" w:eastAsia="宋体" w:hint="default"/>
                <w:sz w:val="18"/>
                <w:szCs w:val="18"/>
              </w:rPr>
            </w:r>
          </w:p>
        </w:tc>
        <w:tc>
          <w:tcPr>
            <w:tcW w:w="645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9"/>
              <w:ind w:left="-1" w:right="-16"/>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合并资产负债表</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应收票据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项目列示金额</w:t>
            </w:r>
            <w:r>
              <w:rPr>
                <w:rFonts w:ascii="Times New Roman" w:hAnsi="Times New Roman" w:cs="Times New Roman" w:eastAsia="Times New Roman" w:hint="default"/>
                <w:spacing w:val="-1"/>
                <w:sz w:val="18"/>
                <w:szCs w:val="18"/>
              </w:rPr>
              <w:t>3,245,322.51</w:t>
            </w:r>
            <w:r>
              <w:rPr>
                <w:rFonts w:ascii="宋体" w:hAnsi="宋体" w:cs="宋体" w:eastAsia="宋体" w:hint="default"/>
                <w:spacing w:val="-1"/>
                <w:sz w:val="18"/>
                <w:szCs w:val="18"/>
              </w:rPr>
              <w:t>元；</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p>
        </w:tc>
      </w:tr>
      <w:tr>
        <w:trPr>
          <w:trHeight w:val="308" w:hRule="exact"/>
        </w:trPr>
        <w:tc>
          <w:tcPr>
            <w:tcW w:w="3244" w:type="dxa"/>
            <w:tcBorders>
              <w:top w:val="nil" w:sz="6" w:space="0" w:color="auto"/>
              <w:left w:val="single" w:sz="6" w:space="0" w:color="000000"/>
              <w:bottom w:val="nil" w:sz="6" w:space="0" w:color="auto"/>
              <w:right w:val="single" w:sz="6" w:space="0" w:color="000000"/>
            </w:tcBorders>
          </w:tcPr>
          <w:p>
            <w:pPr>
              <w:pStyle w:val="TableParagraph"/>
              <w:spacing w:line="249" w:lineRule="exact"/>
              <w:ind w:right="0"/>
              <w:jc w:val="left"/>
              <w:rPr>
                <w:rFonts w:ascii="宋体" w:hAnsi="宋体" w:cs="宋体" w:eastAsia="宋体" w:hint="default"/>
                <w:sz w:val="18"/>
                <w:szCs w:val="18"/>
              </w:rPr>
            </w:pPr>
            <w:r>
              <w:rPr>
                <w:rFonts w:ascii="宋体" w:hAnsi="宋体" w:cs="宋体" w:eastAsia="宋体" w:hint="default"/>
                <w:sz w:val="18"/>
                <w:szCs w:val="18"/>
              </w:rPr>
              <w:t>据</w:t>
            </w:r>
            <w:r>
              <w:rPr>
                <w:rFonts w:ascii="Times New Roman" w:hAnsi="Times New Roman" w:cs="Times New Roman" w:eastAsia="Times New Roman" w:hint="default"/>
                <w:sz w:val="18"/>
                <w:szCs w:val="18"/>
              </w:rPr>
              <w:t>”</w:t>
            </w:r>
            <w:r>
              <w:rPr>
                <w:rFonts w:ascii="宋体" w:hAnsi="宋体" w:cs="宋体" w:eastAsia="宋体" w:hint="default"/>
                <w:sz w:val="18"/>
                <w:szCs w:val="18"/>
              </w:rPr>
              <w:t>与</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p>
        </w:tc>
        <w:tc>
          <w:tcPr>
            <w:tcW w:w="6458" w:type="dxa"/>
            <w:tcBorders>
              <w:top w:val="nil" w:sz="6" w:space="0" w:color="auto"/>
              <w:left w:val="single" w:sz="6" w:space="0" w:color="000000"/>
              <w:bottom w:val="nil" w:sz="6" w:space="0" w:color="auto"/>
              <w:right w:val="single" w:sz="6" w:space="0" w:color="000000"/>
            </w:tcBorders>
          </w:tcPr>
          <w:p>
            <w:pPr>
              <w:pStyle w:val="TableParagraph"/>
              <w:spacing w:line="249" w:lineRule="exact"/>
              <w:ind w:left="-1" w:right="-3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r>
              <w:rPr>
                <w:rFonts w:ascii="宋体" w:hAnsi="宋体" w:cs="宋体" w:eastAsia="宋体" w:hint="default"/>
                <w:spacing w:val="-60"/>
                <w:sz w:val="18"/>
                <w:szCs w:val="18"/>
              </w:rPr>
              <w:t> </w:t>
            </w:r>
            <w:r>
              <w:rPr>
                <w:rFonts w:ascii="宋体" w:hAnsi="宋体" w:cs="宋体" w:eastAsia="宋体" w:hint="default"/>
                <w:spacing w:val="7"/>
                <w:sz w:val="18"/>
                <w:szCs w:val="18"/>
              </w:rPr>
              <w:t>列示</w:t>
            </w:r>
            <w:r>
              <w:rPr>
                <w:rFonts w:ascii="宋体" w:hAnsi="宋体" w:cs="宋体" w:eastAsia="宋体" w:hint="default"/>
                <w:spacing w:val="-60"/>
                <w:sz w:val="18"/>
                <w:szCs w:val="18"/>
              </w:rPr>
              <w:t> </w:t>
            </w:r>
            <w:r>
              <w:rPr>
                <w:rFonts w:ascii="宋体" w:hAnsi="宋体" w:cs="宋体" w:eastAsia="宋体" w:hint="default"/>
                <w:spacing w:val="7"/>
                <w:sz w:val="18"/>
                <w:szCs w:val="18"/>
              </w:rPr>
              <w:t>金额</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1,313,190.00</w:t>
            </w:r>
            <w:r>
              <w:rPr>
                <w:rFonts w:ascii="Times New Roman" w:hAnsi="Times New Roman" w:cs="Times New Roman" w:eastAsia="Times New Roman" w:hint="default"/>
                <w:spacing w:val="-14"/>
                <w:sz w:val="18"/>
                <w:szCs w:val="18"/>
              </w:rPr>
              <w:t> </w:t>
            </w:r>
            <w:r>
              <w:rPr>
                <w:rFonts w:ascii="宋体" w:hAnsi="宋体" w:cs="宋体" w:eastAsia="宋体" w:hint="default"/>
                <w:spacing w:val="7"/>
                <w:sz w:val="18"/>
                <w:szCs w:val="18"/>
              </w:rPr>
              <w:t>元。</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8"/>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pacing w:val="-8"/>
                <w:sz w:val="18"/>
                <w:szCs w:val="18"/>
              </w:rPr>
              <w:t>31</w:t>
            </w:r>
            <w:r>
              <w:rPr>
                <w:rFonts w:ascii="Times New Roman" w:hAnsi="Times New Roman" w:cs="Times New Roman" w:eastAsia="Times New Roman" w:hint="default"/>
                <w:spacing w:val="-15"/>
                <w:sz w:val="18"/>
                <w:szCs w:val="18"/>
              </w:rPr>
              <w:t> </w:t>
            </w:r>
            <w:r>
              <w:rPr>
                <w:rFonts w:ascii="宋体" w:hAnsi="宋体" w:cs="宋体" w:eastAsia="宋体" w:hint="default"/>
                <w:spacing w:val="7"/>
                <w:sz w:val="18"/>
                <w:szCs w:val="18"/>
              </w:rPr>
              <w:t>日</w:t>
            </w:r>
            <w:r>
              <w:rPr>
                <w:rFonts w:ascii="Times New Roman" w:hAnsi="Times New Roman" w:cs="Times New Roman" w:eastAsia="Times New Roman" w:hint="default"/>
                <w:spacing w:val="7"/>
                <w:sz w:val="18"/>
                <w:szCs w:val="18"/>
              </w:rPr>
              <w:t>“</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应收</w:t>
            </w:r>
            <w:r>
              <w:rPr>
                <w:rFonts w:ascii="宋体" w:hAnsi="宋体" w:cs="宋体" w:eastAsia="宋体" w:hint="default"/>
                <w:spacing w:val="-60"/>
                <w:sz w:val="18"/>
                <w:szCs w:val="18"/>
              </w:rPr>
              <w:t> </w:t>
            </w:r>
            <w:r>
              <w:rPr>
                <w:rFonts w:ascii="宋体" w:hAnsi="宋体" w:cs="宋体" w:eastAsia="宋体" w:hint="default"/>
                <w:sz w:val="18"/>
                <w:szCs w:val="18"/>
              </w:rPr>
              <w:t>账</w:t>
            </w:r>
            <w:r>
              <w:rPr>
                <w:rFonts w:ascii="宋体" w:hAnsi="宋体" w:cs="宋体" w:eastAsia="宋体" w:hint="default"/>
                <w:spacing w:val="-60"/>
                <w:sz w:val="18"/>
                <w:szCs w:val="18"/>
              </w:rPr>
              <w:t> </w:t>
            </w:r>
            <w:r>
              <w:rPr>
                <w:rFonts w:ascii="宋体" w:hAnsi="宋体" w:cs="宋体" w:eastAsia="宋体" w:hint="default"/>
                <w:sz w:val="18"/>
                <w:szCs w:val="18"/>
              </w:rPr>
              <w:t>款</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项</w:t>
            </w:r>
            <w:r>
              <w:rPr>
                <w:rFonts w:ascii="宋体" w:hAnsi="宋体" w:cs="宋体" w:eastAsia="宋体" w:hint="default"/>
                <w:spacing w:val="-60"/>
                <w:sz w:val="18"/>
                <w:szCs w:val="18"/>
              </w:rPr>
              <w:t> </w:t>
            </w:r>
            <w:r>
              <w:rPr>
                <w:rFonts w:ascii="宋体" w:hAnsi="宋体" w:cs="宋体" w:eastAsia="宋体" w:hint="default"/>
                <w:spacing w:val="7"/>
                <w:sz w:val="18"/>
                <w:szCs w:val="18"/>
              </w:rPr>
              <w:t>目列</w:t>
            </w:r>
            <w:r>
              <w:rPr>
                <w:rFonts w:ascii="宋体" w:hAnsi="宋体" w:cs="宋体" w:eastAsia="宋体" w:hint="default"/>
                <w:spacing w:val="-60"/>
                <w:sz w:val="18"/>
                <w:szCs w:val="18"/>
              </w:rPr>
              <w:t> </w:t>
            </w:r>
            <w:r>
              <w:rPr>
                <w:rFonts w:ascii="宋体" w:hAnsi="宋体" w:cs="宋体" w:eastAsia="宋体" w:hint="default"/>
                <w:sz w:val="18"/>
                <w:szCs w:val="18"/>
              </w:rPr>
              <w:t>示</w:t>
            </w:r>
            <w:r>
              <w:rPr>
                <w:rFonts w:ascii="宋体" w:hAnsi="宋体" w:cs="宋体" w:eastAsia="宋体" w:hint="default"/>
                <w:spacing w:val="-60"/>
                <w:sz w:val="18"/>
                <w:szCs w:val="18"/>
              </w:rPr>
              <w:t> </w:t>
            </w:r>
            <w:r>
              <w:rPr>
                <w:rFonts w:ascii="宋体" w:hAnsi="宋体" w:cs="宋体" w:eastAsia="宋体" w:hint="default"/>
                <w:sz w:val="18"/>
                <w:szCs w:val="18"/>
              </w:rPr>
              <w:t>金</w:t>
            </w:r>
            <w:r>
              <w:rPr>
                <w:rFonts w:ascii="宋体" w:hAnsi="宋体" w:cs="宋体" w:eastAsia="宋体" w:hint="default"/>
                <w:spacing w:val="-60"/>
                <w:sz w:val="18"/>
                <w:szCs w:val="18"/>
              </w:rPr>
              <w:t> </w:t>
            </w:r>
            <w:r>
              <w:rPr>
                <w:rFonts w:ascii="宋体" w:hAnsi="宋体" w:cs="宋体" w:eastAsia="宋体" w:hint="default"/>
                <w:sz w:val="18"/>
                <w:szCs w:val="18"/>
              </w:rPr>
              <w:t>额</w:t>
            </w:r>
          </w:p>
        </w:tc>
      </w:tr>
      <w:tr>
        <w:trPr>
          <w:trHeight w:val="315" w:hRule="exact"/>
        </w:trPr>
        <w:tc>
          <w:tcPr>
            <w:tcW w:w="3244" w:type="dxa"/>
            <w:tcBorders>
              <w:top w:val="nil" w:sz="6" w:space="0" w:color="auto"/>
              <w:left w:val="single" w:sz="6" w:space="0" w:color="000000"/>
              <w:bottom w:val="nil" w:sz="6" w:space="0" w:color="auto"/>
              <w:right w:val="single" w:sz="6" w:space="0" w:color="000000"/>
            </w:tcBorders>
          </w:tcPr>
          <w:p>
            <w:pPr/>
          </w:p>
        </w:tc>
        <w:tc>
          <w:tcPr>
            <w:tcW w:w="6458"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1"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123,971,307.12</w:t>
            </w:r>
            <w:r>
              <w:rPr>
                <w:rFonts w:ascii="宋体" w:hAnsi="宋体" w:cs="宋体" w:eastAsia="宋体" w:hint="default"/>
                <w:spacing w:val="2"/>
                <w:sz w:val="18"/>
                <w:szCs w:val="18"/>
              </w:rPr>
              <w:t>元；</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日列示金额</w:t>
            </w:r>
            <w:r>
              <w:rPr>
                <w:rFonts w:ascii="Times New Roman" w:hAnsi="Times New Roman" w:cs="Times New Roman" w:eastAsia="Times New Roman" w:hint="default"/>
                <w:spacing w:val="2"/>
                <w:sz w:val="18"/>
                <w:szCs w:val="18"/>
              </w:rPr>
              <w:t>97,244,483.23</w:t>
            </w:r>
            <w:r>
              <w:rPr>
                <w:rFonts w:ascii="宋体" w:hAnsi="宋体" w:cs="宋体" w:eastAsia="宋体" w:hint="default"/>
                <w:spacing w:val="2"/>
                <w:sz w:val="18"/>
                <w:szCs w:val="18"/>
              </w:rPr>
              <w:t>元。母公司资产负债表</w:t>
            </w:r>
          </w:p>
        </w:tc>
      </w:tr>
      <w:tr>
        <w:trPr>
          <w:trHeight w:val="315" w:hRule="exact"/>
        </w:trPr>
        <w:tc>
          <w:tcPr>
            <w:tcW w:w="3244" w:type="dxa"/>
            <w:tcBorders>
              <w:top w:val="nil" w:sz="6" w:space="0" w:color="auto"/>
              <w:left w:val="single" w:sz="6" w:space="0" w:color="000000"/>
              <w:bottom w:val="nil" w:sz="6" w:space="0" w:color="auto"/>
              <w:right w:val="single" w:sz="6" w:space="0" w:color="000000"/>
            </w:tcBorders>
          </w:tcPr>
          <w:p>
            <w:pPr/>
          </w:p>
        </w:tc>
        <w:tc>
          <w:tcPr>
            <w:tcW w:w="6458"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1"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2019</w:t>
            </w:r>
            <w:r>
              <w:rPr>
                <w:rFonts w:ascii="宋体" w:hAnsi="宋体" w:cs="宋体" w:eastAsia="宋体" w:hint="default"/>
                <w:spacing w:val="6"/>
                <w:sz w:val="18"/>
                <w:szCs w:val="18"/>
              </w:rPr>
              <w:t>年</w:t>
            </w:r>
            <w:r>
              <w:rPr>
                <w:rFonts w:ascii="Times New Roman" w:hAnsi="Times New Roman" w:cs="Times New Roman" w:eastAsia="Times New Roman" w:hint="default"/>
                <w:spacing w:val="6"/>
                <w:sz w:val="18"/>
                <w:szCs w:val="18"/>
              </w:rPr>
              <w:t>12</w:t>
            </w:r>
            <w:r>
              <w:rPr>
                <w:rFonts w:ascii="宋体" w:hAnsi="宋体" w:cs="宋体" w:eastAsia="宋体" w:hint="default"/>
                <w:spacing w:val="6"/>
                <w:sz w:val="18"/>
                <w:szCs w:val="18"/>
              </w:rPr>
              <w:t>月</w:t>
            </w:r>
            <w:r>
              <w:rPr>
                <w:rFonts w:ascii="Times New Roman" w:hAnsi="Times New Roman" w:cs="Times New Roman" w:eastAsia="Times New Roman" w:hint="default"/>
                <w:spacing w:val="6"/>
                <w:sz w:val="18"/>
                <w:szCs w:val="18"/>
              </w:rPr>
              <w:t>31</w:t>
            </w:r>
            <w:r>
              <w:rPr>
                <w:rFonts w:ascii="Times New Roman" w:hAnsi="Times New Roman" w:cs="Times New Roman" w:eastAsia="Times New Roman" w:hint="default"/>
                <w:spacing w:val="-15"/>
                <w:sz w:val="18"/>
                <w:szCs w:val="18"/>
              </w:rPr>
              <w:t> </w:t>
            </w:r>
            <w:r>
              <w:rPr>
                <w:rFonts w:ascii="宋体" w:hAnsi="宋体" w:cs="宋体" w:eastAsia="宋体" w:hint="default"/>
                <w:spacing w:val="7"/>
                <w:sz w:val="18"/>
                <w:szCs w:val="18"/>
              </w:rPr>
              <w:t>日</w:t>
            </w:r>
            <w:r>
              <w:rPr>
                <w:rFonts w:ascii="Times New Roman" w:hAnsi="Times New Roman" w:cs="Times New Roman" w:eastAsia="Times New Roman" w:hint="default"/>
                <w:spacing w:val="7"/>
                <w:sz w:val="18"/>
                <w:szCs w:val="18"/>
              </w:rPr>
              <w:t>“</w:t>
            </w:r>
            <w:r>
              <w:rPr>
                <w:rFonts w:ascii="Times New Roman" w:hAnsi="Times New Roman" w:cs="Times New Roman" w:eastAsia="Times New Roman" w:hint="default"/>
                <w:spacing w:val="-20"/>
                <w:sz w:val="18"/>
                <w:szCs w:val="18"/>
              </w:rPr>
              <w:t> </w:t>
            </w:r>
            <w:r>
              <w:rPr>
                <w:rFonts w:ascii="宋体" w:hAnsi="宋体" w:cs="宋体" w:eastAsia="宋体" w:hint="default"/>
                <w:spacing w:val="11"/>
                <w:sz w:val="18"/>
                <w:szCs w:val="18"/>
              </w:rPr>
              <w:t>应收票据</w:t>
            </w:r>
            <w:r>
              <w:rPr>
                <w:rFonts w:ascii="宋体" w:hAnsi="宋体" w:cs="宋体" w:eastAsia="宋体" w:hint="default"/>
                <w:spacing w:val="-60"/>
                <w:sz w:val="18"/>
                <w:szCs w:val="18"/>
              </w:rPr>
              <w:t> </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项目</w:t>
            </w:r>
            <w:r>
              <w:rPr>
                <w:rFonts w:ascii="宋体" w:hAnsi="宋体" w:cs="宋体" w:eastAsia="宋体" w:hint="default"/>
                <w:spacing w:val="-60"/>
                <w:sz w:val="18"/>
                <w:szCs w:val="18"/>
              </w:rPr>
              <w:t> </w:t>
            </w:r>
            <w:r>
              <w:rPr>
                <w:rFonts w:ascii="宋体" w:hAnsi="宋体" w:cs="宋体" w:eastAsia="宋体" w:hint="default"/>
                <w:spacing w:val="10"/>
                <w:sz w:val="18"/>
                <w:szCs w:val="18"/>
              </w:rPr>
              <w:t>列示金额</w:t>
            </w:r>
            <w:r>
              <w:rPr>
                <w:rFonts w:ascii="宋体" w:hAnsi="宋体" w:cs="宋体" w:eastAsia="宋体" w:hint="default"/>
                <w:spacing w:val="-73"/>
                <w:sz w:val="18"/>
                <w:szCs w:val="18"/>
              </w:rPr>
              <w:t> </w:t>
            </w:r>
            <w:r>
              <w:rPr>
                <w:rFonts w:ascii="Times New Roman" w:hAnsi="Times New Roman" w:cs="Times New Roman" w:eastAsia="Times New Roman" w:hint="default"/>
                <w:spacing w:val="10"/>
                <w:sz w:val="18"/>
                <w:szCs w:val="18"/>
              </w:rPr>
              <w:t>0.00</w:t>
            </w:r>
            <w:r>
              <w:rPr>
                <w:rFonts w:ascii="宋体" w:hAnsi="宋体" w:cs="宋体" w:eastAsia="宋体" w:hint="default"/>
                <w:spacing w:val="10"/>
                <w:sz w:val="18"/>
                <w:szCs w:val="18"/>
              </w:rPr>
              <w:t>元；</w:t>
            </w:r>
            <w:r>
              <w:rPr>
                <w:rFonts w:ascii="Times New Roman" w:hAnsi="Times New Roman" w:cs="Times New Roman" w:eastAsia="Times New Roman" w:hint="default"/>
                <w:spacing w:val="10"/>
                <w:sz w:val="18"/>
                <w:szCs w:val="18"/>
              </w:rPr>
              <w:t>2018</w:t>
            </w:r>
            <w:r>
              <w:rPr>
                <w:rFonts w:ascii="宋体" w:hAnsi="宋体" w:cs="宋体" w:eastAsia="宋体" w:hint="default"/>
                <w:spacing w:val="10"/>
                <w:sz w:val="18"/>
                <w:szCs w:val="18"/>
              </w:rPr>
              <w:t>年</w:t>
            </w:r>
            <w:r>
              <w:rPr>
                <w:rFonts w:ascii="Times New Roman" w:hAnsi="Times New Roman" w:cs="Times New Roman" w:eastAsia="Times New Roman" w:hint="default"/>
                <w:spacing w:val="10"/>
                <w:sz w:val="18"/>
                <w:szCs w:val="18"/>
              </w:rPr>
              <w:t>12</w:t>
            </w:r>
            <w:r>
              <w:rPr>
                <w:rFonts w:ascii="宋体" w:hAnsi="宋体" w:cs="宋体" w:eastAsia="宋体" w:hint="default"/>
                <w:spacing w:val="10"/>
                <w:sz w:val="18"/>
                <w:szCs w:val="18"/>
              </w:rPr>
              <w:t>月</w:t>
            </w:r>
            <w:r>
              <w:rPr>
                <w:rFonts w:ascii="Times New Roman" w:hAnsi="Times New Roman" w:cs="Times New Roman" w:eastAsia="Times New Roman" w:hint="default"/>
                <w:spacing w:val="10"/>
                <w:sz w:val="18"/>
                <w:szCs w:val="18"/>
              </w:rPr>
              <w:t>31</w:t>
            </w:r>
            <w:r>
              <w:rPr>
                <w:rFonts w:ascii="宋体" w:hAnsi="宋体" w:cs="宋体" w:eastAsia="宋体" w:hint="default"/>
                <w:spacing w:val="10"/>
                <w:sz w:val="18"/>
                <w:szCs w:val="18"/>
              </w:rPr>
              <w:t>日列示</w:t>
            </w:r>
            <w:r>
              <w:rPr>
                <w:rFonts w:ascii="宋体" w:hAnsi="宋体" w:cs="宋体" w:eastAsia="宋体" w:hint="default"/>
                <w:spacing w:val="-60"/>
                <w:sz w:val="18"/>
                <w:szCs w:val="18"/>
              </w:rPr>
              <w:t> </w:t>
            </w:r>
            <w:r>
              <w:rPr>
                <w:rFonts w:ascii="宋体" w:hAnsi="宋体" w:cs="宋体" w:eastAsia="宋体" w:hint="default"/>
                <w:spacing w:val="7"/>
                <w:sz w:val="18"/>
                <w:szCs w:val="18"/>
              </w:rPr>
              <w:t>金额</w:t>
            </w:r>
          </w:p>
        </w:tc>
      </w:tr>
      <w:tr>
        <w:trPr>
          <w:trHeight w:val="315" w:hRule="exact"/>
        </w:trPr>
        <w:tc>
          <w:tcPr>
            <w:tcW w:w="3244" w:type="dxa"/>
            <w:tcBorders>
              <w:top w:val="nil" w:sz="6" w:space="0" w:color="auto"/>
              <w:left w:val="single" w:sz="6" w:space="0" w:color="000000"/>
              <w:bottom w:val="nil" w:sz="6" w:space="0" w:color="auto"/>
              <w:right w:val="single" w:sz="6" w:space="0" w:color="000000"/>
            </w:tcBorders>
          </w:tcPr>
          <w:p>
            <w:pPr/>
          </w:p>
        </w:tc>
        <w:tc>
          <w:tcPr>
            <w:tcW w:w="6458"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1" w:right="-16"/>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430,470.00</w:t>
            </w:r>
            <w:r>
              <w:rPr>
                <w:rFonts w:ascii="宋体" w:hAnsi="宋体" w:cs="宋体" w:eastAsia="宋体" w:hint="default"/>
                <w:spacing w:val="-1"/>
                <w:sz w:val="18"/>
                <w:szCs w:val="18"/>
              </w:rPr>
              <w:t>元。</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应收账款</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项目列示金额</w:t>
            </w:r>
            <w:r>
              <w:rPr>
                <w:rFonts w:ascii="Times New Roman" w:hAnsi="Times New Roman" w:cs="Times New Roman" w:eastAsia="Times New Roman" w:hint="default"/>
                <w:spacing w:val="-1"/>
                <w:sz w:val="18"/>
                <w:szCs w:val="18"/>
              </w:rPr>
              <w:t>65,508,503.62</w:t>
            </w:r>
            <w:r>
              <w:rPr>
                <w:rFonts w:ascii="宋体" w:hAnsi="宋体" w:cs="宋体" w:eastAsia="宋体" w:hint="default"/>
                <w:spacing w:val="-1"/>
                <w:sz w:val="18"/>
                <w:szCs w:val="18"/>
              </w:rPr>
              <w:t>元；</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p>
        </w:tc>
      </w:tr>
      <w:tr>
        <w:trPr>
          <w:trHeight w:val="315" w:hRule="exact"/>
        </w:trPr>
        <w:tc>
          <w:tcPr>
            <w:tcW w:w="3244" w:type="dxa"/>
            <w:tcBorders>
              <w:top w:val="nil" w:sz="6" w:space="0" w:color="auto"/>
              <w:left w:val="single" w:sz="6" w:space="0" w:color="000000"/>
              <w:bottom w:val="single" w:sz="6" w:space="0" w:color="000000"/>
              <w:right w:val="single" w:sz="6" w:space="0" w:color="000000"/>
            </w:tcBorders>
          </w:tcPr>
          <w:p>
            <w:pPr/>
          </w:p>
        </w:tc>
        <w:tc>
          <w:tcPr>
            <w:tcW w:w="645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7"/>
              <w:ind w:left="-1" w:right="0"/>
              <w:jc w:val="left"/>
              <w:rPr>
                <w:rFonts w:ascii="宋体" w:hAnsi="宋体" w:cs="宋体" w:eastAsia="宋体"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日列示金额</w:t>
            </w:r>
            <w:r>
              <w:rPr>
                <w:rFonts w:ascii="Times New Roman" w:hAnsi="Times New Roman" w:cs="Times New Roman" w:eastAsia="Times New Roman" w:hint="default"/>
                <w:sz w:val="18"/>
                <w:szCs w:val="18"/>
              </w:rPr>
              <w:t>50,954,052.29</w:t>
            </w:r>
            <w:r>
              <w:rPr>
                <w:rFonts w:ascii="宋体" w:hAnsi="宋体" w:cs="宋体" w:eastAsia="宋体" w:hint="default"/>
                <w:sz w:val="18"/>
                <w:szCs w:val="18"/>
              </w:rPr>
              <w:t>元。</w:t>
            </w:r>
          </w:p>
        </w:tc>
      </w:tr>
      <w:tr>
        <w:trPr>
          <w:trHeight w:val="346" w:hRule="exact"/>
        </w:trPr>
        <w:tc>
          <w:tcPr>
            <w:tcW w:w="324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0"/>
              <w:ind w:right="0"/>
              <w:jc w:val="left"/>
              <w:rPr>
                <w:rFonts w:ascii="宋体" w:hAnsi="宋体" w:cs="宋体" w:eastAsia="宋体" w:hint="default"/>
                <w:sz w:val="18"/>
                <w:szCs w:val="18"/>
              </w:rPr>
            </w:pPr>
            <w:r>
              <w:rPr>
                <w:rFonts w:ascii="宋体" w:hAnsi="宋体" w:cs="宋体" w:eastAsia="宋体" w:hint="default"/>
                <w:sz w:val="18"/>
                <w:szCs w:val="18"/>
              </w:rPr>
              <w:t>将应付票据及应付账款分开为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w:t>
            </w:r>
          </w:p>
        </w:tc>
        <w:tc>
          <w:tcPr>
            <w:tcW w:w="645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0"/>
              <w:ind w:left="-1" w:right="0"/>
              <w:jc w:val="left"/>
              <w:rPr>
                <w:rFonts w:ascii="宋体" w:hAnsi="宋体" w:cs="宋体" w:eastAsia="宋体" w:hint="default"/>
                <w:sz w:val="18"/>
                <w:szCs w:val="18"/>
              </w:rPr>
            </w:pPr>
            <w:r>
              <w:rPr>
                <w:rFonts w:ascii="宋体" w:hAnsi="宋体" w:cs="宋体" w:eastAsia="宋体" w:hint="default"/>
                <w:sz w:val="18"/>
                <w:szCs w:val="18"/>
              </w:rPr>
              <w:t>合并资产负债表</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项目列示金额</w:t>
            </w:r>
            <w:r>
              <w:rPr>
                <w:rFonts w:ascii="Times New Roman" w:hAnsi="Times New Roman" w:cs="Times New Roman" w:eastAsia="Times New Roman" w:hint="default"/>
                <w:sz w:val="18"/>
                <w:szCs w:val="18"/>
              </w:rPr>
              <w:t>0.00</w:t>
            </w:r>
            <w:r>
              <w:rPr>
                <w:rFonts w:ascii="宋体" w:hAnsi="宋体" w:cs="宋体" w:eastAsia="宋体" w:hint="default"/>
                <w:sz w:val="18"/>
                <w:szCs w:val="18"/>
              </w:rPr>
              <w:t>元；</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08" w:hRule="exact"/>
        </w:trPr>
        <w:tc>
          <w:tcPr>
            <w:tcW w:w="3244"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8"/>
                <w:szCs w:val="18"/>
              </w:rPr>
            </w:pPr>
            <w:r>
              <w:rPr>
                <w:rFonts w:ascii="宋体" w:hAnsi="宋体" w:cs="宋体" w:eastAsia="宋体" w:hint="default"/>
                <w:sz w:val="18"/>
                <w:szCs w:val="18"/>
              </w:rPr>
              <w:t>据</w:t>
            </w:r>
            <w:r>
              <w:rPr>
                <w:rFonts w:ascii="Times New Roman" w:hAnsi="Times New Roman" w:cs="Times New Roman" w:eastAsia="Times New Roman" w:hint="default"/>
                <w:sz w:val="18"/>
                <w:szCs w:val="18"/>
              </w:rPr>
              <w:t>”</w:t>
            </w:r>
            <w:r>
              <w:rPr>
                <w:rFonts w:ascii="宋体" w:hAnsi="宋体" w:cs="宋体" w:eastAsia="宋体" w:hint="default"/>
                <w:sz w:val="18"/>
                <w:szCs w:val="18"/>
              </w:rPr>
              <w:t>与</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p>
        </w:tc>
        <w:tc>
          <w:tcPr>
            <w:tcW w:w="6458"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列示金额</w:t>
            </w:r>
            <w:r>
              <w:rPr>
                <w:rFonts w:ascii="Times New Roman" w:hAnsi="Times New Roman" w:cs="Times New Roman" w:eastAsia="Times New Roman" w:hint="default"/>
                <w:sz w:val="18"/>
                <w:szCs w:val="18"/>
              </w:rPr>
              <w:t>0.00</w:t>
            </w:r>
            <w:r>
              <w:rPr>
                <w:rFonts w:ascii="宋体" w:hAnsi="宋体" w:cs="宋体" w:eastAsia="宋体" w:hint="default"/>
                <w:sz w:val="18"/>
                <w:szCs w:val="18"/>
              </w:rPr>
              <w:t>元。</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项目列示金额</w:t>
            </w:r>
            <w:r>
              <w:rPr>
                <w:rFonts w:ascii="Times New Roman" w:hAnsi="Times New Roman" w:cs="Times New Roman" w:eastAsia="Times New Roman" w:hint="default"/>
                <w:sz w:val="18"/>
                <w:szCs w:val="18"/>
              </w:rPr>
              <w:t>63,434,870.38</w:t>
            </w:r>
            <w:r>
              <w:rPr>
                <w:rFonts w:ascii="宋体" w:hAnsi="宋体" w:cs="宋体" w:eastAsia="宋体" w:hint="default"/>
                <w:sz w:val="18"/>
                <w:szCs w:val="18"/>
              </w:rPr>
              <w:t>元；</w:t>
            </w:r>
            <w:r>
              <w:rPr>
                <w:rFonts w:ascii="Times New Roman" w:hAnsi="Times New Roman" w:cs="Times New Roman" w:eastAsia="Times New Roman" w:hint="default"/>
                <w:sz w:val="18"/>
                <w:szCs w:val="18"/>
              </w:rPr>
              <w:t>2018</w:t>
            </w:r>
          </w:p>
        </w:tc>
      </w:tr>
      <w:tr>
        <w:trPr>
          <w:trHeight w:val="308" w:hRule="exact"/>
        </w:trPr>
        <w:tc>
          <w:tcPr>
            <w:tcW w:w="3244" w:type="dxa"/>
            <w:tcBorders>
              <w:top w:val="nil" w:sz="6" w:space="0" w:color="auto"/>
              <w:left w:val="single" w:sz="6" w:space="0" w:color="000000"/>
              <w:bottom w:val="nil" w:sz="6" w:space="0" w:color="auto"/>
              <w:right w:val="single" w:sz="6" w:space="0" w:color="000000"/>
            </w:tcBorders>
          </w:tcPr>
          <w:p>
            <w:pPr/>
          </w:p>
        </w:tc>
        <w:tc>
          <w:tcPr>
            <w:tcW w:w="6458" w:type="dxa"/>
            <w:tcBorders>
              <w:top w:val="nil" w:sz="6" w:space="0" w:color="auto"/>
              <w:left w:val="single" w:sz="6" w:space="0" w:color="000000"/>
              <w:bottom w:val="nil" w:sz="6" w:space="0" w:color="auto"/>
              <w:right w:val="single" w:sz="6" w:space="0" w:color="000000"/>
            </w:tcBorders>
          </w:tcPr>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日列示金额</w:t>
            </w:r>
            <w:r>
              <w:rPr>
                <w:rFonts w:ascii="Times New Roman" w:hAnsi="Times New Roman" w:cs="Times New Roman" w:eastAsia="Times New Roman" w:hint="default"/>
                <w:sz w:val="18"/>
                <w:szCs w:val="18"/>
              </w:rPr>
              <w:t>82,563,306.90</w:t>
            </w:r>
            <w:r>
              <w:rPr>
                <w:rFonts w:ascii="宋体" w:hAnsi="宋体" w:cs="宋体" w:eastAsia="宋体" w:hint="default"/>
                <w:sz w:val="18"/>
                <w:szCs w:val="18"/>
              </w:rPr>
              <w:t>元。母公司资产负债表</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w:t>
            </w:r>
          </w:p>
        </w:tc>
      </w:tr>
      <w:tr>
        <w:trPr>
          <w:trHeight w:val="315" w:hRule="exact"/>
        </w:trPr>
        <w:tc>
          <w:tcPr>
            <w:tcW w:w="3244" w:type="dxa"/>
            <w:tcBorders>
              <w:top w:val="nil" w:sz="6" w:space="0" w:color="auto"/>
              <w:left w:val="single" w:sz="6" w:space="0" w:color="000000"/>
              <w:bottom w:val="nil" w:sz="6" w:space="0" w:color="auto"/>
              <w:right w:val="single" w:sz="6" w:space="0" w:color="000000"/>
            </w:tcBorders>
          </w:tcPr>
          <w:p>
            <w:pPr/>
          </w:p>
        </w:tc>
        <w:tc>
          <w:tcPr>
            <w:tcW w:w="6458"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1" w:right="0"/>
              <w:jc w:val="left"/>
              <w:rPr>
                <w:rFonts w:ascii="宋体" w:hAnsi="宋体" w:cs="宋体" w:eastAsia="宋体" w:hint="default"/>
                <w:sz w:val="18"/>
                <w:szCs w:val="18"/>
              </w:rPr>
            </w:pPr>
            <w:r>
              <w:rPr>
                <w:rFonts w:ascii="宋体" w:hAnsi="宋体" w:cs="宋体" w:eastAsia="宋体" w:hint="default"/>
                <w:sz w:val="18"/>
                <w:szCs w:val="18"/>
              </w:rPr>
              <w:t>据</w:t>
            </w:r>
            <w:r>
              <w:rPr>
                <w:rFonts w:ascii="Times New Roman" w:hAnsi="Times New Roman" w:cs="Times New Roman" w:eastAsia="Times New Roman" w:hint="default"/>
                <w:sz w:val="18"/>
                <w:szCs w:val="18"/>
              </w:rPr>
              <w:t>”</w:t>
            </w:r>
            <w:r>
              <w:rPr>
                <w:rFonts w:ascii="宋体" w:hAnsi="宋体" w:cs="宋体" w:eastAsia="宋体" w:hint="default"/>
                <w:sz w:val="18"/>
                <w:szCs w:val="18"/>
              </w:rPr>
              <w:t>项目列示金额</w:t>
            </w:r>
            <w:r>
              <w:rPr>
                <w:rFonts w:ascii="Times New Roman" w:hAnsi="Times New Roman" w:cs="Times New Roman" w:eastAsia="Times New Roman" w:hint="default"/>
                <w:sz w:val="18"/>
                <w:szCs w:val="18"/>
              </w:rPr>
              <w:t>0.00</w:t>
            </w:r>
            <w:r>
              <w:rPr>
                <w:rFonts w:ascii="宋体" w:hAnsi="宋体" w:cs="宋体" w:eastAsia="宋体" w:hint="default"/>
                <w:sz w:val="18"/>
                <w:szCs w:val="18"/>
              </w:rPr>
              <w:t>元；</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日列示金额</w:t>
            </w:r>
            <w:r>
              <w:rPr>
                <w:rFonts w:ascii="Times New Roman" w:hAnsi="Times New Roman" w:cs="Times New Roman" w:eastAsia="Times New Roman" w:hint="default"/>
                <w:sz w:val="18"/>
                <w:szCs w:val="18"/>
              </w:rPr>
              <w:t>0.00</w:t>
            </w:r>
            <w:r>
              <w:rPr>
                <w:rFonts w:ascii="宋体" w:hAnsi="宋体" w:cs="宋体" w:eastAsia="宋体" w:hint="default"/>
                <w:sz w:val="18"/>
                <w:szCs w:val="18"/>
              </w:rPr>
              <w:t>元。</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应付</w:t>
            </w:r>
          </w:p>
        </w:tc>
      </w:tr>
      <w:tr>
        <w:trPr>
          <w:trHeight w:val="315" w:hRule="exact"/>
        </w:trPr>
        <w:tc>
          <w:tcPr>
            <w:tcW w:w="3244" w:type="dxa"/>
            <w:tcBorders>
              <w:top w:val="nil" w:sz="6" w:space="0" w:color="auto"/>
              <w:left w:val="single" w:sz="6" w:space="0" w:color="000000"/>
              <w:bottom w:val="single" w:sz="6" w:space="0" w:color="000000"/>
              <w:right w:val="single" w:sz="6" w:space="0" w:color="000000"/>
            </w:tcBorders>
          </w:tcPr>
          <w:p>
            <w:pPr/>
          </w:p>
        </w:tc>
        <w:tc>
          <w:tcPr>
            <w:tcW w:w="645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7"/>
              <w:ind w:left="-1" w:right="0"/>
              <w:jc w:val="left"/>
              <w:rPr>
                <w:rFonts w:ascii="宋体" w:hAnsi="宋体" w:cs="宋体" w:eastAsia="宋体" w:hint="default"/>
                <w:sz w:val="18"/>
                <w:szCs w:val="18"/>
              </w:rPr>
            </w:pPr>
            <w:r>
              <w:rPr>
                <w:rFonts w:ascii="宋体" w:hAnsi="宋体" w:cs="宋体" w:eastAsia="宋体" w:hint="default"/>
                <w:sz w:val="18"/>
                <w:szCs w:val="18"/>
              </w:rPr>
              <w:t>账款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项目列示金额</w:t>
            </w:r>
            <w:r>
              <w:rPr>
                <w:rFonts w:ascii="Times New Roman" w:hAnsi="Times New Roman" w:cs="Times New Roman" w:eastAsia="Times New Roman" w:hint="default"/>
                <w:sz w:val="18"/>
                <w:szCs w:val="18"/>
              </w:rPr>
              <w:t>58,780,154.01</w:t>
            </w:r>
            <w:r>
              <w:rPr>
                <w:rFonts w:ascii="宋体" w:hAnsi="宋体" w:cs="宋体" w:eastAsia="宋体" w:hint="default"/>
                <w:sz w:val="18"/>
                <w:szCs w:val="18"/>
              </w:rPr>
              <w:t>元；</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日列示金额</w:t>
            </w:r>
            <w:r>
              <w:rPr>
                <w:rFonts w:ascii="Times New Roman" w:hAnsi="Times New Roman" w:cs="Times New Roman" w:eastAsia="Times New Roman" w:hint="default"/>
                <w:sz w:val="18"/>
                <w:szCs w:val="18"/>
              </w:rPr>
              <w:t>83,244,197.23</w:t>
            </w:r>
            <w:r>
              <w:rPr>
                <w:rFonts w:ascii="宋体" w:hAnsi="宋体" w:cs="宋体" w:eastAsia="宋体" w:hint="default"/>
                <w:sz w:val="18"/>
                <w:szCs w:val="18"/>
              </w:rPr>
              <w:t>元。</w:t>
            </w:r>
          </w:p>
        </w:tc>
      </w:tr>
    </w:tbl>
    <w:p>
      <w:pPr>
        <w:spacing w:after="0" w:line="240" w:lineRule="auto"/>
        <w:jc w:val="left"/>
        <w:rPr>
          <w:rFonts w:ascii="宋体" w:hAnsi="宋体" w:cs="宋体" w:eastAsia="宋体" w:hint="default"/>
          <w:sz w:val="18"/>
          <w:szCs w:val="18"/>
        </w:rPr>
        <w:sectPr>
          <w:pgSz w:w="11910" w:h="16850"/>
          <w:pgMar w:header="731" w:footer="981" w:top="104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BodyText"/>
        <w:spacing w:line="240" w:lineRule="auto" w:before="44"/>
        <w:ind w:left="0" w:right="1036"/>
        <w:jc w:val="right"/>
      </w:pPr>
      <w:r>
        <w:rPr/>
        <w:pict>
          <v:shape style="position:absolute;margin-left:54.825001pt;margin-top:-192.208282pt;width:486.25pt;height:289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44"/>
                    <w:gridCol w:w="6458"/>
                  </w:tblGrid>
                  <w:tr>
                    <w:trPr>
                      <w:trHeight w:val="660" w:hRule="exact"/>
                    </w:trPr>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29"/>
                          <w:ind w:right="8"/>
                          <w:jc w:val="left"/>
                          <w:rPr>
                            <w:rFonts w:ascii="宋体" w:hAnsi="宋体" w:cs="宋体" w:eastAsia="宋体" w:hint="default"/>
                            <w:sz w:val="18"/>
                            <w:szCs w:val="18"/>
                          </w:rPr>
                        </w:pPr>
                        <w:r>
                          <w:rPr>
                            <w:rFonts w:ascii="宋体" w:hAnsi="宋体" w:cs="宋体" w:eastAsia="宋体" w:hint="default"/>
                            <w:spacing w:val="-8"/>
                            <w:w w:val="100"/>
                            <w:sz w:val="18"/>
                            <w:szCs w:val="18"/>
                          </w:rPr>
                          <w:t>新增</w:t>
                        </w:r>
                        <w:r>
                          <w:rPr>
                            <w:rFonts w:ascii="Times New Roman" w:hAnsi="Times New Roman" w:cs="Times New Roman" w:eastAsia="Times New Roman" w:hint="default"/>
                            <w:spacing w:val="-8"/>
                            <w:w w:val="100"/>
                            <w:sz w:val="18"/>
                            <w:szCs w:val="18"/>
                          </w:rPr>
                          <w:t>“</w:t>
                        </w:r>
                        <w:r>
                          <w:rPr>
                            <w:rFonts w:ascii="宋体" w:hAnsi="宋体" w:cs="宋体" w:eastAsia="宋体" w:hint="default"/>
                            <w:spacing w:val="-8"/>
                            <w:w w:val="100"/>
                            <w:sz w:val="18"/>
                            <w:szCs w:val="18"/>
                          </w:rPr>
                          <w:t>信用减值损失（损失以</w:t>
                        </w:r>
                        <w:r>
                          <w:rPr>
                            <w:rFonts w:ascii="Times New Roman" w:hAnsi="Times New Roman" w:cs="Times New Roman" w:eastAsia="Times New Roman" w:hint="default"/>
                            <w:spacing w:val="-8"/>
                            <w:w w:val="100"/>
                            <w:sz w:val="18"/>
                            <w:szCs w:val="18"/>
                          </w:rPr>
                          <w:t>“</w:t>
                        </w:r>
                        <w:r>
                          <w:rPr>
                            <w:rFonts w:ascii="宋体" w:hAnsi="宋体" w:cs="宋体" w:eastAsia="宋体" w:hint="default"/>
                            <w:spacing w:val="-8"/>
                            <w:w w:val="100"/>
                            <w:sz w:val="18"/>
                            <w:szCs w:val="18"/>
                          </w:rPr>
                          <w:t>－</w:t>
                        </w:r>
                        <w:r>
                          <w:rPr>
                            <w:rFonts w:ascii="Times New Roman" w:hAnsi="Times New Roman" w:cs="Times New Roman" w:eastAsia="Times New Roman" w:hint="default"/>
                            <w:spacing w:val="-8"/>
                            <w:w w:val="100"/>
                            <w:sz w:val="18"/>
                            <w:szCs w:val="18"/>
                          </w:rPr>
                          <w:t>”</w:t>
                        </w:r>
                        <w:r>
                          <w:rPr>
                            <w:rFonts w:ascii="宋体" w:hAnsi="宋体" w:cs="宋体" w:eastAsia="宋体" w:hint="default"/>
                            <w:spacing w:val="-8"/>
                            <w:w w:val="100"/>
                            <w:sz w:val="18"/>
                            <w:szCs w:val="18"/>
                          </w:rPr>
                          <w:t>号填列）</w:t>
                        </w:r>
                        <w:r>
                          <w:rPr>
                            <w:rFonts w:ascii="Times New Roman" w:hAnsi="Times New Roman" w:cs="Times New Roman" w:eastAsia="Times New Roman" w:hint="default"/>
                            <w:spacing w:val="-8"/>
                            <w:w w:val="100"/>
                            <w:sz w:val="18"/>
                            <w:szCs w:val="18"/>
                          </w:rPr>
                          <w:t>”</w:t>
                        </w:r>
                        <w:r>
                          <w:rPr>
                            <w:rFonts w:ascii="Times New Roman" w:hAnsi="Times New Roman" w:cs="Times New Roman" w:eastAsia="Times New Roman" w:hint="default"/>
                            <w:spacing w:val="-41"/>
                            <w:w w:val="100"/>
                            <w:sz w:val="18"/>
                            <w:szCs w:val="18"/>
                          </w:rPr>
                          <w:t> </w:t>
                        </w:r>
                        <w:r>
                          <w:rPr>
                            <w:rFonts w:ascii="宋体" w:hAnsi="宋体" w:cs="宋体" w:eastAsia="宋体" w:hint="default"/>
                            <w:sz w:val="18"/>
                            <w:szCs w:val="18"/>
                          </w:rPr>
                          <w:t>项目</w:t>
                        </w:r>
                      </w:p>
                    </w:tc>
                    <w:tc>
                      <w:tcPr>
                        <w:tcW w:w="6458"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29"/>
                          <w:ind w:left="-1" w:right="43"/>
                          <w:jc w:val="left"/>
                          <w:rPr>
                            <w:rFonts w:ascii="宋体" w:hAnsi="宋体" w:cs="宋体" w:eastAsia="宋体" w:hint="default"/>
                            <w:sz w:val="18"/>
                            <w:szCs w:val="18"/>
                          </w:rPr>
                        </w:pPr>
                        <w:r>
                          <w:rPr>
                            <w:rFonts w:ascii="宋体" w:hAnsi="宋体" w:cs="宋体" w:eastAsia="宋体" w:hint="default"/>
                            <w:sz w:val="18"/>
                            <w:szCs w:val="18"/>
                          </w:rPr>
                          <w:t>合并利润表</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信用减值损失</w:t>
                        </w:r>
                        <w:r>
                          <w:rPr>
                            <w:rFonts w:ascii="Times New Roman" w:hAnsi="Times New Roman" w:cs="Times New Roman" w:eastAsia="Times New Roman" w:hint="default"/>
                            <w:sz w:val="18"/>
                            <w:szCs w:val="18"/>
                          </w:rPr>
                          <w:t>”</w:t>
                        </w:r>
                        <w:r>
                          <w:rPr>
                            <w:rFonts w:ascii="宋体" w:hAnsi="宋体" w:cs="宋体" w:eastAsia="宋体" w:hint="default"/>
                            <w:sz w:val="18"/>
                            <w:szCs w:val="18"/>
                          </w:rPr>
                          <w:t>项目列示金额</w:t>
                        </w:r>
                        <w:r>
                          <w:rPr>
                            <w:rFonts w:ascii="Times New Roman" w:hAnsi="Times New Roman" w:cs="Times New Roman" w:eastAsia="Times New Roman" w:hint="default"/>
                            <w:sz w:val="18"/>
                            <w:szCs w:val="18"/>
                          </w:rPr>
                          <w:t>-2,215,044.69</w:t>
                        </w:r>
                        <w:r>
                          <w:rPr>
                            <w:rFonts w:ascii="宋体" w:hAnsi="宋体" w:cs="宋体" w:eastAsia="宋体" w:hint="default"/>
                            <w:sz w:val="18"/>
                            <w:szCs w:val="18"/>
                          </w:rPr>
                          <w:t>元；母公司</w:t>
                        </w:r>
                        <w:r>
                          <w:rPr>
                            <w:rFonts w:ascii="宋体" w:hAnsi="宋体" w:cs="宋体" w:eastAsia="宋体" w:hint="default"/>
                            <w:spacing w:val="-81"/>
                            <w:sz w:val="18"/>
                            <w:szCs w:val="18"/>
                          </w:rPr>
                          <w:t> </w:t>
                        </w:r>
                        <w:r>
                          <w:rPr>
                            <w:rFonts w:ascii="宋体" w:hAnsi="宋体" w:cs="宋体" w:eastAsia="宋体" w:hint="default"/>
                            <w:sz w:val="18"/>
                            <w:szCs w:val="18"/>
                          </w:rPr>
                          <w:t>利润表</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信用减值损失</w:t>
                        </w:r>
                        <w:r>
                          <w:rPr>
                            <w:rFonts w:ascii="Times New Roman" w:hAnsi="Times New Roman" w:cs="Times New Roman" w:eastAsia="Times New Roman" w:hint="default"/>
                            <w:sz w:val="18"/>
                            <w:szCs w:val="18"/>
                          </w:rPr>
                          <w:t>”</w:t>
                        </w:r>
                        <w:r>
                          <w:rPr>
                            <w:rFonts w:ascii="宋体" w:hAnsi="宋体" w:cs="宋体" w:eastAsia="宋体" w:hint="default"/>
                            <w:sz w:val="18"/>
                            <w:szCs w:val="18"/>
                          </w:rPr>
                          <w:t>项目列示金额</w:t>
                        </w:r>
                        <w:r>
                          <w:rPr>
                            <w:rFonts w:ascii="Times New Roman" w:hAnsi="Times New Roman" w:cs="Times New Roman" w:eastAsia="Times New Roman" w:hint="default"/>
                            <w:sz w:val="18"/>
                            <w:szCs w:val="18"/>
                          </w:rPr>
                          <w:t>-964,239.51</w:t>
                        </w:r>
                        <w:r>
                          <w:rPr>
                            <w:rFonts w:ascii="宋体" w:hAnsi="宋体" w:cs="宋体" w:eastAsia="宋体" w:hint="default"/>
                            <w:sz w:val="18"/>
                            <w:szCs w:val="18"/>
                          </w:rPr>
                          <w:t>元。</w:t>
                        </w:r>
                      </w:p>
                    </w:tc>
                  </w:tr>
                  <w:tr>
                    <w:trPr>
                      <w:trHeight w:val="1276" w:hRule="exact"/>
                    </w:trPr>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29"/>
                          <w:ind w:right="128"/>
                          <w:jc w:val="left"/>
                          <w:rPr>
                            <w:rFonts w:ascii="宋体" w:hAnsi="宋体" w:cs="宋体" w:eastAsia="宋体" w:hint="default"/>
                            <w:sz w:val="18"/>
                            <w:szCs w:val="18"/>
                          </w:rPr>
                        </w:pPr>
                        <w:r>
                          <w:rPr>
                            <w:rFonts w:ascii="宋体" w:hAnsi="宋体" w:cs="宋体" w:eastAsia="宋体" w:hint="default"/>
                            <w:sz w:val="18"/>
                            <w:szCs w:val="18"/>
                          </w:rPr>
                          <w:t>将</w:t>
                        </w:r>
                        <w:r>
                          <w:rPr>
                            <w:rFonts w:ascii="Times New Roman" w:hAnsi="Times New Roman" w:cs="Times New Roman" w:eastAsia="Times New Roman" w:hint="default"/>
                            <w:sz w:val="18"/>
                            <w:szCs w:val="18"/>
                          </w:rPr>
                          <w:t>“</w:t>
                        </w:r>
                        <w:r>
                          <w:rPr>
                            <w:rFonts w:ascii="宋体" w:hAnsi="宋体" w:cs="宋体" w:eastAsia="宋体" w:hint="default"/>
                            <w:sz w:val="18"/>
                            <w:szCs w:val="18"/>
                          </w:rPr>
                          <w:t>资产减值损失</w:t>
                        </w:r>
                        <w:r>
                          <w:rPr>
                            <w:rFonts w:ascii="Times New Roman" w:hAnsi="Times New Roman" w:cs="Times New Roman" w:eastAsia="Times New Roman" w:hint="default"/>
                            <w:sz w:val="18"/>
                            <w:szCs w:val="18"/>
                          </w:rPr>
                          <w:t>”</w:t>
                        </w:r>
                        <w:r>
                          <w:rPr>
                            <w:rFonts w:ascii="宋体" w:hAnsi="宋体" w:cs="宋体" w:eastAsia="宋体" w:hint="default"/>
                            <w:sz w:val="18"/>
                            <w:szCs w:val="18"/>
                          </w:rPr>
                          <w:t>作为加项，损失以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填列。</w:t>
                        </w:r>
                      </w:p>
                    </w:tc>
                    <w:tc>
                      <w:tcPr>
                        <w:tcW w:w="6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 w:right="0"/>
                          <w:jc w:val="left"/>
                          <w:rPr>
                            <w:rFonts w:ascii="宋体" w:hAnsi="宋体" w:cs="宋体" w:eastAsia="宋体" w:hint="default"/>
                            <w:sz w:val="18"/>
                            <w:szCs w:val="18"/>
                          </w:rPr>
                        </w:pPr>
                        <w:r>
                          <w:rPr>
                            <w:rFonts w:ascii="宋体" w:hAnsi="宋体" w:cs="宋体" w:eastAsia="宋体" w:hint="default"/>
                            <w:sz w:val="18"/>
                            <w:szCs w:val="18"/>
                          </w:rPr>
                          <w:t>合并利润表</w:t>
                        </w:r>
                        <w:r>
                          <w:rPr>
                            <w:rFonts w:ascii="Times New Roman" w:hAnsi="Times New Roman" w:cs="Times New Roman" w:eastAsia="Times New Roman" w:hint="default"/>
                            <w:sz w:val="18"/>
                            <w:szCs w:val="18"/>
                          </w:rPr>
                          <w:t>“</w:t>
                        </w: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年度发生额列示金额</w:t>
                        </w:r>
                      </w:p>
                      <w:p>
                        <w:pPr>
                          <w:pStyle w:val="TableParagraph"/>
                          <w:spacing w:line="304" w:lineRule="auto" w:before="51"/>
                          <w:ind w:left="-1" w:right="-15"/>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-4,470,530.79</w:t>
                        </w:r>
                        <w:r>
                          <w:rPr>
                            <w:rFonts w:ascii="宋体" w:hAnsi="宋体" w:cs="宋体" w:eastAsia="宋体" w:hint="default"/>
                            <w:spacing w:val="-1"/>
                            <w:sz w:val="18"/>
                            <w:szCs w:val="18"/>
                          </w:rPr>
                          <w:t>元，</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年度发生额列示金额</w:t>
                        </w:r>
                        <w:r>
                          <w:rPr>
                            <w:rFonts w:ascii="Times New Roman" w:hAnsi="Times New Roman" w:cs="Times New Roman" w:eastAsia="Times New Roman" w:hint="default"/>
                            <w:spacing w:val="-1"/>
                            <w:sz w:val="18"/>
                            <w:szCs w:val="18"/>
                          </w:rPr>
                          <w:t>-13,421,551.80</w:t>
                        </w:r>
                        <w:r>
                          <w:rPr>
                            <w:rFonts w:ascii="宋体" w:hAnsi="宋体" w:cs="宋体" w:eastAsia="宋体" w:hint="default"/>
                            <w:spacing w:val="-1"/>
                            <w:sz w:val="18"/>
                            <w:szCs w:val="18"/>
                          </w:rPr>
                          <w:t>元；母公司利润表</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资产减</w:t>
                        </w:r>
                        <w:r>
                          <w:rPr>
                            <w:rFonts w:ascii="宋体" w:hAnsi="宋体" w:cs="宋体" w:eastAsia="宋体" w:hint="default"/>
                            <w:spacing w:val="-83"/>
                            <w:sz w:val="18"/>
                            <w:szCs w:val="18"/>
                          </w:rPr>
                          <w:t> </w:t>
                        </w:r>
                        <w:r>
                          <w:rPr>
                            <w:rFonts w:ascii="宋体" w:hAnsi="宋体" w:cs="宋体" w:eastAsia="宋体" w:hint="default"/>
                            <w:sz w:val="18"/>
                            <w:szCs w:val="18"/>
                          </w:rPr>
                          <w:t>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年度发生额列示金额</w:t>
                        </w:r>
                        <w:r>
                          <w:rPr>
                            <w:rFonts w:ascii="Times New Roman" w:hAnsi="Times New Roman" w:cs="Times New Roman" w:eastAsia="Times New Roman" w:hint="default"/>
                            <w:sz w:val="18"/>
                            <w:szCs w:val="18"/>
                          </w:rPr>
                          <w:t>-4,471,287.60</w:t>
                        </w:r>
                        <w:r>
                          <w:rPr>
                            <w:rFonts w:ascii="宋体" w:hAnsi="宋体" w:cs="宋体" w:eastAsia="宋体" w:hint="default"/>
                            <w:sz w:val="18"/>
                            <w:szCs w:val="18"/>
                          </w:rPr>
                          <w:t>元，</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年度发生额列示金额</w:t>
                        </w:r>
                        <w:r>
                          <w:rPr>
                            <w:rFonts w:ascii="Times New Roman" w:hAnsi="Times New Roman" w:cs="Times New Roman" w:eastAsia="Times New Roman" w:hint="default"/>
                            <w:sz w:val="18"/>
                            <w:szCs w:val="18"/>
                          </w:rPr>
                          <w:t>-27,114,088.63</w:t>
                        </w:r>
                        <w:r>
                          <w:rPr>
                            <w:rFonts w:ascii="宋体" w:hAnsi="宋体" w:cs="宋体" w:eastAsia="宋体" w:hint="default"/>
                            <w:sz w:val="18"/>
                            <w:szCs w:val="18"/>
                          </w:rPr>
                          <w:t>元。</w:t>
                        </w:r>
                      </w:p>
                    </w:tc>
                  </w:tr>
                  <w:tr>
                    <w:trPr>
                      <w:trHeight w:val="1921" w:hRule="exact"/>
                    </w:trPr>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left"/>
                          <w:rPr>
                            <w:rFonts w:ascii="宋体" w:hAnsi="宋体" w:cs="宋体" w:eastAsia="宋体" w:hint="default"/>
                            <w:sz w:val="18"/>
                            <w:szCs w:val="18"/>
                          </w:rPr>
                        </w:pPr>
                        <w:r>
                          <w:rPr>
                            <w:rFonts w:ascii="宋体" w:hAnsi="宋体" w:cs="宋体" w:eastAsia="宋体" w:hint="default"/>
                            <w:sz w:val="18"/>
                            <w:szCs w:val="18"/>
                          </w:rPr>
                          <w:t>将原</w:t>
                        </w:r>
                        <w:r>
                          <w:rPr>
                            <w:rFonts w:ascii="Times New Roman" w:hAnsi="Times New Roman" w:cs="Times New Roman" w:eastAsia="Times New Roman" w:hint="default"/>
                            <w:sz w:val="18"/>
                            <w:szCs w:val="18"/>
                          </w:rPr>
                          <w:t>“</w:t>
                        </w:r>
                        <w:r>
                          <w:rPr>
                            <w:rFonts w:ascii="宋体" w:hAnsi="宋体" w:cs="宋体" w:eastAsia="宋体" w:hint="default"/>
                            <w:sz w:val="18"/>
                            <w:szCs w:val="18"/>
                          </w:rPr>
                          <w:t>可供出售金融资产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项目重分类到</w:t>
                        </w:r>
                      </w:p>
                      <w:p>
                        <w:pPr>
                          <w:pStyle w:val="TableParagraph"/>
                          <w:spacing w:line="240" w:lineRule="auto" w:before="66"/>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其他权益工具投资</w:t>
                        </w:r>
                        <w:r>
                          <w:rPr>
                            <w:rFonts w:ascii="Times New Roman" w:hAnsi="Times New Roman" w:cs="Times New Roman" w:eastAsia="Times New Roman" w:hint="default"/>
                            <w:sz w:val="18"/>
                            <w:szCs w:val="18"/>
                          </w:rPr>
                          <w:t>”</w:t>
                        </w:r>
                        <w:r>
                          <w:rPr>
                            <w:rFonts w:ascii="宋体" w:hAnsi="宋体" w:cs="宋体" w:eastAsia="宋体" w:hint="default"/>
                            <w:sz w:val="18"/>
                            <w:szCs w:val="18"/>
                          </w:rPr>
                          <w:t>项目列示</w:t>
                        </w:r>
                      </w:p>
                    </w:tc>
                    <w:tc>
                      <w:tcPr>
                        <w:tcW w:w="6458"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29"/>
                          <w:ind w:left="-1" w:right="13"/>
                          <w:jc w:val="both"/>
                          <w:rPr>
                            <w:rFonts w:ascii="宋体" w:hAnsi="宋体" w:cs="宋体" w:eastAsia="宋体" w:hint="default"/>
                            <w:sz w:val="18"/>
                            <w:szCs w:val="18"/>
                          </w:rPr>
                        </w:pPr>
                        <w:r>
                          <w:rPr>
                            <w:rFonts w:ascii="宋体" w:hAnsi="宋体" w:cs="宋体" w:eastAsia="宋体" w:hint="default"/>
                            <w:sz w:val="18"/>
                            <w:szCs w:val="18"/>
                          </w:rPr>
                          <w:t>合并资产负债表</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可供出售金融资产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项目列示金额</w:t>
                        </w:r>
                        <w:r>
                          <w:rPr>
                            <w:rFonts w:ascii="Times New Roman" w:hAnsi="Times New Roman" w:cs="Times New Roman" w:eastAsia="Times New Roman" w:hint="default"/>
                            <w:sz w:val="18"/>
                            <w:szCs w:val="18"/>
                          </w:rPr>
                          <w:t>0.00</w:t>
                        </w:r>
                        <w:r>
                          <w:rPr>
                            <w:rFonts w:ascii="宋体" w:hAnsi="宋体" w:cs="宋体" w:eastAsia="宋体" w:hint="default"/>
                            <w:sz w:val="18"/>
                            <w:szCs w:val="18"/>
                          </w:rPr>
                          <w:t>元，</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日列示金额</w:t>
                        </w:r>
                        <w:r>
                          <w:rPr>
                            <w:rFonts w:ascii="Times New Roman" w:hAnsi="Times New Roman" w:cs="Times New Roman" w:eastAsia="Times New Roman" w:hint="default"/>
                            <w:sz w:val="18"/>
                            <w:szCs w:val="18"/>
                          </w:rPr>
                          <w:t>20,909,091.00</w:t>
                        </w:r>
                        <w:r>
                          <w:rPr>
                            <w:rFonts w:ascii="宋体" w:hAnsi="宋体" w:cs="宋体" w:eastAsia="宋体" w:hint="default"/>
                            <w:sz w:val="18"/>
                            <w:szCs w:val="18"/>
                          </w:rPr>
                          <w:t>元；</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其他权益工具投资</w:t>
                        </w:r>
                        <w:r>
                          <w:rPr>
                            <w:rFonts w:ascii="Times New Roman" w:hAnsi="Times New Roman" w:cs="Times New Roman" w:eastAsia="Times New Roman" w:hint="default"/>
                            <w:sz w:val="18"/>
                            <w:szCs w:val="18"/>
                          </w:rPr>
                          <w:t>”</w:t>
                        </w:r>
                        <w:r>
                          <w:rPr>
                            <w:rFonts w:ascii="宋体" w:hAnsi="宋体" w:cs="宋体" w:eastAsia="宋体" w:hint="default"/>
                            <w:sz w:val="18"/>
                            <w:szCs w:val="18"/>
                          </w:rPr>
                          <w:t>项目列示</w:t>
                        </w:r>
                        <w:r>
                          <w:rPr>
                            <w:rFonts w:ascii="宋体" w:hAnsi="宋体" w:cs="宋体" w:eastAsia="宋体" w:hint="default"/>
                            <w:spacing w:val="-81"/>
                            <w:sz w:val="18"/>
                            <w:szCs w:val="18"/>
                          </w:rPr>
                          <w:t> </w:t>
                        </w:r>
                        <w:r>
                          <w:rPr>
                            <w:rFonts w:ascii="宋体" w:hAnsi="宋体" w:cs="宋体" w:eastAsia="宋体" w:hint="default"/>
                            <w:sz w:val="18"/>
                            <w:szCs w:val="18"/>
                          </w:rPr>
                          <w:t>金额</w:t>
                        </w:r>
                        <w:r>
                          <w:rPr>
                            <w:rFonts w:ascii="Times New Roman" w:hAnsi="Times New Roman" w:cs="Times New Roman" w:eastAsia="Times New Roman" w:hint="default"/>
                            <w:sz w:val="18"/>
                            <w:szCs w:val="18"/>
                          </w:rPr>
                          <w:t>38,348,394.04</w:t>
                        </w:r>
                        <w:r>
                          <w:rPr>
                            <w:rFonts w:ascii="宋体" w:hAnsi="宋体" w:cs="宋体" w:eastAsia="宋体" w:hint="default"/>
                            <w:sz w:val="18"/>
                            <w:szCs w:val="18"/>
                          </w:rPr>
                          <w:t>元，</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日列示金额</w:t>
                        </w:r>
                        <w:r>
                          <w:rPr>
                            <w:rFonts w:ascii="Times New Roman" w:hAnsi="Times New Roman" w:cs="Times New Roman" w:eastAsia="Times New Roman" w:hint="default"/>
                            <w:sz w:val="18"/>
                            <w:szCs w:val="18"/>
                          </w:rPr>
                          <w:t>0.00</w:t>
                        </w:r>
                        <w:r>
                          <w:rPr>
                            <w:rFonts w:ascii="宋体" w:hAnsi="宋体" w:cs="宋体" w:eastAsia="宋体" w:hint="default"/>
                            <w:sz w:val="18"/>
                            <w:szCs w:val="18"/>
                          </w:rPr>
                          <w:t>元。母公司资产负债表</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宋体" w:hAnsi="宋体" w:cs="宋体" w:eastAsia="宋体" w:hint="default"/>
                            <w:spacing w:val="-8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可供出售金融资产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项目列示金额</w:t>
                        </w:r>
                        <w:r>
                          <w:rPr>
                            <w:rFonts w:ascii="Times New Roman" w:hAnsi="Times New Roman" w:cs="Times New Roman" w:eastAsia="Times New Roman" w:hint="default"/>
                            <w:sz w:val="18"/>
                            <w:szCs w:val="18"/>
                          </w:rPr>
                          <w:t>0.00</w:t>
                        </w:r>
                        <w:r>
                          <w:rPr>
                            <w:rFonts w:ascii="宋体" w:hAnsi="宋体" w:cs="宋体" w:eastAsia="宋体" w:hint="default"/>
                            <w:sz w:val="18"/>
                            <w:szCs w:val="18"/>
                          </w:rPr>
                          <w:t>元，</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日列示金额</w:t>
                        </w:r>
                      </w:p>
                      <w:p>
                        <w:pPr>
                          <w:pStyle w:val="TableParagraph"/>
                          <w:spacing w:line="247" w:lineRule="exact"/>
                          <w:ind w:left="-1"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20,000,000.00</w:t>
                        </w:r>
                        <w:r>
                          <w:rPr>
                            <w:rFonts w:ascii="宋体" w:hAnsi="宋体" w:cs="宋体" w:eastAsia="宋体" w:hint="default"/>
                            <w:sz w:val="18"/>
                            <w:szCs w:val="18"/>
                          </w:rPr>
                          <w:t>元；</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其他权益工具投资</w:t>
                        </w:r>
                        <w:r>
                          <w:rPr>
                            <w:rFonts w:ascii="Times New Roman" w:hAnsi="Times New Roman" w:cs="Times New Roman" w:eastAsia="Times New Roman" w:hint="default"/>
                            <w:sz w:val="18"/>
                            <w:szCs w:val="18"/>
                          </w:rPr>
                          <w:t>”</w:t>
                        </w:r>
                        <w:r>
                          <w:rPr>
                            <w:rFonts w:ascii="宋体" w:hAnsi="宋体" w:cs="宋体" w:eastAsia="宋体" w:hint="default"/>
                            <w:sz w:val="18"/>
                            <w:szCs w:val="18"/>
                          </w:rPr>
                          <w:t>项目列示金额</w:t>
                        </w:r>
                        <w:r>
                          <w:rPr>
                            <w:rFonts w:ascii="Times New Roman" w:hAnsi="Times New Roman" w:cs="Times New Roman" w:eastAsia="Times New Roman" w:hint="default"/>
                            <w:sz w:val="18"/>
                            <w:szCs w:val="18"/>
                          </w:rPr>
                          <w:t>20,000,000.00</w:t>
                        </w:r>
                      </w:p>
                      <w:p>
                        <w:pPr>
                          <w:pStyle w:val="TableParagraph"/>
                          <w:spacing w:line="240" w:lineRule="auto" w:before="66"/>
                          <w:ind w:left="-1" w:right="0"/>
                          <w:jc w:val="both"/>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日列示金额</w:t>
                        </w:r>
                        <w:r>
                          <w:rPr>
                            <w:rFonts w:ascii="Times New Roman" w:hAnsi="Times New Roman" w:cs="Times New Roman" w:eastAsia="Times New Roman" w:hint="default"/>
                            <w:sz w:val="18"/>
                            <w:szCs w:val="18"/>
                          </w:rPr>
                          <w:t>0.00</w:t>
                        </w:r>
                        <w:r>
                          <w:rPr>
                            <w:rFonts w:ascii="宋体" w:hAnsi="宋体" w:cs="宋体" w:eastAsia="宋体" w:hint="default"/>
                            <w:sz w:val="18"/>
                            <w:szCs w:val="18"/>
                          </w:rPr>
                          <w:t>元。</w:t>
                        </w:r>
                      </w:p>
                    </w:tc>
                  </w:tr>
                  <w:tr>
                    <w:trPr>
                      <w:trHeight w:val="1907" w:hRule="exact"/>
                    </w:trPr>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15"/>
                          <w:ind w:right="88"/>
                          <w:jc w:val="left"/>
                          <w:rPr>
                            <w:rFonts w:ascii="宋体" w:hAnsi="宋体" w:cs="宋体" w:eastAsia="宋体" w:hint="default"/>
                            <w:sz w:val="18"/>
                            <w:szCs w:val="18"/>
                          </w:rPr>
                        </w:pPr>
                        <w:r>
                          <w:rPr>
                            <w:rFonts w:ascii="宋体" w:hAnsi="宋体" w:cs="宋体" w:eastAsia="宋体" w:hint="default"/>
                            <w:sz w:val="18"/>
                            <w:szCs w:val="18"/>
                          </w:rPr>
                          <w:t>将原</w:t>
                        </w:r>
                        <w:r>
                          <w:rPr>
                            <w:rFonts w:ascii="Times New Roman" w:hAnsi="Times New Roman" w:cs="Times New Roman" w:eastAsia="Times New Roman" w:hint="default"/>
                            <w:sz w:val="18"/>
                            <w:szCs w:val="18"/>
                          </w:rPr>
                          <w:t>“</w:t>
                        </w:r>
                        <w:r>
                          <w:rPr>
                            <w:rFonts w:ascii="宋体" w:hAnsi="宋体" w:cs="宋体" w:eastAsia="宋体" w:hint="default"/>
                            <w:sz w:val="18"/>
                            <w:szCs w:val="18"/>
                          </w:rPr>
                          <w:t>其他流动资产</w:t>
                        </w:r>
                        <w:r>
                          <w:rPr>
                            <w:rFonts w:ascii="Times New Roman" w:hAnsi="Times New Roman" w:cs="Times New Roman" w:eastAsia="Times New Roman" w:hint="default"/>
                            <w:sz w:val="18"/>
                            <w:szCs w:val="18"/>
                          </w:rPr>
                          <w:t>”</w:t>
                        </w:r>
                        <w:r>
                          <w:rPr>
                            <w:rFonts w:ascii="宋体" w:hAnsi="宋体" w:cs="宋体" w:eastAsia="宋体" w:hint="default"/>
                            <w:sz w:val="18"/>
                            <w:szCs w:val="18"/>
                          </w:rPr>
                          <w:t>项目重分类到</w:t>
                        </w:r>
                        <w:r>
                          <w:rPr>
                            <w:rFonts w:ascii="Times New Roman" w:hAnsi="Times New Roman" w:cs="Times New Roman" w:eastAsia="Times New Roman" w:hint="default"/>
                            <w:sz w:val="18"/>
                            <w:szCs w:val="18"/>
                          </w:rPr>
                          <w:t>“</w:t>
                        </w:r>
                        <w:r>
                          <w:rPr>
                            <w:rFonts w:ascii="宋体" w:hAnsi="宋体" w:cs="宋体" w:eastAsia="宋体" w:hint="default"/>
                            <w:sz w:val="18"/>
                            <w:szCs w:val="18"/>
                          </w:rPr>
                          <w:t>交易</w:t>
                        </w:r>
                        <w:r>
                          <w:rPr>
                            <w:rFonts w:ascii="宋体" w:hAnsi="宋体" w:cs="宋体" w:eastAsia="宋体" w:hint="default"/>
                            <w:spacing w:val="-73"/>
                            <w:sz w:val="18"/>
                            <w:szCs w:val="18"/>
                          </w:rPr>
                          <w:t> </w:t>
                        </w:r>
                        <w:r>
                          <w:rPr>
                            <w:rFonts w:ascii="宋体" w:hAnsi="宋体" w:cs="宋体" w:eastAsia="宋体" w:hint="default"/>
                            <w:sz w:val="18"/>
                            <w:szCs w:val="18"/>
                          </w:rPr>
                          <w:t>性金融资产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项目列示</w:t>
                        </w:r>
                      </w:p>
                    </w:tc>
                    <w:tc>
                      <w:tcPr>
                        <w:tcW w:w="6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 w:right="0"/>
                          <w:jc w:val="both"/>
                          <w:rPr>
                            <w:rFonts w:ascii="宋体" w:hAnsi="宋体" w:cs="宋体" w:eastAsia="宋体" w:hint="default"/>
                            <w:sz w:val="18"/>
                            <w:szCs w:val="18"/>
                          </w:rPr>
                        </w:pPr>
                        <w:r>
                          <w:rPr>
                            <w:rFonts w:ascii="宋体" w:hAnsi="宋体" w:cs="宋体" w:eastAsia="宋体" w:hint="default"/>
                            <w:sz w:val="18"/>
                            <w:szCs w:val="18"/>
                          </w:rPr>
                          <w:t>合并资产负债表</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交易性金融资产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项目列示金额</w:t>
                        </w:r>
                        <w:r>
                          <w:rPr>
                            <w:rFonts w:ascii="Times New Roman" w:hAnsi="Times New Roman" w:cs="Times New Roman" w:eastAsia="Times New Roman" w:hint="default"/>
                            <w:sz w:val="18"/>
                            <w:szCs w:val="18"/>
                          </w:rPr>
                          <w:t>746,272,637.59</w:t>
                        </w:r>
                        <w:r>
                          <w:rPr>
                            <w:rFonts w:ascii="宋体" w:hAnsi="宋体" w:cs="宋体" w:eastAsia="宋体" w:hint="default"/>
                            <w:sz w:val="18"/>
                            <w:szCs w:val="18"/>
                          </w:rPr>
                          <w:t>元</w:t>
                        </w:r>
                      </w:p>
                      <w:p>
                        <w:pPr>
                          <w:pStyle w:val="TableParagraph"/>
                          <w:spacing w:line="240" w:lineRule="auto" w:before="66"/>
                          <w:ind w:left="-1"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日列示金额</w:t>
                        </w:r>
                        <w:r>
                          <w:rPr>
                            <w:rFonts w:ascii="Times New Roman" w:hAnsi="Times New Roman" w:cs="Times New Roman" w:eastAsia="Times New Roman" w:hint="default"/>
                            <w:sz w:val="18"/>
                            <w:szCs w:val="18"/>
                          </w:rPr>
                          <w:t>0.00</w:t>
                        </w:r>
                        <w:r>
                          <w:rPr>
                            <w:rFonts w:ascii="宋体" w:hAnsi="宋体" w:cs="宋体" w:eastAsia="宋体" w:hint="default"/>
                            <w:sz w:val="18"/>
                            <w:szCs w:val="18"/>
                          </w:rPr>
                          <w:t>元；</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其他流动资产</w:t>
                        </w:r>
                        <w:r>
                          <w:rPr>
                            <w:rFonts w:ascii="Times New Roman" w:hAnsi="Times New Roman" w:cs="Times New Roman" w:eastAsia="Times New Roman" w:hint="default"/>
                            <w:sz w:val="18"/>
                            <w:szCs w:val="18"/>
                          </w:rPr>
                          <w:t>”</w:t>
                        </w:r>
                        <w:r>
                          <w:rPr>
                            <w:rFonts w:ascii="宋体" w:hAnsi="宋体" w:cs="宋体" w:eastAsia="宋体" w:hint="default"/>
                            <w:sz w:val="18"/>
                            <w:szCs w:val="18"/>
                          </w:rPr>
                          <w:t>项目列示金额</w:t>
                        </w:r>
                      </w:p>
                      <w:p>
                        <w:pPr>
                          <w:pStyle w:val="TableParagraph"/>
                          <w:spacing w:line="297" w:lineRule="auto" w:before="66"/>
                          <w:ind w:left="-1" w:right="-16"/>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9,580,834.20</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31</w:t>
                        </w:r>
                        <w:r>
                          <w:rPr>
                            <w:rFonts w:ascii="宋体" w:hAnsi="宋体" w:cs="宋体" w:eastAsia="宋体" w:hint="default"/>
                            <w:spacing w:val="-3"/>
                            <w:sz w:val="18"/>
                            <w:szCs w:val="18"/>
                          </w:rPr>
                          <w:t>日列示金额</w:t>
                        </w:r>
                        <w:r>
                          <w:rPr>
                            <w:rFonts w:ascii="Times New Roman" w:hAnsi="Times New Roman" w:cs="Times New Roman" w:eastAsia="Times New Roman" w:hint="default"/>
                            <w:spacing w:val="-3"/>
                            <w:sz w:val="18"/>
                            <w:szCs w:val="18"/>
                          </w:rPr>
                          <w:t>549,742,556.44</w:t>
                        </w:r>
                        <w:r>
                          <w:rPr>
                            <w:rFonts w:ascii="宋体" w:hAnsi="宋体" w:cs="宋体" w:eastAsia="宋体" w:hint="default"/>
                            <w:spacing w:val="-3"/>
                            <w:sz w:val="18"/>
                            <w:szCs w:val="18"/>
                          </w:rPr>
                          <w:t>元。母公司资产负债表</w:t>
                        </w:r>
                        <w:r>
                          <w:rPr>
                            <w:rFonts w:ascii="Times New Roman" w:hAnsi="Times New Roman" w:cs="Times New Roman" w:eastAsia="Times New Roman" w:hint="default"/>
                            <w:spacing w:val="-3"/>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交易性金融资产</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项目列示金额</w:t>
                        </w:r>
                        <w:r>
                          <w:rPr>
                            <w:rFonts w:ascii="Times New Roman" w:hAnsi="Times New Roman" w:cs="Times New Roman" w:eastAsia="Times New Roman" w:hint="default"/>
                            <w:spacing w:val="-1"/>
                            <w:sz w:val="18"/>
                            <w:szCs w:val="18"/>
                          </w:rPr>
                          <w:t>678,926,123.24</w:t>
                        </w:r>
                        <w:r>
                          <w:rPr>
                            <w:rFonts w:ascii="宋体" w:hAnsi="宋体" w:cs="宋体" w:eastAsia="宋体" w:hint="default"/>
                            <w:spacing w:val="-1"/>
                            <w:sz w:val="18"/>
                            <w:szCs w:val="18"/>
                          </w:rPr>
                          <w:t>元，</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日列示</w:t>
                        </w:r>
                        <w:r>
                          <w:rPr>
                            <w:rFonts w:ascii="宋体" w:hAnsi="宋体" w:cs="宋体" w:eastAsia="宋体" w:hint="default"/>
                            <w:sz w:val="18"/>
                            <w:szCs w:val="18"/>
                          </w:rPr>
                          <w:t> 金额</w:t>
                        </w:r>
                        <w:r>
                          <w:rPr>
                            <w:rFonts w:ascii="Times New Roman" w:hAnsi="Times New Roman" w:cs="Times New Roman" w:eastAsia="Times New Roman" w:hint="default"/>
                            <w:sz w:val="18"/>
                            <w:szCs w:val="18"/>
                          </w:rPr>
                          <w:t>0.00</w:t>
                        </w:r>
                        <w:r>
                          <w:rPr>
                            <w:rFonts w:ascii="宋体" w:hAnsi="宋体" w:cs="宋体" w:eastAsia="宋体" w:hint="default"/>
                            <w:sz w:val="18"/>
                            <w:szCs w:val="18"/>
                          </w:rPr>
                          <w:t>元；</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其他流动资产</w:t>
                        </w:r>
                        <w:r>
                          <w:rPr>
                            <w:rFonts w:ascii="Times New Roman" w:hAnsi="Times New Roman" w:cs="Times New Roman" w:eastAsia="Times New Roman" w:hint="default"/>
                            <w:sz w:val="18"/>
                            <w:szCs w:val="18"/>
                          </w:rPr>
                          <w:t>”</w:t>
                        </w:r>
                        <w:r>
                          <w:rPr>
                            <w:rFonts w:ascii="宋体" w:hAnsi="宋体" w:cs="宋体" w:eastAsia="宋体" w:hint="default"/>
                            <w:sz w:val="18"/>
                            <w:szCs w:val="18"/>
                          </w:rPr>
                          <w:t>项目列示金额</w:t>
                        </w:r>
                        <w:r>
                          <w:rPr>
                            <w:rFonts w:ascii="Times New Roman" w:hAnsi="Times New Roman" w:cs="Times New Roman" w:eastAsia="Times New Roman" w:hint="default"/>
                            <w:sz w:val="18"/>
                            <w:szCs w:val="18"/>
                          </w:rPr>
                          <w:t>8,987,917.77</w:t>
                        </w:r>
                        <w:r>
                          <w:rPr>
                            <w:rFonts w:ascii="宋体" w:hAnsi="宋体" w:cs="宋体" w:eastAsia="宋体" w:hint="default"/>
                            <w:sz w:val="18"/>
                            <w:szCs w:val="18"/>
                          </w:rPr>
                          <w:t>元</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日列示金额</w:t>
                        </w:r>
                        <w:r>
                          <w:rPr>
                            <w:rFonts w:ascii="Times New Roman" w:hAnsi="Times New Roman" w:cs="Times New Roman" w:eastAsia="Times New Roman" w:hint="default"/>
                            <w:sz w:val="18"/>
                            <w:szCs w:val="18"/>
                          </w:rPr>
                          <w:t>509,699,027.71</w:t>
                        </w:r>
                        <w:r>
                          <w:rPr>
                            <w:rFonts w:ascii="宋体" w:hAnsi="宋体" w:cs="宋体" w:eastAsia="宋体" w:hint="default"/>
                            <w:sz w:val="18"/>
                            <w:szCs w:val="18"/>
                          </w:rPr>
                          <w:t>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82"/>
        <w:ind w:left="161" w:right="0"/>
        <w:jc w:val="left"/>
        <w:rPr>
          <w:b w:val="0"/>
          <w:bCs w:val="0"/>
        </w:rPr>
      </w:pPr>
      <w:bookmarkStart w:name="七、与上年度财务报告相比，合并报表范围发生变化的情况说明" w:id="71"/>
      <w:bookmarkEnd w:id="71"/>
      <w:r>
        <w:rPr>
          <w:b w:val="0"/>
          <w:bCs w:val="0"/>
        </w:rPr>
      </w:r>
      <w:r>
        <w:rPr/>
        <w:t>七、与上年度财务报告相比，合并报表范围发生变化的情况说明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left="161"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Heading5"/>
        <w:spacing w:line="240" w:lineRule="auto" w:before="76"/>
        <w:ind w:left="161" w:right="0"/>
        <w:jc w:val="left"/>
      </w:pPr>
      <w:r>
        <w:rPr/>
        <w:t>本公司报告期纳入合并范围的子公司共</w:t>
      </w:r>
      <w:r>
        <w:rPr>
          <w:rFonts w:ascii="Times New Roman" w:hAnsi="Times New Roman" w:cs="Times New Roman" w:eastAsia="Times New Roman" w:hint="default"/>
        </w:rPr>
        <w:t>5</w:t>
      </w:r>
      <w:r>
        <w:rPr/>
        <w:t>户，减少合并范围内子公司</w:t>
      </w:r>
      <w:r>
        <w:rPr>
          <w:rFonts w:ascii="Times New Roman" w:hAnsi="Times New Roman" w:cs="Times New Roman" w:eastAsia="Times New Roman" w:hint="default"/>
        </w:rPr>
        <w:t>1</w:t>
      </w:r>
      <w:r>
        <w:rPr/>
        <w:t>家。</w:t>
      </w:r>
    </w:p>
    <w:p>
      <w:pPr>
        <w:spacing w:line="240" w:lineRule="auto" w:before="2"/>
        <w:rPr>
          <w:rFonts w:ascii="宋体" w:hAnsi="宋体" w:cs="宋体" w:eastAsia="宋体" w:hint="default"/>
          <w:sz w:val="22"/>
          <w:szCs w:val="22"/>
        </w:rPr>
      </w:pPr>
    </w:p>
    <w:p>
      <w:pPr>
        <w:pStyle w:val="Heading2"/>
        <w:spacing w:line="240" w:lineRule="auto"/>
        <w:ind w:left="161" w:right="0"/>
        <w:jc w:val="left"/>
        <w:rPr>
          <w:b w:val="0"/>
          <w:bCs w:val="0"/>
        </w:rPr>
      </w:pPr>
      <w:bookmarkStart w:name="八、聘任、解聘会计师事务所情况" w:id="72"/>
      <w:bookmarkEnd w:id="72"/>
      <w:r>
        <w:rPr>
          <w:b w:val="0"/>
          <w:bCs w:val="0"/>
        </w:rPr>
      </w:r>
      <w:r>
        <w:rPr/>
        <w:t>八、聘任、解聘会计师事务所情况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left="161" w:right="0"/>
        <w:jc w:val="left"/>
      </w:pPr>
      <w:r>
        <w:rPr/>
        <w:t>现聘任的会计事务所</w:t>
      </w:r>
    </w:p>
    <w:p>
      <w:pPr>
        <w:spacing w:line="240" w:lineRule="auto" w:before="7"/>
        <w:rPr>
          <w:rFonts w:ascii="宋体" w:hAnsi="宋体" w:cs="宋体" w:eastAsia="宋体" w:hint="default"/>
          <w:sz w:val="9"/>
          <w:szCs w:val="9"/>
        </w:rPr>
      </w:pPr>
    </w:p>
    <w:tbl>
      <w:tblPr>
        <w:tblW w:w="0" w:type="auto"/>
        <w:jc w:val="left"/>
        <w:tblInd w:w="146" w:type="dxa"/>
        <w:tblLayout w:type="fixed"/>
        <w:tblCellMar>
          <w:top w:w="0" w:type="dxa"/>
          <w:left w:w="0" w:type="dxa"/>
          <w:bottom w:w="0" w:type="dxa"/>
          <w:right w:w="0" w:type="dxa"/>
        </w:tblCellMar>
        <w:tblLook w:val="01E0"/>
      </w:tblPr>
      <w:tblGrid>
        <w:gridCol w:w="4784"/>
        <w:gridCol w:w="4798"/>
      </w:tblGrid>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75</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5</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王清峰、苏菊荣</w:t>
            </w:r>
          </w:p>
        </w:tc>
      </w:tr>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宋体" w:hAnsi="宋体" w:cs="宋体" w:eastAsia="宋体" w:hint="default"/>
                <w:sz w:val="18"/>
                <w:szCs w:val="18"/>
              </w:rPr>
              <w:t>王清峰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年、苏菊荣</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r>
    </w:tbl>
    <w:p>
      <w:pPr>
        <w:pStyle w:val="BodyText"/>
        <w:spacing w:line="240" w:lineRule="auto" w:before="44"/>
        <w:ind w:left="161" w:right="0"/>
        <w:jc w:val="left"/>
      </w:pPr>
      <w:r>
        <w:rPr/>
        <w:t>是否改聘会计师事务所</w:t>
      </w:r>
    </w:p>
    <w:p>
      <w:pPr>
        <w:pStyle w:val="BodyText"/>
        <w:spacing w:line="319" w:lineRule="auto" w:before="140"/>
        <w:ind w:left="161" w:right="624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聘请内部控制审计会计师事务所、财务顾问或保荐人情况</w:t>
      </w:r>
    </w:p>
    <w:p>
      <w:pPr>
        <w:pStyle w:val="BodyText"/>
        <w:spacing w:line="240" w:lineRule="auto" w:before="65"/>
        <w:ind w:left="161"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2"/>
        <w:rPr>
          <w:rFonts w:ascii="宋体" w:hAnsi="宋体" w:cs="宋体" w:eastAsia="宋体" w:hint="default"/>
          <w:sz w:val="24"/>
          <w:szCs w:val="24"/>
        </w:rPr>
      </w:pPr>
    </w:p>
    <w:p>
      <w:pPr>
        <w:pStyle w:val="Heading2"/>
        <w:spacing w:line="240" w:lineRule="auto"/>
        <w:ind w:left="161" w:right="0"/>
        <w:jc w:val="left"/>
        <w:rPr>
          <w:b w:val="0"/>
          <w:bCs w:val="0"/>
        </w:rPr>
      </w:pPr>
      <w:bookmarkStart w:name="九、年度报告披露后面临暂停上市和终止上市情况" w:id="73"/>
      <w:bookmarkEnd w:id="73"/>
      <w:r>
        <w:rPr>
          <w:b w:val="0"/>
          <w:bCs w:val="0"/>
        </w:rPr>
      </w:r>
      <w:r>
        <w:rPr/>
        <w:t>九、年度报告披露后面临暂停上市和终止上市情况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left="161"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31" w:footer="981" w:top="1040" w:bottom="1180" w:left="980" w:right="0"/>
        </w:sectPr>
      </w:pPr>
    </w:p>
    <w:p>
      <w:pPr>
        <w:spacing w:line="240" w:lineRule="auto" w:before="7"/>
        <w:rPr>
          <w:rFonts w:ascii="宋体" w:hAnsi="宋体" w:cs="宋体" w:eastAsia="宋体" w:hint="default"/>
          <w:sz w:val="25"/>
          <w:szCs w:val="25"/>
        </w:rPr>
      </w:pPr>
      <w:r>
        <w:rPr/>
        <w:pict>
          <v:shape style="position:absolute;margin-left:123.900002pt;margin-top:536.729980pt;width:59.35pt;height:100.6pt;mso-position-horizontal-relative:page;mso-position-vertical-relative:page;z-index:-1120576" type="#_x0000_t202" filled="false" stroked="false">
            <v:textbox inset="0,0,0,0">
              <w:txbxContent>
                <w:p>
                  <w:pPr>
                    <w:pStyle w:val="BodyText"/>
                    <w:spacing w:line="240" w:lineRule="auto" w:before="59"/>
                    <w:ind w:left="0" w:right="0"/>
                    <w:jc w:val="left"/>
                  </w:pPr>
                  <w:r>
                    <w:rPr/>
                    <w:t>，</w:t>
                  </w:r>
                </w:p>
              </w:txbxContent>
            </v:textbox>
            <w10:wrap type="none"/>
          </v:shape>
        </w:pict>
      </w:r>
    </w:p>
    <w:p>
      <w:pPr>
        <w:pStyle w:val="Heading2"/>
        <w:spacing w:line="240" w:lineRule="auto" w:before="26"/>
        <w:ind w:right="1100"/>
        <w:jc w:val="left"/>
        <w:rPr>
          <w:b w:val="0"/>
          <w:bCs w:val="0"/>
        </w:rPr>
      </w:pPr>
      <w:bookmarkStart w:name="十、破产重整相关事项" w:id="74"/>
      <w:bookmarkEnd w:id="74"/>
      <w:r>
        <w:rPr>
          <w:b w:val="0"/>
          <w:bCs w:val="0"/>
        </w:rPr>
      </w:r>
      <w:r>
        <w:rPr/>
        <w:t>十、破产重整相关事项</w:t>
      </w:r>
      <w:r>
        <w:rPr>
          <w:b w:val="0"/>
          <w:bCs w:val="0"/>
        </w:rPr>
      </w:r>
    </w:p>
    <w:p>
      <w:pPr>
        <w:spacing w:line="240" w:lineRule="auto" w:before="1"/>
        <w:rPr>
          <w:rFonts w:ascii="宋体" w:hAnsi="宋体" w:cs="宋体" w:eastAsia="宋体" w:hint="default"/>
          <w:b/>
          <w:bCs/>
          <w:sz w:val="26"/>
          <w:szCs w:val="26"/>
        </w:rPr>
      </w:pPr>
    </w:p>
    <w:p>
      <w:pPr>
        <w:pStyle w:val="BodyText"/>
        <w:spacing w:line="319" w:lineRule="auto"/>
        <w:ind w:right="76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公司报告期未发生破产重整相关事项。</w:t>
      </w:r>
    </w:p>
    <w:p>
      <w:pPr>
        <w:spacing w:line="240" w:lineRule="auto" w:before="8"/>
        <w:rPr>
          <w:rFonts w:ascii="宋体" w:hAnsi="宋体" w:cs="宋体" w:eastAsia="宋体" w:hint="default"/>
          <w:sz w:val="22"/>
          <w:szCs w:val="22"/>
        </w:rPr>
      </w:pPr>
    </w:p>
    <w:p>
      <w:pPr>
        <w:pStyle w:val="Heading2"/>
        <w:spacing w:line="240" w:lineRule="auto"/>
        <w:ind w:right="1100"/>
        <w:jc w:val="left"/>
        <w:rPr>
          <w:b w:val="0"/>
          <w:bCs w:val="0"/>
        </w:rPr>
      </w:pPr>
      <w:bookmarkStart w:name="十一、重大诉讼、仲裁事项" w:id="75"/>
      <w:bookmarkEnd w:id="75"/>
      <w:r>
        <w:rPr>
          <w:b w:val="0"/>
          <w:bCs w:val="0"/>
        </w:rPr>
      </w:r>
      <w:r>
        <w:rPr/>
        <w:t>十一、重大诉讼、仲裁事项</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4"/>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1457"/>
        <w:gridCol w:w="1082"/>
        <w:gridCol w:w="1261"/>
        <w:gridCol w:w="962"/>
        <w:gridCol w:w="1396"/>
        <w:gridCol w:w="1261"/>
        <w:gridCol w:w="1082"/>
        <w:gridCol w:w="1081"/>
      </w:tblGrid>
      <w:tr>
        <w:trPr>
          <w:trHeight w:val="706" w:hRule="exact"/>
        </w:trPr>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615" w:right="43"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345" w:right="15" w:hanging="330"/>
              <w:jc w:val="left"/>
              <w:rPr>
                <w:rFonts w:ascii="宋体" w:hAnsi="宋体" w:cs="宋体" w:eastAsia="宋体" w:hint="default"/>
                <w:sz w:val="18"/>
                <w:szCs w:val="18"/>
              </w:rPr>
            </w:pPr>
            <w:r>
              <w:rPr>
                <w:rFonts w:ascii="宋体" w:hAnsi="宋体" w:cs="宋体" w:eastAsia="宋体" w:hint="default"/>
                <w:spacing w:val="-8"/>
                <w:sz w:val="18"/>
                <w:szCs w:val="18"/>
              </w:rPr>
              <w:t>涉案金额（万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1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450" w:right="74" w:hanging="361"/>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300" w:right="43" w:hanging="24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225" w:right="103" w:hanging="15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255" w:right="28" w:hanging="24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 执行情况</w:t>
            </w:r>
          </w:p>
        </w:tc>
        <w:tc>
          <w:tcPr>
            <w:tcW w:w="10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6021" w:hRule="exact"/>
        </w:trPr>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p>
          <w:p>
            <w:pPr>
              <w:pStyle w:val="TableParagraph"/>
              <w:spacing w:line="312" w:lineRule="auto" w:before="51"/>
              <w:ind w:left="15" w:right="29"/>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公司起诉北京 信安世纪科技有 </w:t>
            </w:r>
            <w:r>
              <w:rPr>
                <w:rFonts w:ascii="宋体" w:hAnsi="宋体" w:cs="宋体" w:eastAsia="宋体" w:hint="default"/>
                <w:spacing w:val="-6"/>
                <w:sz w:val="18"/>
                <w:szCs w:val="18"/>
              </w:rPr>
              <w:t>限公司、武汉信安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珞珈科技有限公 </w:t>
            </w:r>
            <w:r>
              <w:rPr>
                <w:rFonts w:ascii="宋体" w:hAnsi="宋体" w:cs="宋体" w:eastAsia="宋体" w:hint="default"/>
                <w:spacing w:val="-6"/>
                <w:sz w:val="18"/>
                <w:szCs w:val="18"/>
              </w:rPr>
              <w:t>司侵害本公司（原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告）第</w:t>
            </w:r>
          </w:p>
          <w:p>
            <w:pPr>
              <w:pStyle w:val="TableParagraph"/>
              <w:spacing w:line="240" w:lineRule="auto" w:before="83"/>
              <w:ind w:left="15" w:right="0"/>
              <w:jc w:val="left"/>
              <w:rPr>
                <w:rFonts w:ascii="Times New Roman" w:hAnsi="Times New Roman" w:cs="Times New Roman" w:eastAsia="Times New Roman" w:hint="default"/>
                <w:sz w:val="18"/>
                <w:szCs w:val="18"/>
              </w:rPr>
            </w:pPr>
            <w:r>
              <w:rPr>
                <w:rFonts w:ascii="Times New Roman"/>
                <w:sz w:val="18"/>
              </w:rPr>
              <w:t>ZL200620012396.</w:t>
            </w:r>
          </w:p>
          <w:p>
            <w:pPr>
              <w:pStyle w:val="TableParagraph"/>
              <w:spacing w:line="288" w:lineRule="auto" w:before="66"/>
              <w:ind w:left="15"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号实用新型专利 权，请求法院</w:t>
            </w:r>
            <w:r>
              <w:rPr>
                <w:rFonts w:ascii="Times New Roman" w:hAnsi="Times New Roman" w:cs="Times New Roman" w:eastAsia="Times New Roman" w:hint="default"/>
                <w:sz w:val="18"/>
                <w:szCs w:val="18"/>
              </w:rPr>
              <w:t>:1. </w:t>
            </w:r>
            <w:r>
              <w:rPr>
                <w:rFonts w:ascii="宋体" w:hAnsi="宋体" w:cs="宋体" w:eastAsia="宋体" w:hint="default"/>
                <w:sz w:val="18"/>
                <w:szCs w:val="18"/>
              </w:rPr>
              <w:t>判令两被告停止</w:t>
            </w:r>
          </w:p>
          <w:p>
            <w:pPr>
              <w:pStyle w:val="TableParagraph"/>
              <w:spacing w:line="312" w:lineRule="auto" w:before="59"/>
              <w:ind w:left="15" w:right="29"/>
              <w:jc w:val="both"/>
              <w:rPr>
                <w:rFonts w:ascii="Times New Roman" w:hAnsi="Times New Roman" w:cs="Times New Roman" w:eastAsia="Times New Roman" w:hint="default"/>
                <w:sz w:val="18"/>
                <w:szCs w:val="18"/>
              </w:rPr>
            </w:pPr>
            <w:r>
              <w:rPr>
                <w:rFonts w:ascii="宋体" w:hAnsi="宋体" w:cs="宋体" w:eastAsia="宋体" w:hint="default"/>
                <w:sz w:val="18"/>
                <w:szCs w:val="18"/>
              </w:rPr>
              <w:t>侵权行为；</w:t>
            </w:r>
            <w:r>
              <w:rPr>
                <w:rFonts w:ascii="Times New Roman" w:hAnsi="Times New Roman" w:cs="Times New Roman" w:eastAsia="Times New Roman" w:hint="default"/>
                <w:sz w:val="18"/>
                <w:szCs w:val="18"/>
              </w:rPr>
              <w:t>2.</w:t>
            </w:r>
            <w:r>
              <w:rPr>
                <w:rFonts w:ascii="宋体" w:hAnsi="宋体" w:cs="宋体" w:eastAsia="宋体" w:hint="default"/>
                <w:sz w:val="18"/>
                <w:szCs w:val="18"/>
              </w:rPr>
              <w:t>判令 </w:t>
            </w:r>
            <w:r>
              <w:rPr>
                <w:rFonts w:ascii="宋体" w:hAnsi="宋体" w:cs="宋体" w:eastAsia="宋体" w:hint="default"/>
                <w:spacing w:val="-6"/>
                <w:sz w:val="18"/>
                <w:szCs w:val="18"/>
              </w:rPr>
              <w:t>被告一、被告二共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同向原告赔偿</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500</w:t>
            </w:r>
          </w:p>
          <w:p>
            <w:pPr>
              <w:pStyle w:val="TableParagraph"/>
              <w:spacing w:line="297" w:lineRule="auto" w:before="6"/>
              <w:ind w:left="15" w:right="28"/>
              <w:jc w:val="left"/>
              <w:rPr>
                <w:rFonts w:ascii="宋体" w:hAnsi="宋体" w:cs="宋体" w:eastAsia="宋体" w:hint="default"/>
                <w:sz w:val="18"/>
                <w:szCs w:val="18"/>
              </w:rPr>
            </w:pPr>
            <w:r>
              <w:rPr>
                <w:rFonts w:ascii="宋体" w:hAnsi="宋体" w:cs="宋体" w:eastAsia="宋体" w:hint="default"/>
                <w:sz w:val="18"/>
                <w:szCs w:val="18"/>
              </w:rPr>
              <w:t>万元；</w:t>
            </w:r>
            <w:r>
              <w:rPr>
                <w:rFonts w:ascii="Times New Roman" w:hAnsi="Times New Roman" w:cs="Times New Roman" w:eastAsia="Times New Roman" w:hint="default"/>
                <w:sz w:val="18"/>
                <w:szCs w:val="18"/>
              </w:rPr>
              <w:t>3.</w:t>
            </w:r>
            <w:r>
              <w:rPr>
                <w:rFonts w:ascii="宋体" w:hAnsi="宋体" w:cs="宋体" w:eastAsia="宋体" w:hint="default"/>
                <w:sz w:val="18"/>
                <w:szCs w:val="18"/>
              </w:rPr>
              <w:t>判令两被 告承担本案的诉 讼费用和原告为</w:t>
            </w:r>
          </w:p>
          <w:p>
            <w:pPr>
              <w:pStyle w:val="TableParagraph"/>
              <w:spacing w:line="321" w:lineRule="auto" w:before="36"/>
              <w:ind w:left="15" w:right="-14"/>
              <w:jc w:val="left"/>
              <w:rPr>
                <w:rFonts w:ascii="宋体" w:hAnsi="宋体" w:cs="宋体" w:eastAsia="宋体" w:hint="default"/>
                <w:sz w:val="18"/>
                <w:szCs w:val="18"/>
              </w:rPr>
            </w:pPr>
            <w:r>
              <w:rPr>
                <w:rFonts w:ascii="宋体" w:hAnsi="宋体" w:cs="宋体" w:eastAsia="宋体" w:hint="default"/>
                <w:sz w:val="18"/>
                <w:szCs w:val="18"/>
              </w:rPr>
              <w:t>制止侵权行为所 支出的合理费用。</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500</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2018.7.27</w:t>
            </w:r>
          </w:p>
          <w:p>
            <w:pPr>
              <w:pStyle w:val="TableParagraph"/>
              <w:spacing w:line="321" w:lineRule="auto" w:before="36"/>
              <w:ind w:left="30" w:right="14"/>
              <w:jc w:val="left"/>
              <w:rPr>
                <w:rFonts w:ascii="宋体" w:hAnsi="宋体" w:cs="宋体" w:eastAsia="宋体" w:hint="default"/>
                <w:sz w:val="18"/>
                <w:szCs w:val="18"/>
              </w:rPr>
            </w:pPr>
            <w:r>
              <w:rPr>
                <w:rFonts w:ascii="宋体" w:hAnsi="宋体" w:cs="宋体" w:eastAsia="宋体" w:hint="default"/>
                <w:sz w:val="18"/>
                <w:szCs w:val="18"/>
              </w:rPr>
              <w:t>一审判决： 驳回原告 飞天诚信 的诉讼请 求。</w:t>
            </w:r>
          </w:p>
          <w:p>
            <w:pPr>
              <w:pStyle w:val="TableParagraph"/>
              <w:spacing w:line="240" w:lineRule="auto" w:before="60"/>
              <w:ind w:left="30" w:right="0"/>
              <w:jc w:val="left"/>
              <w:rPr>
                <w:rFonts w:ascii="Times New Roman" w:hAnsi="Times New Roman" w:cs="Times New Roman" w:eastAsia="Times New Roman" w:hint="default"/>
                <w:sz w:val="18"/>
                <w:szCs w:val="18"/>
              </w:rPr>
            </w:pPr>
            <w:r>
              <w:rPr>
                <w:rFonts w:ascii="Times New Roman"/>
                <w:sz w:val="18"/>
              </w:rPr>
              <w:t>2019.8.28</w:t>
            </w:r>
          </w:p>
          <w:p>
            <w:pPr>
              <w:pStyle w:val="TableParagraph"/>
              <w:spacing w:line="321" w:lineRule="auto" w:before="51"/>
              <w:ind w:left="30" w:right="14"/>
              <w:jc w:val="left"/>
              <w:rPr>
                <w:rFonts w:ascii="宋体" w:hAnsi="宋体" w:cs="宋体" w:eastAsia="宋体" w:hint="default"/>
                <w:sz w:val="18"/>
                <w:szCs w:val="18"/>
              </w:rPr>
            </w:pPr>
            <w:r>
              <w:rPr>
                <w:rFonts w:ascii="宋体" w:hAnsi="宋体" w:cs="宋体" w:eastAsia="宋体" w:hint="default"/>
                <w:sz w:val="18"/>
                <w:szCs w:val="18"/>
              </w:rPr>
              <w:t>二审判决， 驳回上诉， 维持一审 原判。</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0"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5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364" w:lineRule="auto"/>
              <w:ind w:left="30" w:right="39"/>
              <w:jc w:val="both"/>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r>
              <w:rPr>
                <w:rFonts w:ascii="Times New Roman" w:hAnsi="Times New Roman" w:cs="Times New Roman" w:eastAsia="Times New Roman" w:hint="default"/>
                <w:sz w:val="18"/>
                <w:szCs w:val="18"/>
              </w:rPr>
              <w:t>http://www.c ninfo.com.cn/</w:t>
            </w:r>
          </w:p>
        </w:tc>
      </w:tr>
      <w:tr>
        <w:trPr>
          <w:trHeight w:val="4414" w:hRule="exact"/>
        </w:trPr>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 公司起诉北京信 安世纪科技有限</w:t>
            </w:r>
          </w:p>
          <w:p>
            <w:pPr>
              <w:pStyle w:val="TableParagraph"/>
              <w:spacing w:line="316" w:lineRule="auto" w:before="37"/>
              <w:ind w:left="15" w:right="29"/>
              <w:jc w:val="left"/>
              <w:rPr>
                <w:rFonts w:ascii="宋体" w:hAnsi="宋体" w:cs="宋体" w:eastAsia="宋体" w:hint="default"/>
                <w:sz w:val="18"/>
                <w:szCs w:val="18"/>
              </w:rPr>
            </w:pPr>
            <w:r>
              <w:rPr>
                <w:rFonts w:ascii="宋体" w:hAnsi="宋体" w:cs="宋体" w:eastAsia="宋体" w:hint="default"/>
                <w:spacing w:val="-6"/>
                <w:sz w:val="18"/>
                <w:szCs w:val="18"/>
              </w:rPr>
              <w:t>公司、武汉信安珞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珈科技有限公司 侵害本公司（原 告）第</w:t>
            </w:r>
          </w:p>
          <w:p>
            <w:pPr>
              <w:pStyle w:val="TableParagraph"/>
              <w:spacing w:line="240" w:lineRule="auto" w:before="79"/>
              <w:ind w:left="15" w:right="0"/>
              <w:jc w:val="left"/>
              <w:rPr>
                <w:rFonts w:ascii="Times New Roman" w:hAnsi="Times New Roman" w:cs="Times New Roman" w:eastAsia="Times New Roman" w:hint="default"/>
                <w:sz w:val="18"/>
                <w:szCs w:val="18"/>
              </w:rPr>
            </w:pPr>
            <w:r>
              <w:rPr>
                <w:rFonts w:ascii="Times New Roman"/>
                <w:sz w:val="18"/>
              </w:rPr>
              <w:t>ZL200820108005.</w:t>
            </w:r>
          </w:p>
          <w:p>
            <w:pPr>
              <w:pStyle w:val="TableParagraph"/>
              <w:spacing w:line="300" w:lineRule="auto" w:before="66"/>
              <w:ind w:left="15"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号实用新型专利 权，请求法院：</w:t>
            </w:r>
            <w:r>
              <w:rPr>
                <w:rFonts w:ascii="Times New Roman" w:hAnsi="Times New Roman" w:cs="Times New Roman" w:eastAsia="Times New Roman" w:hint="default"/>
                <w:sz w:val="18"/>
                <w:szCs w:val="18"/>
              </w:rPr>
              <w:t>1. </w:t>
            </w:r>
            <w:r>
              <w:rPr>
                <w:rFonts w:ascii="宋体" w:hAnsi="宋体" w:cs="宋体" w:eastAsia="宋体" w:hint="default"/>
                <w:sz w:val="18"/>
                <w:szCs w:val="18"/>
              </w:rPr>
              <w:t>判令被告停止侵 权行为；</w:t>
            </w:r>
            <w:r>
              <w:rPr>
                <w:rFonts w:ascii="Times New Roman" w:hAnsi="Times New Roman" w:cs="Times New Roman" w:eastAsia="Times New Roman" w:hint="default"/>
                <w:sz w:val="18"/>
                <w:szCs w:val="18"/>
              </w:rPr>
              <w:t>2.</w:t>
            </w:r>
            <w:r>
              <w:rPr>
                <w:rFonts w:ascii="宋体" w:hAnsi="宋体" w:cs="宋体" w:eastAsia="宋体" w:hint="default"/>
                <w:sz w:val="18"/>
                <w:szCs w:val="18"/>
              </w:rPr>
              <w:t>判令被 </w:t>
            </w:r>
            <w:r>
              <w:rPr>
                <w:rFonts w:ascii="宋体" w:hAnsi="宋体" w:cs="宋体" w:eastAsia="宋体" w:hint="default"/>
                <w:spacing w:val="-6"/>
                <w:sz w:val="18"/>
                <w:szCs w:val="18"/>
              </w:rPr>
              <w:t>告一、被告二共同</w:t>
            </w:r>
          </w:p>
          <w:p>
            <w:pPr>
              <w:pStyle w:val="TableParagraph"/>
              <w:spacing w:line="240" w:lineRule="auto" w:before="49"/>
              <w:ind w:left="15" w:right="0"/>
              <w:jc w:val="left"/>
              <w:rPr>
                <w:rFonts w:ascii="宋体" w:hAnsi="宋体" w:cs="宋体" w:eastAsia="宋体" w:hint="default"/>
                <w:sz w:val="18"/>
                <w:szCs w:val="18"/>
              </w:rPr>
            </w:pPr>
            <w:r>
              <w:rPr>
                <w:rFonts w:ascii="宋体" w:hAnsi="宋体" w:cs="宋体" w:eastAsia="宋体" w:hint="default"/>
                <w:sz w:val="18"/>
                <w:szCs w:val="18"/>
              </w:rPr>
              <w:t>向原告赔偿</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011" w:lineRule="exact"/>
              <w:ind w:right="-51"/>
              <w:jc w:val="left"/>
              <w:rPr>
                <w:rFonts w:ascii="宋体" w:hAnsi="宋体" w:cs="宋体" w:eastAsia="宋体" w:hint="default"/>
                <w:sz w:val="20"/>
                <w:szCs w:val="20"/>
              </w:rPr>
            </w:pPr>
            <w:r>
              <w:rPr>
                <w:rFonts w:ascii="宋体" w:hAnsi="宋体" w:cs="宋体" w:eastAsia="宋体" w:hint="default"/>
                <w:position w:val="-39"/>
                <w:sz w:val="20"/>
                <w:szCs w:val="20"/>
              </w:rPr>
              <w:pict>
                <v:group style="width:53.35pt;height:100.6pt;mso-position-horizontal-relative:char;mso-position-vertical-relative:line" coordorigin="0,0" coordsize="1067,2012">
                  <v:group style="position:absolute;left:0;top:0;width:1067;height:2012" coordorigin="0,0" coordsize="1067,2012">
                    <v:shape style="position:absolute;left:0;top:0;width:1067;height:2012" coordorigin="0,0" coordsize="1067,2012" path="m0,2011l1067,2011,1067,0,0,0,0,2011xe" filled="true" fillcolor="#ffffff" stroked="false">
                      <v:path arrowok="t"/>
                      <v:fill type="solid"/>
                    </v:shape>
                  </v:group>
                </v:group>
              </w:pict>
            </w:r>
            <w:r>
              <w:rPr>
                <w:rFonts w:ascii="宋体" w:hAnsi="宋体" w:cs="宋体" w:eastAsia="宋体" w:hint="default"/>
                <w:position w:val="-39"/>
                <w:sz w:val="20"/>
                <w:szCs w:val="20"/>
              </w:rPr>
            </w:r>
          </w:p>
          <w:p>
            <w:pPr>
              <w:pStyle w:val="TableParagraph"/>
              <w:spacing w:line="240" w:lineRule="auto" w:before="103"/>
              <w:ind w:right="13"/>
              <w:jc w:val="right"/>
              <w:rPr>
                <w:rFonts w:ascii="Times New Roman" w:hAnsi="Times New Roman" w:cs="Times New Roman" w:eastAsia="Times New Roman" w:hint="default"/>
                <w:sz w:val="18"/>
                <w:szCs w:val="18"/>
              </w:rPr>
            </w:pPr>
            <w:r>
              <w:rPr>
                <w:rFonts w:ascii="Times New Roman"/>
                <w:sz w:val="18"/>
              </w:rPr>
              <w:t>500</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2019.1.28</w:t>
            </w:r>
            <w:r>
              <w:rPr>
                <w:rFonts w:ascii="宋体" w:hAnsi="宋体" w:cs="宋体" w:eastAsia="宋体" w:hint="default"/>
                <w:sz w:val="18"/>
                <w:szCs w:val="18"/>
              </w:rPr>
              <w:t>，</w:t>
            </w:r>
          </w:p>
          <w:p>
            <w:pPr>
              <w:pStyle w:val="TableParagraph"/>
              <w:spacing w:line="319" w:lineRule="auto" w:before="36"/>
              <w:ind w:left="30" w:right="14"/>
              <w:jc w:val="left"/>
              <w:rPr>
                <w:rFonts w:ascii="宋体" w:hAnsi="宋体" w:cs="宋体" w:eastAsia="宋体" w:hint="default"/>
                <w:sz w:val="18"/>
                <w:szCs w:val="18"/>
              </w:rPr>
            </w:pPr>
            <w:r>
              <w:rPr>
                <w:rFonts w:ascii="宋体" w:hAnsi="宋体" w:cs="宋体" w:eastAsia="宋体" w:hint="default"/>
                <w:sz w:val="18"/>
                <w:szCs w:val="18"/>
              </w:rPr>
              <w:t>民事诉讼 一审判决 飞天胜诉， 判令被告 赔偿飞天 经济损失</w:t>
            </w:r>
          </w:p>
          <w:p>
            <w:pPr>
              <w:pStyle w:val="TableParagraph"/>
              <w:spacing w:line="290" w:lineRule="auto" w:before="35"/>
              <w:ind w:left="30"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75 </w:t>
            </w:r>
            <w:r>
              <w:rPr>
                <w:rFonts w:ascii="宋体" w:hAnsi="宋体" w:cs="宋体" w:eastAsia="宋体" w:hint="default"/>
                <w:sz w:val="18"/>
                <w:szCs w:val="18"/>
              </w:rPr>
              <w:t>万元以 及合理支</w:t>
            </w:r>
          </w:p>
          <w:p>
            <w:pPr>
              <w:pStyle w:val="TableParagraph"/>
              <w:spacing w:line="240" w:lineRule="auto" w:before="56"/>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17.60243</w:t>
            </w:r>
          </w:p>
          <w:p>
            <w:pPr>
              <w:pStyle w:val="TableParagraph"/>
              <w:spacing w:line="316" w:lineRule="auto" w:before="51"/>
              <w:ind w:left="30" w:right="14"/>
              <w:jc w:val="left"/>
              <w:rPr>
                <w:rFonts w:ascii="宋体" w:hAnsi="宋体" w:cs="宋体" w:eastAsia="宋体" w:hint="default"/>
                <w:sz w:val="18"/>
                <w:szCs w:val="18"/>
              </w:rPr>
            </w:pPr>
            <w:r>
              <w:rPr>
                <w:rFonts w:ascii="宋体" w:hAnsi="宋体" w:cs="宋体" w:eastAsia="宋体" w:hint="default"/>
                <w:sz w:val="18"/>
                <w:szCs w:val="18"/>
              </w:rPr>
              <w:t>万元。对方 提起上诉， 二审判决 撤销了一</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0"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364" w:lineRule="auto"/>
              <w:ind w:left="30" w:right="39"/>
              <w:jc w:val="both"/>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r>
              <w:rPr>
                <w:rFonts w:ascii="Times New Roman" w:hAnsi="Times New Roman" w:cs="Times New Roman" w:eastAsia="Times New Roman" w:hint="default"/>
                <w:sz w:val="18"/>
                <w:szCs w:val="18"/>
              </w:rPr>
              <w:t>http://www.c ninfo.com.cn/</w:t>
            </w:r>
          </w:p>
        </w:tc>
      </w:tr>
    </w:tbl>
    <w:p>
      <w:pPr>
        <w:spacing w:after="0" w:line="364" w:lineRule="auto"/>
        <w:jc w:val="both"/>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r>
        <w:rPr/>
        <w:pict>
          <v:shape style="position:absolute;margin-left:123.900002pt;margin-top:344.549988pt;width:59.35pt;height:156.15pt;mso-position-horizontal-relative:page;mso-position-vertical-relative:page;z-index:-1120552" type="#_x0000_t202" filled="false" stroked="false">
            <v:textbox inset="0,0,0,0">
              <w:txbxContent>
                <w:p>
                  <w:pPr>
                    <w:pStyle w:val="BodyText"/>
                    <w:spacing w:line="205" w:lineRule="exact"/>
                    <w:ind w:left="0" w:right="0"/>
                    <w:jc w:val="left"/>
                  </w:pPr>
                  <w:r>
                    <w:rPr/>
                    <w:t>，</w:t>
                  </w:r>
                </w:p>
              </w:txbxContent>
            </v:textbox>
            <w10:wrap type="none"/>
          </v:shape>
        </w:pict>
      </w:r>
      <w:r>
        <w:rPr/>
        <w:pict>
          <v:group style="position:absolute;margin-left:129.899994pt;margin-top:344.549988pt;width:53.35pt;height:156.15pt;mso-position-horizontal-relative:page;mso-position-vertical-relative:page;z-index:-1120528" coordorigin="2598,6891" coordsize="1067,3123">
            <v:shape style="position:absolute;left:2598;top:6891;width:1067;height:3123" coordorigin="2598,6891" coordsize="1067,3123" path="m2598,10014l3664,10014,3664,6891,2598,6891,2598,10014xe" filled="true" fillcolor="#ffffff" stroked="false">
              <v:path arrowok="t"/>
              <v:fill type="solid"/>
            </v:shape>
            <w10:wrap type="none"/>
          </v:group>
        </w:pict>
      </w:r>
      <w:r>
        <w:rPr/>
        <w:pict>
          <v:group style="position:absolute;margin-left:364.950012pt;margin-top:344.549988pt;width:62.35pt;height:156.15pt;mso-position-horizontal-relative:page;mso-position-vertical-relative:page;z-index:-1120504" coordorigin="7299,6891" coordsize="1247,3123">
            <v:shape style="position:absolute;left:7299;top:6891;width:1247;height:3123" coordorigin="7299,6891" coordsize="1247,3123" path="m7299,10014l8546,10014,8546,6891,7299,6891,7299,10014xe" filled="true" fillcolor="#ffffff" stroked="false">
              <v:path arrowok="t"/>
              <v:fill type="solid"/>
            </v:shape>
            <w10:wrap type="none"/>
          </v:group>
        </w:pict>
      </w: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457"/>
        <w:gridCol w:w="518"/>
        <w:gridCol w:w="563"/>
        <w:gridCol w:w="1261"/>
        <w:gridCol w:w="962"/>
        <w:gridCol w:w="1396"/>
        <w:gridCol w:w="1261"/>
        <w:gridCol w:w="1082"/>
        <w:gridCol w:w="1081"/>
      </w:tblGrid>
      <w:tr>
        <w:trPr>
          <w:trHeight w:val="1921" w:hRule="exact"/>
        </w:trPr>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14"/>
              <w:ind w:left="15" w:right="3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3.</w:t>
            </w:r>
            <w:r>
              <w:rPr>
                <w:rFonts w:ascii="宋体" w:hAnsi="宋体" w:cs="宋体" w:eastAsia="宋体" w:hint="default"/>
                <w:sz w:val="18"/>
                <w:szCs w:val="18"/>
              </w:rPr>
              <w:t>依法判令两 被告承担本案的 诉讼费用和原告</w:t>
            </w:r>
          </w:p>
          <w:p>
            <w:pPr>
              <w:pStyle w:val="TableParagraph"/>
              <w:spacing w:line="321" w:lineRule="auto" w:before="36"/>
              <w:ind w:left="15" w:right="164"/>
              <w:jc w:val="both"/>
              <w:rPr>
                <w:rFonts w:ascii="宋体" w:hAnsi="宋体" w:cs="宋体" w:eastAsia="宋体" w:hint="default"/>
                <w:sz w:val="18"/>
                <w:szCs w:val="18"/>
              </w:rPr>
            </w:pPr>
            <w:r>
              <w:rPr>
                <w:rFonts w:ascii="宋体" w:hAnsi="宋体" w:cs="宋体" w:eastAsia="宋体" w:hint="default"/>
                <w:sz w:val="18"/>
                <w:szCs w:val="18"/>
              </w:rPr>
              <w:t>为制止侵权行为 所支出的合理费 用。</w:t>
            </w:r>
          </w:p>
        </w:tc>
        <w:tc>
          <w:tcPr>
            <w:tcW w:w="1082" w:type="dxa"/>
            <w:gridSpan w:val="2"/>
            <w:tcBorders>
              <w:top w:val="single" w:sz="6" w:space="0" w:color="000000"/>
              <w:left w:val="single" w:sz="6" w:space="0" w:color="000000"/>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6" w:space="0" w:color="000000"/>
            </w:tcBorders>
          </w:tcPr>
          <w:p>
            <w:pP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0" w:right="0"/>
              <w:jc w:val="left"/>
              <w:rPr>
                <w:rFonts w:ascii="宋体" w:hAnsi="宋体" w:cs="宋体" w:eastAsia="宋体" w:hint="default"/>
                <w:sz w:val="18"/>
                <w:szCs w:val="18"/>
              </w:rPr>
            </w:pPr>
            <w:r>
              <w:rPr>
                <w:rFonts w:ascii="宋体" w:hAnsi="宋体" w:cs="宋体" w:eastAsia="宋体" w:hint="default"/>
                <w:sz w:val="18"/>
                <w:szCs w:val="18"/>
              </w:rPr>
              <w:t>审判决。</w:t>
            </w:r>
          </w:p>
        </w:tc>
        <w:tc>
          <w:tcPr>
            <w:tcW w:w="1396" w:type="dxa"/>
            <w:tcBorders>
              <w:top w:val="single" w:sz="6" w:space="0" w:color="000000"/>
              <w:left w:val="single" w:sz="6" w:space="0" w:color="000000"/>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6" w:space="0" w:color="000000"/>
            </w:tcBorders>
          </w:tcPr>
          <w:p>
            <w:pPr/>
          </w:p>
        </w:tc>
        <w:tc>
          <w:tcPr>
            <w:tcW w:w="1082"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
        </w:tc>
      </w:tr>
      <w:tr>
        <w:trPr>
          <w:trHeight w:val="6651" w:hRule="exact"/>
        </w:trPr>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4"/>
              <w:jc w:val="left"/>
              <w:rPr>
                <w:rFonts w:ascii="宋体" w:hAnsi="宋体" w:cs="宋体" w:eastAsia="宋体" w:hint="default"/>
                <w:sz w:val="18"/>
                <w:szCs w:val="18"/>
              </w:rPr>
            </w:pPr>
            <w:r>
              <w:rPr>
                <w:rFonts w:ascii="宋体" w:hAnsi="宋体" w:cs="宋体" w:eastAsia="宋体" w:hint="default"/>
                <w:sz w:val="18"/>
                <w:szCs w:val="18"/>
              </w:rPr>
              <w:t>北京信安世纪科 技有限公司因发 明专利权无效行 </w:t>
            </w:r>
            <w:r>
              <w:rPr>
                <w:rFonts w:ascii="宋体" w:hAnsi="宋体" w:cs="宋体" w:eastAsia="宋体" w:hint="default"/>
                <w:spacing w:val="-6"/>
                <w:sz w:val="18"/>
                <w:szCs w:val="18"/>
              </w:rPr>
              <w:t>政纠纷一案，对专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利复审委员会所 做出第</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27698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号无 效宣告审查决定</w:t>
            </w:r>
          </w:p>
          <w:p>
            <w:pPr>
              <w:pStyle w:val="TableParagraph"/>
              <w:spacing w:line="316" w:lineRule="auto" w:before="23"/>
              <w:ind w:left="15" w:right="-14"/>
              <w:jc w:val="left"/>
              <w:rPr>
                <w:rFonts w:ascii="宋体" w:hAnsi="宋体" w:cs="宋体" w:eastAsia="宋体" w:hint="default"/>
                <w:sz w:val="18"/>
                <w:szCs w:val="18"/>
              </w:rPr>
            </w:pPr>
            <w:r>
              <w:rPr>
                <w:rFonts w:ascii="宋体" w:hAnsi="宋体" w:cs="宋体" w:eastAsia="宋体" w:hint="default"/>
                <w:spacing w:val="-6"/>
                <w:sz w:val="18"/>
                <w:szCs w:val="18"/>
              </w:rPr>
              <w:t>不服，向北京知识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产权法院提出行 </w:t>
            </w:r>
            <w:r>
              <w:rPr>
                <w:rFonts w:ascii="宋体" w:hAnsi="宋体" w:cs="宋体" w:eastAsia="宋体" w:hint="default"/>
                <w:spacing w:val="-6"/>
                <w:sz w:val="18"/>
                <w:szCs w:val="18"/>
              </w:rPr>
              <w:t>政诉讼，公司作为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第三人参加诉讼。</w:t>
            </w:r>
          </w:p>
          <w:p>
            <w:pPr>
              <w:pStyle w:val="TableParagraph"/>
              <w:spacing w:line="312" w:lineRule="auto" w:before="37"/>
              <w:ind w:left="15" w:right="13"/>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 北京知识产权法 院判决被告专利 复审委员会撤销 第</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27698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号无效宣 </w:t>
            </w:r>
            <w:r>
              <w:rPr>
                <w:rFonts w:ascii="宋体" w:hAnsi="宋体" w:cs="宋体" w:eastAsia="宋体" w:hint="default"/>
                <w:spacing w:val="-6"/>
                <w:sz w:val="18"/>
                <w:szCs w:val="18"/>
              </w:rPr>
              <w:t>告审查决定，判令</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被告重新做出审 </w:t>
            </w:r>
            <w:r>
              <w:rPr>
                <w:rFonts w:ascii="宋体" w:hAnsi="宋体" w:cs="宋体" w:eastAsia="宋体" w:hint="default"/>
                <w:spacing w:val="-6"/>
                <w:sz w:val="18"/>
                <w:szCs w:val="18"/>
              </w:rPr>
              <w:t>查决定。公司对一</w:t>
            </w:r>
          </w:p>
          <w:p>
            <w:pPr>
              <w:pStyle w:val="TableParagraph"/>
              <w:spacing w:line="304" w:lineRule="auto" w:before="26"/>
              <w:ind w:left="15" w:right="29"/>
              <w:jc w:val="left"/>
              <w:rPr>
                <w:rFonts w:ascii="宋体" w:hAnsi="宋体" w:cs="宋体" w:eastAsia="宋体" w:hint="default"/>
                <w:sz w:val="18"/>
                <w:szCs w:val="18"/>
              </w:rPr>
            </w:pPr>
            <w:r>
              <w:rPr>
                <w:rFonts w:ascii="宋体" w:hAnsi="宋体" w:cs="宋体" w:eastAsia="宋体" w:hint="default"/>
                <w:spacing w:val="-6"/>
                <w:sz w:val="18"/>
                <w:szCs w:val="18"/>
              </w:rPr>
              <w:t>审判决不服，上诉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至北京市高院。</w:t>
            </w:r>
          </w:p>
        </w:tc>
        <w:tc>
          <w:tcPr>
            <w:tcW w:w="518" w:type="dxa"/>
            <w:tcBorders>
              <w:top w:val="single" w:sz="6" w:space="0" w:color="000000"/>
              <w:left w:val="single" w:sz="6" w:space="0" w:color="000000"/>
              <w:bottom w:val="single" w:sz="6" w:space="0" w:color="000000"/>
              <w:right w:val="nil" w:sz="6" w:space="0" w:color="auto"/>
            </w:tcBorders>
          </w:tcPr>
          <w:p>
            <w:pPr/>
          </w:p>
        </w:tc>
        <w:tc>
          <w:tcPr>
            <w:tcW w:w="563"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14"/>
              <w:jc w:val="right"/>
              <w:rPr>
                <w:rFonts w:ascii="Times New Roman" w:hAnsi="Times New Roman" w:cs="Times New Roman" w:eastAsia="Times New Roman" w:hint="default"/>
                <w:sz w:val="18"/>
                <w:szCs w:val="18"/>
              </w:rPr>
            </w:pPr>
            <w:r>
              <w:rPr>
                <w:rFonts w:ascii="Times New Roman"/>
                <w:sz w:val="18"/>
              </w:rPr>
              <w:t>0</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343" w:lineRule="auto"/>
              <w:ind w:left="30" w:right="194"/>
              <w:jc w:val="left"/>
              <w:rPr>
                <w:rFonts w:ascii="Times New Roman" w:hAnsi="Times New Roman" w:cs="Times New Roman" w:eastAsia="Times New Roman" w:hint="default"/>
                <w:sz w:val="18"/>
                <w:szCs w:val="18"/>
              </w:rPr>
            </w:pPr>
            <w:r>
              <w:rPr>
                <w:rFonts w:ascii="宋体" w:hAnsi="宋体" w:cs="宋体" w:eastAsia="宋体" w:hint="default"/>
                <w:sz w:val="18"/>
                <w:szCs w:val="18"/>
              </w:rPr>
              <w:t>二审已开 庭， </w:t>
            </w:r>
            <w:r>
              <w:rPr>
                <w:rFonts w:ascii="Times New Roman" w:hAnsi="Times New Roman" w:cs="Times New Roman" w:eastAsia="Times New Roman" w:hint="default"/>
                <w:sz w:val="18"/>
                <w:szCs w:val="18"/>
              </w:rPr>
              <w:t>2018.7.27</w:t>
            </w:r>
          </w:p>
          <w:p>
            <w:pPr>
              <w:pStyle w:val="TableParagraph"/>
              <w:spacing w:line="201" w:lineRule="exact"/>
              <w:ind w:left="30" w:right="0"/>
              <w:jc w:val="left"/>
              <w:rPr>
                <w:rFonts w:ascii="宋体" w:hAnsi="宋体" w:cs="宋体" w:eastAsia="宋体" w:hint="default"/>
                <w:sz w:val="18"/>
                <w:szCs w:val="18"/>
              </w:rPr>
            </w:pPr>
            <w:r>
              <w:rPr>
                <w:rFonts w:ascii="宋体" w:hAnsi="宋体" w:cs="宋体" w:eastAsia="宋体" w:hint="default"/>
                <w:sz w:val="18"/>
                <w:szCs w:val="18"/>
              </w:rPr>
              <w:t>收到二审</w:t>
            </w:r>
          </w:p>
          <w:p>
            <w:pPr>
              <w:pStyle w:val="TableParagraph"/>
              <w:spacing w:line="319" w:lineRule="auto" w:before="80"/>
              <w:ind w:left="30" w:right="14"/>
              <w:jc w:val="left"/>
              <w:rPr>
                <w:rFonts w:ascii="宋体" w:hAnsi="宋体" w:cs="宋体" w:eastAsia="宋体" w:hint="default"/>
                <w:sz w:val="18"/>
                <w:szCs w:val="18"/>
              </w:rPr>
            </w:pPr>
            <w:r>
              <w:rPr>
                <w:rFonts w:ascii="宋体" w:hAnsi="宋体" w:cs="宋体" w:eastAsia="宋体" w:hint="default"/>
                <w:sz w:val="18"/>
                <w:szCs w:val="18"/>
              </w:rPr>
              <w:t>行政裁定： 撤销北京 知识产权 法院的行 政判决、发 回重审。</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61"/>
              <w:ind w:left="15" w:right="104"/>
              <w:jc w:val="both"/>
              <w:rPr>
                <w:rFonts w:ascii="宋体" w:hAnsi="宋体" w:cs="宋体" w:eastAsia="宋体" w:hint="default"/>
                <w:sz w:val="18"/>
                <w:szCs w:val="18"/>
              </w:rPr>
            </w:pPr>
            <w:r>
              <w:rPr>
                <w:rFonts w:ascii="宋体" w:hAnsi="宋体" w:cs="宋体" w:eastAsia="宋体" w:hint="default"/>
                <w:sz w:val="18"/>
                <w:szCs w:val="18"/>
              </w:rPr>
              <w:t>截止本公告日， 该案发回一审重 </w:t>
            </w:r>
            <w:r>
              <w:rPr>
                <w:rFonts w:ascii="宋体" w:hAnsi="宋体" w:cs="宋体" w:eastAsia="宋体" w:hint="default"/>
                <w:spacing w:val="-3"/>
                <w:sz w:val="18"/>
                <w:szCs w:val="18"/>
              </w:rPr>
              <w:t>审后，尚未开庭</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w:t>
            </w:r>
          </w:p>
          <w:p>
            <w:pPr>
              <w:pStyle w:val="TableParagraph"/>
              <w:spacing w:line="240" w:lineRule="auto" w:before="64"/>
              <w:ind w:left="-137" w:right="0"/>
              <w:jc w:val="left"/>
              <w:rPr>
                <w:rFonts w:ascii="宋体" w:hAnsi="宋体" w:cs="宋体" w:eastAsia="宋体" w:hint="default"/>
                <w:sz w:val="18"/>
                <w:szCs w:val="18"/>
              </w:rPr>
            </w:pPr>
            <w:r>
              <w:rPr>
                <w:rFonts w:ascii="宋体" w:hAnsi="宋体" w:cs="宋体" w:eastAsia="宋体" w:hint="default"/>
                <w:sz w:val="18"/>
                <w:szCs w:val="18"/>
              </w:rPr>
              <w:t>。</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30"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4" w:lineRule="auto" w:before="161"/>
              <w:ind w:left="30" w:right="39"/>
              <w:jc w:val="both"/>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r>
              <w:rPr>
                <w:rFonts w:ascii="Times New Roman" w:hAnsi="Times New Roman" w:cs="Times New Roman" w:eastAsia="Times New Roman" w:hint="default"/>
                <w:sz w:val="18"/>
                <w:szCs w:val="18"/>
              </w:rPr>
              <w:t>http://www.c ninfo.com.cn/</w:t>
            </w:r>
          </w:p>
        </w:tc>
      </w:tr>
      <w:tr>
        <w:trPr>
          <w:trHeight w:val="5044" w:hRule="exact"/>
        </w:trPr>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304" w:lineRule="auto"/>
              <w:ind w:left="15" w:right="29"/>
              <w:jc w:val="left"/>
              <w:rPr>
                <w:rFonts w:ascii="宋体" w:hAnsi="宋体" w:cs="宋体" w:eastAsia="宋体" w:hint="default"/>
                <w:sz w:val="18"/>
                <w:szCs w:val="18"/>
              </w:rPr>
            </w:pPr>
            <w:r>
              <w:rPr>
                <w:rFonts w:ascii="宋体" w:hAnsi="宋体" w:cs="宋体" w:eastAsia="宋体" w:hint="default"/>
                <w:sz w:val="18"/>
                <w:szCs w:val="18"/>
              </w:rPr>
              <w:t>专利复审委员会 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日就公司第</w:t>
            </w:r>
          </w:p>
          <w:p>
            <w:pPr>
              <w:pStyle w:val="TableParagraph"/>
              <w:spacing w:line="240" w:lineRule="auto" w:before="88"/>
              <w:ind w:left="15" w:right="0"/>
              <w:jc w:val="left"/>
              <w:rPr>
                <w:rFonts w:ascii="Times New Roman" w:hAnsi="Times New Roman" w:cs="Times New Roman" w:eastAsia="Times New Roman" w:hint="default"/>
                <w:sz w:val="18"/>
                <w:szCs w:val="18"/>
              </w:rPr>
            </w:pPr>
            <w:r>
              <w:rPr>
                <w:rFonts w:ascii="Times New Roman"/>
                <w:sz w:val="18"/>
              </w:rPr>
              <w:t>200610114238.2</w:t>
            </w:r>
          </w:p>
          <w:p>
            <w:pPr>
              <w:pStyle w:val="TableParagraph"/>
              <w:spacing w:line="314" w:lineRule="auto" w:before="51"/>
              <w:ind w:left="15" w:right="-14"/>
              <w:jc w:val="left"/>
              <w:rPr>
                <w:rFonts w:ascii="宋体" w:hAnsi="宋体" w:cs="宋体" w:eastAsia="宋体" w:hint="default"/>
                <w:sz w:val="18"/>
                <w:szCs w:val="18"/>
              </w:rPr>
            </w:pPr>
            <w:r>
              <w:rPr>
                <w:rFonts w:ascii="宋体" w:hAnsi="宋体" w:cs="宋体" w:eastAsia="宋体" w:hint="default"/>
                <w:sz w:val="18"/>
                <w:szCs w:val="18"/>
              </w:rPr>
              <w:t>号专利作出第 </w:t>
            </w:r>
            <w:r>
              <w:rPr>
                <w:rFonts w:ascii="Times New Roman" w:hAnsi="Times New Roman" w:cs="Times New Roman" w:eastAsia="Times New Roman" w:hint="default"/>
                <w:sz w:val="18"/>
                <w:szCs w:val="18"/>
              </w:rPr>
              <w:t>28304 </w:t>
            </w:r>
            <w:r>
              <w:rPr>
                <w:rFonts w:ascii="宋体" w:hAnsi="宋体" w:cs="宋体" w:eastAsia="宋体" w:hint="default"/>
                <w:sz w:val="18"/>
                <w:szCs w:val="18"/>
              </w:rPr>
              <w:t>号无效宣告 请求审查决定书， 公司不服该无效 </w:t>
            </w:r>
            <w:r>
              <w:rPr>
                <w:rFonts w:ascii="宋体" w:hAnsi="宋体" w:cs="宋体" w:eastAsia="宋体" w:hint="default"/>
                <w:spacing w:val="-6"/>
                <w:sz w:val="18"/>
                <w:szCs w:val="18"/>
              </w:rPr>
              <w:t>宣告决定书，向北</w:t>
            </w:r>
          </w:p>
          <w:p>
            <w:pPr>
              <w:pStyle w:val="TableParagraph"/>
              <w:spacing w:line="314" w:lineRule="auto" w:before="23"/>
              <w:ind w:left="15" w:right="13"/>
              <w:jc w:val="left"/>
              <w:rPr>
                <w:rFonts w:ascii="宋体" w:hAnsi="宋体" w:cs="宋体" w:eastAsia="宋体" w:hint="default"/>
                <w:sz w:val="18"/>
                <w:szCs w:val="18"/>
              </w:rPr>
            </w:pPr>
            <w:r>
              <w:rPr>
                <w:rFonts w:ascii="宋体" w:hAnsi="宋体" w:cs="宋体" w:eastAsia="宋体" w:hint="default"/>
                <w:sz w:val="18"/>
                <w:szCs w:val="18"/>
              </w:rPr>
              <w:t>京知识产权法院 </w:t>
            </w:r>
            <w:r>
              <w:rPr>
                <w:rFonts w:ascii="宋体" w:hAnsi="宋体" w:cs="宋体" w:eastAsia="宋体" w:hint="default"/>
                <w:spacing w:val="-6"/>
                <w:sz w:val="18"/>
                <w:szCs w:val="18"/>
              </w:rPr>
              <w:t>提起行政诉讼，请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求法院判决撤销</w:t>
            </w:r>
          </w:p>
          <w:p>
            <w:pPr>
              <w:pStyle w:val="TableParagraph"/>
              <w:spacing w:line="304" w:lineRule="auto" w:before="39"/>
              <w:ind w:left="15" w:right="13"/>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28304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号无效宣 告请求审查决定 书。</w:t>
            </w:r>
          </w:p>
        </w:tc>
        <w:tc>
          <w:tcPr>
            <w:tcW w:w="10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right="14"/>
              <w:jc w:val="right"/>
              <w:rPr>
                <w:rFonts w:ascii="Times New Roman" w:hAnsi="Times New Roman" w:cs="Times New Roman" w:eastAsia="Times New Roman" w:hint="default"/>
                <w:sz w:val="18"/>
                <w:szCs w:val="18"/>
              </w:rPr>
            </w:pPr>
            <w:r>
              <w:rPr>
                <w:rFonts w:ascii="Times New Roman"/>
                <w:sz w:val="18"/>
              </w:rPr>
              <w:t>0</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312" w:lineRule="auto" w:before="51"/>
              <w:ind w:left="30"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pacing w:val="-12"/>
                <w:sz w:val="18"/>
                <w:szCs w:val="18"/>
              </w:rPr>
              <w:t>月，北京</w:t>
            </w:r>
            <w:r>
              <w:rPr>
                <w:rFonts w:ascii="宋体" w:hAnsi="宋体" w:cs="宋体" w:eastAsia="宋体" w:hint="default"/>
                <w:sz w:val="18"/>
                <w:szCs w:val="18"/>
              </w:rPr>
              <w:t> 知识产权 法院作出 一审判决： 驳回原告 飞天诚信</w:t>
            </w:r>
          </w:p>
          <w:p>
            <w:pPr>
              <w:pStyle w:val="TableParagraph"/>
              <w:spacing w:line="343" w:lineRule="auto" w:before="26"/>
              <w:ind w:left="30" w:right="104"/>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公司的诉 讼请求。 </w:t>
            </w:r>
            <w:r>
              <w:rPr>
                <w:rFonts w:ascii="Times New Roman" w:hAnsi="Times New Roman" w:cs="Times New Roman" w:eastAsia="Times New Roman" w:hint="default"/>
                <w:sz w:val="18"/>
                <w:szCs w:val="18"/>
              </w:rPr>
              <w:t>2018.12.10</w:t>
            </w:r>
          </w:p>
          <w:p>
            <w:pPr>
              <w:pStyle w:val="TableParagraph"/>
              <w:spacing w:line="201" w:lineRule="exact"/>
              <w:ind w:left="30" w:right="0"/>
              <w:jc w:val="left"/>
              <w:rPr>
                <w:rFonts w:ascii="宋体" w:hAnsi="宋体" w:cs="宋体" w:eastAsia="宋体" w:hint="default"/>
                <w:sz w:val="18"/>
                <w:szCs w:val="18"/>
              </w:rPr>
            </w:pPr>
            <w:r>
              <w:rPr>
                <w:rFonts w:ascii="宋体" w:hAnsi="宋体" w:cs="宋体" w:eastAsia="宋体" w:hint="default"/>
                <w:sz w:val="18"/>
                <w:szCs w:val="18"/>
              </w:rPr>
              <w:t>飞天诚信</w:t>
            </w:r>
          </w:p>
          <w:p>
            <w:pPr>
              <w:pStyle w:val="TableParagraph"/>
              <w:spacing w:line="316" w:lineRule="exact" w:before="37"/>
              <w:ind w:left="30" w:right="194"/>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公司提交 行诉上诉 状。 </w:t>
            </w:r>
            <w:r>
              <w:rPr>
                <w:rFonts w:ascii="Times New Roman" w:hAnsi="Times New Roman" w:cs="Times New Roman" w:eastAsia="Times New Roman" w:hint="default"/>
                <w:sz w:val="18"/>
                <w:szCs w:val="18"/>
              </w:rPr>
              <w:t>2019.7.10</w:t>
            </w:r>
          </w:p>
          <w:p>
            <w:pPr>
              <w:pStyle w:val="TableParagraph"/>
              <w:spacing w:line="240" w:lineRule="auto" w:before="26"/>
              <w:ind w:left="30" w:right="0"/>
              <w:jc w:val="left"/>
              <w:rPr>
                <w:rFonts w:ascii="宋体" w:hAnsi="宋体" w:cs="宋体" w:eastAsia="宋体" w:hint="default"/>
                <w:sz w:val="18"/>
                <w:szCs w:val="18"/>
              </w:rPr>
            </w:pPr>
            <w:r>
              <w:rPr>
                <w:rFonts w:ascii="宋体" w:hAnsi="宋体" w:cs="宋体" w:eastAsia="宋体" w:hint="default"/>
                <w:sz w:val="18"/>
                <w:szCs w:val="18"/>
              </w:rPr>
              <w:t>行政诉讼</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321" w:lineRule="auto"/>
              <w:ind w:left="15" w:right="104"/>
              <w:jc w:val="both"/>
              <w:rPr>
                <w:rFonts w:ascii="宋体" w:hAnsi="宋体" w:cs="宋体" w:eastAsia="宋体" w:hint="default"/>
                <w:sz w:val="18"/>
                <w:szCs w:val="18"/>
              </w:rPr>
            </w:pPr>
            <w:r>
              <w:rPr>
                <w:rFonts w:ascii="宋体" w:hAnsi="宋体" w:cs="宋体" w:eastAsia="宋体" w:hint="default"/>
                <w:sz w:val="18"/>
                <w:szCs w:val="18"/>
              </w:rPr>
              <w:t>截止本公告日， 该案尚未审理终 结。</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30"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5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372" w:lineRule="auto"/>
              <w:ind w:left="30" w:right="39"/>
              <w:jc w:val="both"/>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r>
              <w:rPr>
                <w:rFonts w:ascii="Times New Roman" w:hAnsi="Times New Roman" w:cs="Times New Roman" w:eastAsia="Times New Roman" w:hint="default"/>
                <w:sz w:val="18"/>
                <w:szCs w:val="18"/>
              </w:rPr>
              <w:t>http://www.c ninfo.com.cn/</w:t>
            </w:r>
          </w:p>
        </w:tc>
      </w:tr>
    </w:tbl>
    <w:p>
      <w:pPr>
        <w:spacing w:after="0" w:line="372" w:lineRule="auto"/>
        <w:jc w:val="both"/>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457"/>
        <w:gridCol w:w="1082"/>
        <w:gridCol w:w="1261"/>
        <w:gridCol w:w="962"/>
        <w:gridCol w:w="1396"/>
        <w:gridCol w:w="1261"/>
        <w:gridCol w:w="1082"/>
        <w:gridCol w:w="1081"/>
      </w:tblGrid>
      <w:tr>
        <w:trPr>
          <w:trHeight w:val="360" w:hRule="exact"/>
        </w:trPr>
        <w:tc>
          <w:tcPr>
            <w:tcW w:w="1457" w:type="dxa"/>
            <w:tcBorders>
              <w:top w:val="single" w:sz="6" w:space="0" w:color="000000"/>
              <w:left w:val="single" w:sz="6" w:space="0" w:color="000000"/>
              <w:bottom w:val="single" w:sz="6" w:space="0" w:color="000000"/>
              <w:right w:val="single" w:sz="6" w:space="0" w:color="000000"/>
            </w:tcBorders>
          </w:tcPr>
          <w:p>
            <w:pPr/>
          </w:p>
        </w:tc>
        <w:tc>
          <w:tcPr>
            <w:tcW w:w="1082" w:type="dxa"/>
            <w:tcBorders>
              <w:top w:val="single" w:sz="6" w:space="0" w:color="000000"/>
              <w:left w:val="single" w:sz="6" w:space="0" w:color="000000"/>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6" w:space="0" w:color="000000"/>
            </w:tcBorders>
          </w:tcPr>
          <w:p>
            <w:pP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0" w:right="0"/>
              <w:jc w:val="left"/>
              <w:rPr>
                <w:rFonts w:ascii="宋体" w:hAnsi="宋体" w:cs="宋体" w:eastAsia="宋体" w:hint="default"/>
                <w:sz w:val="18"/>
                <w:szCs w:val="18"/>
              </w:rPr>
            </w:pPr>
            <w:r>
              <w:rPr>
                <w:rFonts w:ascii="宋体" w:hAnsi="宋体" w:cs="宋体" w:eastAsia="宋体" w:hint="default"/>
                <w:sz w:val="18"/>
                <w:szCs w:val="18"/>
              </w:rPr>
              <w:t>二审谈话。</w:t>
            </w:r>
          </w:p>
        </w:tc>
        <w:tc>
          <w:tcPr>
            <w:tcW w:w="1396" w:type="dxa"/>
            <w:tcBorders>
              <w:top w:val="single" w:sz="6" w:space="0" w:color="000000"/>
              <w:left w:val="single" w:sz="6" w:space="0" w:color="000000"/>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6" w:space="0" w:color="000000"/>
            </w:tcBorders>
          </w:tcPr>
          <w:p>
            <w:pPr/>
          </w:p>
        </w:tc>
        <w:tc>
          <w:tcPr>
            <w:tcW w:w="1082"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
        </w:tc>
      </w:tr>
      <w:tr>
        <w:trPr>
          <w:trHeight w:val="4774" w:hRule="exact"/>
        </w:trPr>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14"/>
              <w:jc w:val="left"/>
              <w:rPr>
                <w:rFonts w:ascii="Times New Roman" w:hAnsi="Times New Roman" w:cs="Times New Roman" w:eastAsia="Times New Roman" w:hint="default"/>
                <w:sz w:val="18"/>
                <w:szCs w:val="18"/>
              </w:rPr>
            </w:pPr>
            <w:r>
              <w:rPr>
                <w:rFonts w:ascii="宋体" w:hAnsi="宋体" w:cs="宋体" w:eastAsia="宋体" w:hint="default"/>
                <w:sz w:val="18"/>
                <w:szCs w:val="18"/>
              </w:rPr>
              <w:t>专利复审委员会 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22</w:t>
            </w:r>
          </w:p>
          <w:p>
            <w:pPr>
              <w:pStyle w:val="TableParagraph"/>
              <w:spacing w:line="219" w:lineRule="exact"/>
              <w:ind w:left="15" w:right="0"/>
              <w:jc w:val="left"/>
              <w:rPr>
                <w:rFonts w:ascii="宋体" w:hAnsi="宋体" w:cs="宋体" w:eastAsia="宋体" w:hint="default"/>
                <w:sz w:val="18"/>
                <w:szCs w:val="18"/>
              </w:rPr>
            </w:pPr>
            <w:r>
              <w:rPr>
                <w:rFonts w:ascii="宋体" w:hAnsi="宋体" w:cs="宋体" w:eastAsia="宋体" w:hint="default"/>
                <w:sz w:val="18"/>
                <w:szCs w:val="18"/>
              </w:rPr>
              <w:t>日就公司第</w:t>
            </w:r>
          </w:p>
          <w:p>
            <w:pPr>
              <w:pStyle w:val="TableParagraph"/>
              <w:spacing w:line="240" w:lineRule="auto" w:before="136"/>
              <w:ind w:left="15" w:right="0"/>
              <w:jc w:val="left"/>
              <w:rPr>
                <w:rFonts w:ascii="Times New Roman" w:hAnsi="Times New Roman" w:cs="Times New Roman" w:eastAsia="Times New Roman" w:hint="default"/>
                <w:sz w:val="18"/>
                <w:szCs w:val="18"/>
              </w:rPr>
            </w:pPr>
            <w:r>
              <w:rPr>
                <w:rFonts w:ascii="Times New Roman"/>
                <w:sz w:val="18"/>
              </w:rPr>
              <w:t>200910089302.X</w:t>
            </w:r>
          </w:p>
          <w:p>
            <w:pPr>
              <w:pStyle w:val="TableParagraph"/>
              <w:spacing w:line="314" w:lineRule="auto" w:before="51"/>
              <w:ind w:left="15" w:right="-14"/>
              <w:jc w:val="left"/>
              <w:rPr>
                <w:rFonts w:ascii="宋体" w:hAnsi="宋体" w:cs="宋体" w:eastAsia="宋体" w:hint="default"/>
                <w:sz w:val="18"/>
                <w:szCs w:val="18"/>
              </w:rPr>
            </w:pPr>
            <w:r>
              <w:rPr>
                <w:rFonts w:ascii="宋体" w:hAnsi="宋体" w:cs="宋体" w:eastAsia="宋体" w:hint="default"/>
                <w:sz w:val="18"/>
                <w:szCs w:val="18"/>
              </w:rPr>
              <w:t>号专利作出第 </w:t>
            </w:r>
            <w:r>
              <w:rPr>
                <w:rFonts w:ascii="Times New Roman" w:hAnsi="Times New Roman" w:cs="Times New Roman" w:eastAsia="Times New Roman" w:hint="default"/>
                <w:sz w:val="18"/>
                <w:szCs w:val="18"/>
              </w:rPr>
              <w:t>38007 </w:t>
            </w:r>
            <w:r>
              <w:rPr>
                <w:rFonts w:ascii="宋体" w:hAnsi="宋体" w:cs="宋体" w:eastAsia="宋体" w:hint="default"/>
                <w:sz w:val="18"/>
                <w:szCs w:val="18"/>
              </w:rPr>
              <w:t>号无效宣告 请求审查决定书， 飞天诚信公司不 服该无效宣告决</w:t>
            </w:r>
          </w:p>
          <w:p>
            <w:pPr>
              <w:pStyle w:val="TableParagraph"/>
              <w:spacing w:line="314" w:lineRule="auto" w:before="24"/>
              <w:ind w:left="15" w:right="28"/>
              <w:jc w:val="left"/>
              <w:rPr>
                <w:rFonts w:ascii="宋体" w:hAnsi="宋体" w:cs="宋体" w:eastAsia="宋体" w:hint="default"/>
                <w:sz w:val="18"/>
                <w:szCs w:val="18"/>
              </w:rPr>
            </w:pPr>
            <w:r>
              <w:rPr>
                <w:rFonts w:ascii="宋体" w:hAnsi="宋体" w:cs="宋体" w:eastAsia="宋体" w:hint="default"/>
                <w:spacing w:val="-6"/>
                <w:sz w:val="18"/>
                <w:szCs w:val="18"/>
              </w:rPr>
              <w:t>定书，向北京知识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产权法院提起行 </w:t>
            </w:r>
            <w:r>
              <w:rPr>
                <w:rFonts w:ascii="宋体" w:hAnsi="宋体" w:cs="宋体" w:eastAsia="宋体" w:hint="default"/>
                <w:spacing w:val="-6"/>
                <w:sz w:val="18"/>
                <w:szCs w:val="18"/>
              </w:rPr>
              <w:t>政诉讼，请求法院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判决撤销第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38007 </w:t>
            </w:r>
            <w:r>
              <w:rPr>
                <w:rFonts w:ascii="宋体" w:hAnsi="宋体" w:cs="宋体" w:eastAsia="宋体" w:hint="default"/>
                <w:sz w:val="18"/>
                <w:szCs w:val="18"/>
              </w:rPr>
              <w:t>号无效宣告请求</w:t>
            </w:r>
          </w:p>
          <w:p>
            <w:pPr>
              <w:pStyle w:val="TableParagraph"/>
              <w:spacing w:line="240" w:lineRule="auto" w:before="23"/>
              <w:ind w:left="15" w:right="0"/>
              <w:jc w:val="left"/>
              <w:rPr>
                <w:rFonts w:ascii="宋体" w:hAnsi="宋体" w:cs="宋体" w:eastAsia="宋体" w:hint="default"/>
                <w:sz w:val="18"/>
                <w:szCs w:val="18"/>
              </w:rPr>
            </w:pPr>
            <w:r>
              <w:rPr>
                <w:rFonts w:ascii="宋体" w:hAnsi="宋体" w:cs="宋体" w:eastAsia="宋体" w:hint="default"/>
                <w:sz w:val="18"/>
                <w:szCs w:val="18"/>
              </w:rPr>
              <w:t>审查决定书。</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both"/>
              <w:rPr>
                <w:rFonts w:ascii="Times New Roman" w:hAnsi="Times New Roman" w:cs="Times New Roman" w:eastAsia="Times New Roman" w:hint="default"/>
                <w:sz w:val="18"/>
                <w:szCs w:val="18"/>
              </w:rPr>
            </w:pPr>
            <w:r>
              <w:rPr>
                <w:rFonts w:ascii="Times New Roman"/>
                <w:sz w:val="18"/>
              </w:rPr>
              <w:t>2019.2.28</w:t>
            </w:r>
          </w:p>
          <w:p>
            <w:pPr>
              <w:pStyle w:val="TableParagraph"/>
              <w:spacing w:line="321" w:lineRule="auto" w:before="36"/>
              <w:ind w:left="30" w:right="194"/>
              <w:jc w:val="both"/>
              <w:rPr>
                <w:rFonts w:ascii="宋体" w:hAnsi="宋体" w:cs="宋体" w:eastAsia="宋体" w:hint="default"/>
                <w:sz w:val="18"/>
                <w:szCs w:val="18"/>
              </w:rPr>
            </w:pPr>
            <w:r>
              <w:rPr>
                <w:rFonts w:ascii="宋体" w:hAnsi="宋体" w:cs="宋体" w:eastAsia="宋体" w:hint="default"/>
                <w:sz w:val="18"/>
                <w:szCs w:val="18"/>
              </w:rPr>
              <w:t>飞天诚信 公司提交 无效行政 诉讼起诉 状。</w:t>
            </w:r>
          </w:p>
          <w:p>
            <w:pPr>
              <w:pStyle w:val="TableParagraph"/>
              <w:spacing w:line="240" w:lineRule="auto" w:before="61"/>
              <w:ind w:left="30" w:right="0"/>
              <w:jc w:val="both"/>
              <w:rPr>
                <w:rFonts w:ascii="Times New Roman" w:hAnsi="Times New Roman" w:cs="Times New Roman" w:eastAsia="Times New Roman" w:hint="default"/>
                <w:sz w:val="18"/>
                <w:szCs w:val="18"/>
              </w:rPr>
            </w:pPr>
            <w:r>
              <w:rPr>
                <w:rFonts w:ascii="Times New Roman"/>
                <w:sz w:val="18"/>
              </w:rPr>
              <w:t>2019.9.25</w:t>
            </w:r>
          </w:p>
          <w:p>
            <w:pPr>
              <w:pStyle w:val="TableParagraph"/>
              <w:spacing w:line="316" w:lineRule="auto" w:before="51"/>
              <w:ind w:left="30" w:right="194"/>
              <w:jc w:val="both"/>
              <w:rPr>
                <w:rFonts w:ascii="宋体" w:hAnsi="宋体" w:cs="宋体" w:eastAsia="宋体" w:hint="default"/>
                <w:sz w:val="18"/>
                <w:szCs w:val="18"/>
              </w:rPr>
            </w:pPr>
            <w:r>
              <w:rPr>
                <w:rFonts w:ascii="宋体" w:hAnsi="宋体" w:cs="宋体" w:eastAsia="宋体" w:hint="default"/>
                <w:sz w:val="18"/>
                <w:szCs w:val="18"/>
              </w:rPr>
              <w:t>涉案专利 第二次无 效行政诉 讼一审开 庭审理。</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4" w:lineRule="auto"/>
              <w:ind w:left="15" w:right="104"/>
              <w:jc w:val="both"/>
              <w:rPr>
                <w:rFonts w:ascii="宋体" w:hAnsi="宋体" w:cs="宋体" w:eastAsia="宋体" w:hint="default"/>
                <w:sz w:val="18"/>
                <w:szCs w:val="18"/>
              </w:rPr>
            </w:pPr>
            <w:r>
              <w:rPr>
                <w:rFonts w:ascii="宋体" w:hAnsi="宋体" w:cs="宋体" w:eastAsia="宋体" w:hint="default"/>
                <w:sz w:val="18"/>
                <w:szCs w:val="18"/>
              </w:rPr>
              <w:t>截止本公告日， 该案尚未审理终 结。</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30"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5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64" w:lineRule="auto"/>
              <w:ind w:left="30" w:right="39"/>
              <w:jc w:val="both"/>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r>
              <w:rPr>
                <w:rFonts w:ascii="Times New Roman" w:hAnsi="Times New Roman" w:cs="Times New Roman" w:eastAsia="Times New Roman" w:hint="default"/>
                <w:sz w:val="18"/>
                <w:szCs w:val="18"/>
              </w:rPr>
              <w:t>http://www.c ninfo.com.cn/</w:t>
            </w:r>
          </w:p>
        </w:tc>
      </w:tr>
      <w:tr>
        <w:trPr>
          <w:trHeight w:val="7266" w:hRule="exact"/>
        </w:trPr>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59"/>
              <w:ind w:left="15"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月，子 公司上海温鼎投</w:t>
            </w:r>
          </w:p>
          <w:p>
            <w:pPr>
              <w:pStyle w:val="TableParagraph"/>
              <w:spacing w:line="290" w:lineRule="auto" w:before="67"/>
              <w:ind w:left="15" w:right="43"/>
              <w:jc w:val="left"/>
              <w:rPr>
                <w:rFonts w:ascii="宋体" w:hAnsi="宋体" w:cs="宋体" w:eastAsia="宋体" w:hint="default"/>
                <w:sz w:val="18"/>
                <w:szCs w:val="18"/>
              </w:rPr>
            </w:pPr>
            <w:r>
              <w:rPr>
                <w:rFonts w:ascii="宋体" w:hAnsi="宋体" w:cs="宋体" w:eastAsia="宋体" w:hint="default"/>
                <w:sz w:val="18"/>
                <w:szCs w:val="18"/>
              </w:rPr>
              <w:t>资中心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 </w:t>
            </w:r>
            <w:r>
              <w:rPr>
                <w:rFonts w:ascii="宋体" w:hAnsi="宋体" w:cs="宋体" w:eastAsia="宋体" w:hint="default"/>
                <w:sz w:val="18"/>
                <w:szCs w:val="18"/>
              </w:rPr>
              <w:t>因与掌上纵横信</w:t>
            </w:r>
          </w:p>
          <w:p>
            <w:pPr>
              <w:pStyle w:val="TableParagraph"/>
              <w:spacing w:line="288" w:lineRule="auto" w:before="56"/>
              <w:ind w:left="15" w:right="105"/>
              <w:jc w:val="both"/>
              <w:rPr>
                <w:rFonts w:ascii="宋体" w:hAnsi="宋体" w:cs="宋体" w:eastAsia="宋体" w:hint="default"/>
                <w:sz w:val="18"/>
                <w:szCs w:val="18"/>
              </w:rPr>
            </w:pPr>
            <w:r>
              <w:rPr>
                <w:rFonts w:ascii="宋体" w:hAnsi="宋体" w:cs="宋体" w:eastAsia="宋体" w:hint="default"/>
                <w:sz w:val="18"/>
                <w:szCs w:val="18"/>
              </w:rPr>
              <w:t>息技术</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 </w:t>
            </w:r>
            <w:r>
              <w:rPr>
                <w:rFonts w:ascii="宋体" w:hAnsi="宋体" w:cs="宋体" w:eastAsia="宋体" w:hint="default"/>
                <w:sz w:val="18"/>
                <w:szCs w:val="18"/>
              </w:rPr>
              <w:t>股 份有限公司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以 下简称掌上纵横</w:t>
            </w:r>
          </w:p>
          <w:p>
            <w:pPr>
              <w:pStyle w:val="TableParagraph"/>
              <w:spacing w:line="312" w:lineRule="auto" w:before="59"/>
              <w:ind w:left="15" w:right="29"/>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的股东股权 </w:t>
            </w:r>
            <w:r>
              <w:rPr>
                <w:rFonts w:ascii="宋体" w:hAnsi="宋体" w:cs="宋体" w:eastAsia="宋体" w:hint="default"/>
                <w:spacing w:val="-6"/>
                <w:sz w:val="18"/>
                <w:szCs w:val="18"/>
              </w:rPr>
              <w:t>转让纠纷案，与掌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上纵横公司部分 </w:t>
            </w:r>
            <w:r>
              <w:rPr>
                <w:rFonts w:ascii="宋体" w:hAnsi="宋体" w:cs="宋体" w:eastAsia="宋体" w:hint="default"/>
                <w:spacing w:val="-6"/>
                <w:sz w:val="18"/>
                <w:szCs w:val="18"/>
              </w:rPr>
              <w:t>股东共同起诉，请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求法院判令：被告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刘仕儒、霍古吉向</w:t>
            </w:r>
          </w:p>
          <w:p>
            <w:pPr>
              <w:pStyle w:val="TableParagraph"/>
              <w:spacing w:line="321" w:lineRule="auto" w:before="25"/>
              <w:ind w:left="15" w:right="119"/>
              <w:jc w:val="left"/>
              <w:rPr>
                <w:rFonts w:ascii="宋体" w:hAnsi="宋体" w:cs="宋体" w:eastAsia="宋体" w:hint="default"/>
                <w:sz w:val="18"/>
                <w:szCs w:val="18"/>
              </w:rPr>
            </w:pPr>
            <w:r>
              <w:rPr>
                <w:rFonts w:ascii="宋体" w:hAnsi="宋体" w:cs="宋体" w:eastAsia="宋体" w:hint="default"/>
                <w:sz w:val="18"/>
                <w:szCs w:val="18"/>
              </w:rPr>
              <w:t>上海温鼎支付股 份转让款 </w:t>
            </w:r>
            <w:r>
              <w:rPr>
                <w:rFonts w:ascii="Times New Roman" w:hAnsi="Times New Roman" w:cs="Times New Roman" w:eastAsia="Times New Roman" w:hint="default"/>
                <w:sz w:val="18"/>
                <w:szCs w:val="18"/>
              </w:rPr>
              <w:t>79,708,595. 23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19" w:lineRule="exact"/>
              <w:ind w:left="15" w:right="0"/>
              <w:jc w:val="left"/>
              <w:rPr>
                <w:rFonts w:ascii="宋体" w:hAnsi="宋体" w:cs="宋体" w:eastAsia="宋体" w:hint="default"/>
                <w:sz w:val="18"/>
                <w:szCs w:val="18"/>
              </w:rPr>
            </w:pPr>
            <w:r>
              <w:rPr>
                <w:rFonts w:ascii="宋体" w:hAnsi="宋体" w:cs="宋体" w:eastAsia="宋体" w:hint="default"/>
                <w:sz w:val="18"/>
                <w:szCs w:val="18"/>
              </w:rPr>
              <w:t>判令掌上纵横公</w:t>
            </w:r>
          </w:p>
          <w:p>
            <w:pPr>
              <w:pStyle w:val="TableParagraph"/>
              <w:spacing w:line="319" w:lineRule="auto" w:before="79"/>
              <w:ind w:left="15" w:right="-14"/>
              <w:jc w:val="left"/>
              <w:rPr>
                <w:rFonts w:ascii="宋体" w:hAnsi="宋体" w:cs="宋体" w:eastAsia="宋体" w:hint="default"/>
                <w:sz w:val="18"/>
                <w:szCs w:val="18"/>
              </w:rPr>
            </w:pPr>
            <w:r>
              <w:rPr>
                <w:rFonts w:ascii="宋体" w:hAnsi="宋体" w:cs="宋体" w:eastAsia="宋体" w:hint="default"/>
                <w:spacing w:val="-6"/>
                <w:sz w:val="18"/>
                <w:szCs w:val="18"/>
              </w:rPr>
              <w:t>司对刘仕儒、崔茵</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的上述债务承担 </w:t>
            </w:r>
            <w:r>
              <w:rPr>
                <w:rFonts w:ascii="宋体" w:hAnsi="宋体" w:cs="宋体" w:eastAsia="宋体" w:hint="default"/>
                <w:spacing w:val="-6"/>
                <w:sz w:val="18"/>
                <w:szCs w:val="18"/>
              </w:rPr>
              <w:t>连带清偿责任；判</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令刘仕儒、崔苗、 掌上纵横公司承 担本案诉讼费用。</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420" w:right="0"/>
              <w:jc w:val="left"/>
              <w:rPr>
                <w:rFonts w:ascii="Times New Roman" w:hAnsi="Times New Roman" w:cs="Times New Roman" w:eastAsia="Times New Roman" w:hint="default"/>
                <w:sz w:val="18"/>
                <w:szCs w:val="18"/>
              </w:rPr>
            </w:pPr>
            <w:r>
              <w:rPr>
                <w:rFonts w:ascii="Times New Roman"/>
                <w:sz w:val="18"/>
              </w:rPr>
              <w:t>7,970.86</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0</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312" w:lineRule="auto" w:before="51"/>
              <w:ind w:left="30" w:right="1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日北 京市第二 中级人民 法院一审 支持了原 告的诉讼</w:t>
            </w:r>
          </w:p>
          <w:p>
            <w:pPr>
              <w:pStyle w:val="TableParagraph"/>
              <w:spacing w:line="307" w:lineRule="auto" w:before="41"/>
              <w:ind w:left="30" w:right="13"/>
              <w:jc w:val="left"/>
              <w:rPr>
                <w:rFonts w:ascii="宋体" w:hAnsi="宋体" w:cs="宋体" w:eastAsia="宋体" w:hint="default"/>
                <w:sz w:val="18"/>
                <w:szCs w:val="18"/>
              </w:rPr>
            </w:pPr>
            <w:r>
              <w:rPr>
                <w:rFonts w:ascii="宋体" w:hAnsi="宋体" w:cs="宋体" w:eastAsia="宋体" w:hint="default"/>
                <w:sz w:val="18"/>
                <w:szCs w:val="18"/>
              </w:rPr>
              <w:t>请求；</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日二审判 决维持一 审判决结 果。</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8" w:lineRule="auto" w:before="104"/>
              <w:ind w:left="15" w:right="-29"/>
              <w:jc w:val="left"/>
              <w:rPr>
                <w:rFonts w:ascii="宋体" w:hAnsi="宋体" w:cs="宋体" w:eastAsia="宋体" w:hint="default"/>
                <w:sz w:val="18"/>
                <w:szCs w:val="18"/>
              </w:rPr>
            </w:pPr>
            <w:r>
              <w:rPr>
                <w:rFonts w:ascii="宋体" w:hAnsi="宋体" w:cs="宋体" w:eastAsia="宋体" w:hint="default"/>
                <w:sz w:val="18"/>
                <w:szCs w:val="18"/>
              </w:rPr>
              <w:t>达成和解协议， 上海温鼎收回 </w:t>
            </w:r>
            <w:r>
              <w:rPr>
                <w:rFonts w:ascii="Times New Roman" w:hAnsi="Times New Roman" w:cs="Times New Roman" w:eastAsia="Times New Roman" w:hint="default"/>
                <w:sz w:val="18"/>
                <w:szCs w:val="18"/>
              </w:rPr>
              <w:t>6,360,797.06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投</w:t>
            </w:r>
          </w:p>
          <w:p>
            <w:pPr>
              <w:pStyle w:val="TableParagraph"/>
              <w:spacing w:line="198" w:lineRule="exact"/>
              <w:ind w:left="15" w:right="0"/>
              <w:jc w:val="left"/>
              <w:rPr>
                <w:rFonts w:ascii="宋体" w:hAnsi="宋体" w:cs="宋体" w:eastAsia="宋体" w:hint="default"/>
                <w:sz w:val="18"/>
                <w:szCs w:val="18"/>
              </w:rPr>
            </w:pPr>
            <w:r>
              <w:rPr>
                <w:rFonts w:ascii="宋体" w:hAnsi="宋体" w:cs="宋体" w:eastAsia="宋体" w:hint="default"/>
                <w:sz w:val="18"/>
                <w:szCs w:val="18"/>
              </w:rPr>
              <w:t>资款。</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30"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64" w:lineRule="auto"/>
              <w:ind w:left="30" w:right="39"/>
              <w:jc w:val="both"/>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r>
              <w:rPr>
                <w:rFonts w:ascii="Times New Roman" w:hAnsi="Times New Roman" w:cs="Times New Roman" w:eastAsia="Times New Roman" w:hint="default"/>
                <w:sz w:val="18"/>
                <w:szCs w:val="18"/>
              </w:rPr>
              <w:t>http://www.c ninfo.com.cn/</w:t>
            </w:r>
          </w:p>
        </w:tc>
      </w:tr>
    </w:tbl>
    <w:p>
      <w:pPr>
        <w:spacing w:line="240" w:lineRule="auto" w:before="4"/>
        <w:rPr>
          <w:rFonts w:ascii="Times New Roman" w:hAnsi="Times New Roman" w:cs="Times New Roman" w:eastAsia="Times New Roman" w:hint="default"/>
          <w:sz w:val="20"/>
          <w:szCs w:val="20"/>
        </w:rPr>
      </w:pPr>
    </w:p>
    <w:p>
      <w:pPr>
        <w:pStyle w:val="Heading2"/>
        <w:spacing w:line="240" w:lineRule="auto" w:before="26"/>
        <w:ind w:right="1100"/>
        <w:jc w:val="left"/>
        <w:rPr>
          <w:b w:val="0"/>
          <w:bCs w:val="0"/>
        </w:rPr>
      </w:pPr>
      <w:r>
        <w:rPr/>
        <w:pict>
          <v:group style="position:absolute;margin-left:129.899994pt;margin-top:-183.61438pt;width:53.35pt;height:171.9pt;mso-position-horizontal-relative:page;mso-position-vertical-relative:paragraph;z-index:-1120480" coordorigin="2598,-3672" coordsize="1067,3438">
            <v:shape style="position:absolute;left:2598;top:-3672;width:1067;height:3438" coordorigin="2598,-3672" coordsize="1067,3438" path="m2598,-234l3664,-234,3664,-3672,2598,-3672,2598,-234xe" filled="true" fillcolor="#ffffff" stroked="false">
              <v:path arrowok="t"/>
              <v:fill type="solid"/>
            </v:shape>
            <w10:wrap type="none"/>
          </v:group>
        </w:pict>
      </w:r>
      <w:bookmarkStart w:name="十二、处罚及整改情况" w:id="76"/>
      <w:bookmarkEnd w:id="76"/>
      <w:r>
        <w:rPr>
          <w:b w:val="0"/>
          <w:bCs w:val="0"/>
        </w:rPr>
      </w:r>
      <w:r>
        <w:rPr/>
        <w:t>十二、处罚及整改情况</w:t>
      </w:r>
      <w:r>
        <w:rPr>
          <w:b w:val="0"/>
          <w:bCs w:val="0"/>
        </w:rPr>
      </w:r>
    </w:p>
    <w:p>
      <w:pPr>
        <w:spacing w:line="240" w:lineRule="auto" w:before="3"/>
        <w:rPr>
          <w:rFonts w:ascii="宋体" w:hAnsi="宋体" w:cs="宋体" w:eastAsia="宋体" w:hint="default"/>
          <w:b/>
          <w:bCs/>
          <w:sz w:val="27"/>
          <w:szCs w:val="27"/>
        </w:rPr>
      </w:pPr>
    </w:p>
    <w:p>
      <w:pPr>
        <w:pStyle w:val="BodyText"/>
        <w:spacing w:line="333" w:lineRule="auto"/>
        <w:ind w:right="78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公司报告期不存在处罚及整改情况。</w:t>
      </w:r>
    </w:p>
    <w:p>
      <w:pPr>
        <w:spacing w:after="0" w:line="333" w:lineRule="auto"/>
        <w:jc w:val="left"/>
        <w:sectPr>
          <w:pgSz w:w="11910" w:h="16850"/>
          <w:pgMar w:header="731" w:footer="981" w:top="1040" w:bottom="1180" w:left="1000" w:right="0"/>
        </w:sectPr>
      </w:pPr>
    </w:p>
    <w:p>
      <w:pPr>
        <w:spacing w:line="240" w:lineRule="auto" w:before="7"/>
        <w:rPr>
          <w:rFonts w:ascii="宋体" w:hAnsi="宋体" w:cs="宋体" w:eastAsia="宋体" w:hint="default"/>
          <w:sz w:val="25"/>
          <w:szCs w:val="25"/>
        </w:rPr>
      </w:pPr>
    </w:p>
    <w:p>
      <w:pPr>
        <w:pStyle w:val="Heading2"/>
        <w:spacing w:line="240" w:lineRule="auto" w:before="26"/>
        <w:ind w:right="1100"/>
        <w:jc w:val="left"/>
        <w:rPr>
          <w:b w:val="0"/>
          <w:bCs w:val="0"/>
        </w:rPr>
      </w:pPr>
      <w:bookmarkStart w:name="十三、公司及其控股股东、实际控制人的诚信状况" w:id="77"/>
      <w:bookmarkEnd w:id="77"/>
      <w:r>
        <w:rPr>
          <w:b w:val="0"/>
          <w:bCs w:val="0"/>
        </w:rPr>
      </w:r>
      <w:r>
        <w:rPr/>
        <w:t>十三、公司及其控股股东、实际控制人的诚信状况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1100"/>
        <w:jc w:val="left"/>
        <w:rPr>
          <w:b w:val="0"/>
          <w:bCs w:val="0"/>
        </w:rPr>
      </w:pPr>
      <w:bookmarkStart w:name="十四、公司股权激励计划、员工持股计划或其他员工激励措施的实施情况" w:id="78"/>
      <w:bookmarkEnd w:id="78"/>
      <w:r>
        <w:rPr>
          <w:b w:val="0"/>
          <w:bCs w:val="0"/>
        </w:rPr>
      </w:r>
      <w:r>
        <w:rPr/>
        <w:t>十四、公司股权激励计划、员工持股计划或其他员工激励措施的实施情况</w:t>
      </w:r>
      <w:r>
        <w:rPr>
          <w:b w:val="0"/>
          <w:bCs w:val="0"/>
        </w:rPr>
      </w:r>
    </w:p>
    <w:p>
      <w:pPr>
        <w:spacing w:line="240" w:lineRule="auto" w:before="3"/>
        <w:rPr>
          <w:rFonts w:ascii="宋体" w:hAnsi="宋体" w:cs="宋体" w:eastAsia="宋体" w:hint="default"/>
          <w:b/>
          <w:bCs/>
          <w:sz w:val="27"/>
          <w:szCs w:val="27"/>
        </w:rPr>
      </w:pPr>
    </w:p>
    <w:p>
      <w:pPr>
        <w:pStyle w:val="BodyText"/>
        <w:spacing w:line="319" w:lineRule="auto"/>
        <w:ind w:right="44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公司报告期无股权激励计划、员工持股计划或其他员工激励措施及其实施情况。</w:t>
      </w:r>
    </w:p>
    <w:p>
      <w:pPr>
        <w:spacing w:line="240" w:lineRule="auto" w:before="8"/>
        <w:rPr>
          <w:rFonts w:ascii="宋体" w:hAnsi="宋体" w:cs="宋体" w:eastAsia="宋体" w:hint="default"/>
          <w:sz w:val="22"/>
          <w:szCs w:val="22"/>
        </w:rPr>
      </w:pPr>
    </w:p>
    <w:p>
      <w:pPr>
        <w:pStyle w:val="Heading2"/>
        <w:spacing w:line="240" w:lineRule="auto"/>
        <w:ind w:right="1100"/>
        <w:jc w:val="left"/>
        <w:rPr>
          <w:b w:val="0"/>
          <w:bCs w:val="0"/>
        </w:rPr>
      </w:pPr>
      <w:bookmarkStart w:name="十五、重大关联交易" w:id="79"/>
      <w:bookmarkEnd w:id="79"/>
      <w:r>
        <w:rPr>
          <w:b w:val="0"/>
          <w:bCs w:val="0"/>
        </w:rPr>
      </w:r>
      <w:r>
        <w:rPr/>
        <w:t>十五、重大关联交易</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00"/>
        <w:jc w:val="left"/>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5"/>
        <w:rPr>
          <w:rFonts w:ascii="宋体" w:hAnsi="宋体" w:cs="宋体" w:eastAsia="宋体" w:hint="default"/>
          <w:b/>
          <w:bCs/>
          <w:sz w:val="26"/>
          <w:szCs w:val="26"/>
        </w:rPr>
      </w:pPr>
    </w:p>
    <w:p>
      <w:pPr>
        <w:pStyle w:val="BodyText"/>
        <w:spacing w:line="319" w:lineRule="auto"/>
        <w:ind w:right="67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公司报告期未发生与日常经营相关的关联交易。</w:t>
      </w:r>
    </w:p>
    <w:p>
      <w:pPr>
        <w:spacing w:line="240" w:lineRule="auto" w:before="3"/>
        <w:rPr>
          <w:rFonts w:ascii="宋体" w:hAnsi="宋体" w:cs="宋体" w:eastAsia="宋体" w:hint="default"/>
          <w:sz w:val="25"/>
          <w:szCs w:val="25"/>
        </w:rPr>
      </w:pPr>
    </w:p>
    <w:p>
      <w:pPr>
        <w:pStyle w:val="Heading4"/>
        <w:spacing w:line="240" w:lineRule="auto"/>
        <w:ind w:right="1100"/>
        <w:jc w:val="left"/>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3"/>
        <w:rPr>
          <w:rFonts w:ascii="宋体" w:hAnsi="宋体" w:cs="宋体" w:eastAsia="宋体" w:hint="default"/>
          <w:b/>
          <w:bCs/>
          <w:sz w:val="25"/>
          <w:szCs w:val="25"/>
        </w:rPr>
      </w:pPr>
    </w:p>
    <w:p>
      <w:pPr>
        <w:pStyle w:val="BodyText"/>
        <w:spacing w:line="316" w:lineRule="auto"/>
        <w:ind w:right="64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公司报告期未发生资产或股权收购、出售的关联交易。</w:t>
      </w:r>
    </w:p>
    <w:p>
      <w:pPr>
        <w:spacing w:line="240" w:lineRule="auto" w:before="5"/>
        <w:rPr>
          <w:rFonts w:ascii="宋体" w:hAnsi="宋体" w:cs="宋体" w:eastAsia="宋体" w:hint="default"/>
          <w:sz w:val="25"/>
          <w:szCs w:val="25"/>
        </w:rPr>
      </w:pPr>
    </w:p>
    <w:p>
      <w:pPr>
        <w:pStyle w:val="Heading4"/>
        <w:spacing w:line="240" w:lineRule="auto"/>
        <w:ind w:right="1100"/>
        <w:jc w:val="left"/>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3"/>
        <w:rPr>
          <w:rFonts w:ascii="宋体" w:hAnsi="宋体" w:cs="宋体" w:eastAsia="宋体" w:hint="default"/>
          <w:b/>
          <w:bCs/>
          <w:sz w:val="25"/>
          <w:szCs w:val="25"/>
        </w:rPr>
      </w:pPr>
    </w:p>
    <w:p>
      <w:pPr>
        <w:pStyle w:val="BodyText"/>
        <w:spacing w:line="316" w:lineRule="auto"/>
        <w:ind w:right="7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公司报告期未发生共同对外投资的关联交易。</w:t>
      </w:r>
    </w:p>
    <w:p>
      <w:pPr>
        <w:spacing w:line="240" w:lineRule="auto" w:before="5"/>
        <w:rPr>
          <w:rFonts w:ascii="宋体" w:hAnsi="宋体" w:cs="宋体" w:eastAsia="宋体" w:hint="default"/>
          <w:sz w:val="25"/>
          <w:szCs w:val="25"/>
        </w:rPr>
      </w:pPr>
    </w:p>
    <w:p>
      <w:pPr>
        <w:pStyle w:val="Heading4"/>
        <w:spacing w:line="240" w:lineRule="auto"/>
        <w:ind w:right="1100"/>
        <w:jc w:val="left"/>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3"/>
        <w:rPr>
          <w:rFonts w:ascii="宋体" w:hAnsi="宋体" w:cs="宋体" w:eastAsia="宋体" w:hint="default"/>
          <w:b/>
          <w:bCs/>
          <w:sz w:val="25"/>
          <w:szCs w:val="25"/>
        </w:rPr>
      </w:pPr>
    </w:p>
    <w:p>
      <w:pPr>
        <w:pStyle w:val="BodyText"/>
        <w:spacing w:line="333" w:lineRule="auto"/>
        <w:ind w:right="76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公司报告期不存在关联债权债务往来。</w:t>
      </w:r>
    </w:p>
    <w:p>
      <w:pPr>
        <w:spacing w:line="240" w:lineRule="auto" w:before="4"/>
        <w:rPr>
          <w:rFonts w:ascii="宋体" w:hAnsi="宋体" w:cs="宋体" w:eastAsia="宋体" w:hint="default"/>
          <w:sz w:val="23"/>
          <w:szCs w:val="23"/>
        </w:rPr>
      </w:pPr>
    </w:p>
    <w:p>
      <w:pPr>
        <w:pStyle w:val="Heading4"/>
        <w:spacing w:line="240" w:lineRule="auto"/>
        <w:ind w:right="1100"/>
        <w:jc w:val="left"/>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3"/>
        <w:rPr>
          <w:rFonts w:ascii="宋体" w:hAnsi="宋体" w:cs="宋体" w:eastAsia="宋体" w:hint="default"/>
          <w:b/>
          <w:bCs/>
          <w:sz w:val="25"/>
          <w:szCs w:val="25"/>
        </w:rPr>
      </w:pPr>
    </w:p>
    <w:p>
      <w:pPr>
        <w:pStyle w:val="BodyText"/>
        <w:spacing w:line="333" w:lineRule="auto"/>
        <w:ind w:right="8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公司报告期无其他重大关联交易。</w:t>
      </w:r>
    </w:p>
    <w:p>
      <w:pPr>
        <w:spacing w:line="240" w:lineRule="auto" w:before="8"/>
        <w:rPr>
          <w:rFonts w:ascii="宋体" w:hAnsi="宋体" w:cs="宋体" w:eastAsia="宋体" w:hint="default"/>
          <w:sz w:val="20"/>
          <w:szCs w:val="20"/>
        </w:rPr>
      </w:pPr>
    </w:p>
    <w:p>
      <w:pPr>
        <w:pStyle w:val="Heading2"/>
        <w:spacing w:line="240" w:lineRule="auto"/>
        <w:ind w:right="1100"/>
        <w:jc w:val="left"/>
        <w:rPr>
          <w:b w:val="0"/>
          <w:bCs w:val="0"/>
        </w:rPr>
      </w:pPr>
      <w:bookmarkStart w:name="十六、重大合同及其履行情况" w:id="85"/>
      <w:bookmarkEnd w:id="85"/>
      <w:r>
        <w:rPr>
          <w:b w:val="0"/>
          <w:bCs w:val="0"/>
        </w:rPr>
      </w:r>
      <w:r>
        <w:rPr/>
        <w:t>十六、重大合同及其履行情况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00"/>
        <w:jc w:val="left"/>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1100"/>
        <w:jc w:val="left"/>
        <w:rPr>
          <w:b w:val="0"/>
          <w:bCs w:val="0"/>
        </w:rPr>
      </w:pPr>
      <w:bookmarkStart w:name="（1）托管情况" w:id="87"/>
      <w:bookmarkEnd w:id="8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5"/>
        <w:rPr>
          <w:rFonts w:ascii="宋体" w:hAnsi="宋体" w:cs="宋体" w:eastAsia="宋体" w:hint="default"/>
          <w:b/>
          <w:bCs/>
          <w:sz w:val="26"/>
          <w:szCs w:val="26"/>
        </w:rPr>
      </w:pPr>
    </w:p>
    <w:p>
      <w:pPr>
        <w:pStyle w:val="BodyText"/>
        <w:spacing w:line="333" w:lineRule="auto"/>
        <w:ind w:right="84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公司报告期不存在托管情况。</w:t>
      </w:r>
    </w:p>
    <w:p>
      <w:pPr>
        <w:spacing w:after="0" w:line="333"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4"/>
        <w:spacing w:line="240" w:lineRule="auto" w:before="35"/>
        <w:ind w:right="1100"/>
        <w:jc w:val="left"/>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3"/>
        <w:rPr>
          <w:rFonts w:ascii="宋体" w:hAnsi="宋体" w:cs="宋体" w:eastAsia="宋体" w:hint="default"/>
          <w:b/>
          <w:bCs/>
          <w:sz w:val="25"/>
          <w:szCs w:val="25"/>
        </w:rPr>
      </w:pPr>
    </w:p>
    <w:p>
      <w:pPr>
        <w:pStyle w:val="BodyText"/>
        <w:spacing w:line="319" w:lineRule="auto"/>
        <w:ind w:right="84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公司报告期不存在承包情况。</w:t>
      </w:r>
    </w:p>
    <w:p>
      <w:pPr>
        <w:spacing w:line="240" w:lineRule="auto" w:before="3"/>
        <w:rPr>
          <w:rFonts w:ascii="宋体" w:hAnsi="宋体" w:cs="宋体" w:eastAsia="宋体" w:hint="default"/>
          <w:sz w:val="25"/>
          <w:szCs w:val="25"/>
        </w:rPr>
      </w:pPr>
    </w:p>
    <w:p>
      <w:pPr>
        <w:pStyle w:val="Heading4"/>
        <w:spacing w:line="240" w:lineRule="auto"/>
        <w:ind w:right="1100"/>
        <w:jc w:val="left"/>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3"/>
        <w:rPr>
          <w:rFonts w:ascii="宋体" w:hAnsi="宋体" w:cs="宋体" w:eastAsia="宋体" w:hint="default"/>
          <w:b/>
          <w:bCs/>
          <w:sz w:val="25"/>
          <w:szCs w:val="25"/>
        </w:rPr>
      </w:pPr>
    </w:p>
    <w:p>
      <w:pPr>
        <w:pStyle w:val="BodyText"/>
        <w:spacing w:line="331" w:lineRule="auto"/>
        <w:ind w:right="84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公司报告期不存在租赁情况。</w:t>
      </w:r>
    </w:p>
    <w:p>
      <w:pPr>
        <w:spacing w:line="240" w:lineRule="auto" w:before="6"/>
        <w:rPr>
          <w:rFonts w:ascii="宋体" w:hAnsi="宋体" w:cs="宋体" w:eastAsia="宋体" w:hint="default"/>
          <w:sz w:val="23"/>
          <w:szCs w:val="23"/>
        </w:rPr>
      </w:pPr>
    </w:p>
    <w:p>
      <w:pPr>
        <w:pStyle w:val="Heading4"/>
        <w:spacing w:line="240" w:lineRule="auto"/>
        <w:ind w:right="1100"/>
        <w:jc w:val="left"/>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3"/>
        <w:rPr>
          <w:rFonts w:ascii="宋体" w:hAnsi="宋体" w:cs="宋体" w:eastAsia="宋体" w:hint="default"/>
          <w:b/>
          <w:bCs/>
          <w:sz w:val="25"/>
          <w:szCs w:val="25"/>
        </w:rPr>
      </w:pPr>
    </w:p>
    <w:p>
      <w:pPr>
        <w:pStyle w:val="BodyText"/>
        <w:spacing w:line="331" w:lineRule="auto"/>
        <w:ind w:right="76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公司报告期不存在担保情况。</w:t>
      </w:r>
    </w:p>
    <w:p>
      <w:pPr>
        <w:spacing w:line="240" w:lineRule="auto" w:before="6"/>
        <w:rPr>
          <w:rFonts w:ascii="宋体" w:hAnsi="宋体" w:cs="宋体" w:eastAsia="宋体" w:hint="default"/>
          <w:sz w:val="23"/>
          <w:szCs w:val="23"/>
        </w:rPr>
      </w:pPr>
    </w:p>
    <w:p>
      <w:pPr>
        <w:pStyle w:val="Heading4"/>
        <w:spacing w:line="240" w:lineRule="auto"/>
        <w:ind w:right="1100"/>
        <w:jc w:val="left"/>
        <w:rPr>
          <w:b w:val="0"/>
          <w:bCs w:val="0"/>
        </w:rPr>
      </w:pPr>
      <w:bookmarkStart w:name="3、委托他人进行现金资产管理情况" w:id="91"/>
      <w:bookmarkEnd w:id="91"/>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1100"/>
        <w:jc w:val="left"/>
        <w:rPr>
          <w:b w:val="0"/>
          <w:bCs w:val="0"/>
        </w:rPr>
      </w:pPr>
      <w:bookmarkStart w:name="（1）委托理财情况" w:id="92"/>
      <w:bookmarkEnd w:id="92"/>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50"/>
          <w:pgMar w:header="731" w:footer="981" w:top="1040" w:bottom="1180" w:left="1000" w:right="0"/>
        </w:sectPr>
      </w:pPr>
    </w:p>
    <w:p>
      <w:pPr>
        <w:pStyle w:val="BodyText"/>
        <w:spacing w:line="333"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pStyle w:val="BodyText"/>
        <w:spacing w:line="240" w:lineRule="auto"/>
        <w:ind w:right="0"/>
        <w:jc w:val="left"/>
      </w:pPr>
      <w:r>
        <w:rPr/>
        <w:t>单位：万元</w:t>
      </w:r>
    </w:p>
    <w:p>
      <w:pPr>
        <w:spacing w:after="0" w:line="240" w:lineRule="auto"/>
        <w:jc w:val="left"/>
        <w:sectPr>
          <w:type w:val="continuous"/>
          <w:pgSz w:w="11910" w:h="16850"/>
          <w:pgMar w:top="1040" w:bottom="1180" w:left="1000" w:right="0"/>
          <w:cols w:num="2" w:equalWidth="0">
            <w:col w:w="1942" w:space="6814"/>
            <w:col w:w="2154"/>
          </w:cols>
        </w:sectPr>
      </w:pP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877"/>
        <w:gridCol w:w="1952"/>
        <w:gridCol w:w="1983"/>
        <w:gridCol w:w="1922"/>
        <w:gridCol w:w="1847"/>
      </w:tblGrid>
      <w:tr>
        <w:trPr>
          <w:trHeight w:val="391" w:hRule="exact"/>
        </w:trPr>
        <w:tc>
          <w:tcPr>
            <w:tcW w:w="18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55"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0"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0"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11"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80"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5"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自有及募集资金</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76,300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74,300</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r>
        <w:trPr>
          <w:trHeight w:val="406" w:hRule="exact"/>
        </w:trPr>
        <w:tc>
          <w:tcPr>
            <w:tcW w:w="3830"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76,300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74,300</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50"/>
          <w:pgMar w:top="1040" w:bottom="1180" w:left="1000" w:right="0"/>
        </w:sectPr>
      </w:pPr>
    </w:p>
    <w:p>
      <w:pPr>
        <w:pStyle w:val="BodyText"/>
        <w:spacing w:line="240" w:lineRule="auto" w:before="44"/>
        <w:ind w:right="-20"/>
        <w:jc w:val="left"/>
      </w:pPr>
      <w:r>
        <w:rPr/>
        <w:t>单项金额重大或安全性较低、流动性较差、不保本的高风险委托理财具体情况</w:t>
      </w:r>
    </w:p>
    <w:p>
      <w:pPr>
        <w:pStyle w:val="BodyText"/>
        <w:spacing w:line="240" w:lineRule="auto" w:before="12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0"/>
          <w:szCs w:val="20"/>
        </w:rPr>
      </w:pPr>
    </w:p>
    <w:p>
      <w:pPr>
        <w:pStyle w:val="BodyText"/>
        <w:spacing w:line="240" w:lineRule="auto"/>
        <w:ind w:right="0"/>
        <w:jc w:val="left"/>
      </w:pPr>
      <w:r>
        <w:rPr/>
        <w:t>单位：万元</w:t>
      </w:r>
    </w:p>
    <w:p>
      <w:pPr>
        <w:spacing w:after="0" w:line="240" w:lineRule="auto"/>
        <w:jc w:val="left"/>
        <w:sectPr>
          <w:type w:val="continuous"/>
          <w:pgSz w:w="11910" w:h="16850"/>
          <w:pgMar w:top="1040" w:bottom="1180" w:left="1000" w:right="0"/>
          <w:cols w:num="2" w:equalWidth="0">
            <w:col w:w="6262" w:space="2494"/>
            <w:col w:w="2154"/>
          </w:cols>
        </w:sectPr>
      </w:pP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570"/>
        <w:gridCol w:w="586"/>
        <w:gridCol w:w="616"/>
        <w:gridCol w:w="571"/>
        <w:gridCol w:w="570"/>
        <w:gridCol w:w="556"/>
        <w:gridCol w:w="556"/>
        <w:gridCol w:w="570"/>
        <w:gridCol w:w="556"/>
        <w:gridCol w:w="571"/>
        <w:gridCol w:w="556"/>
        <w:gridCol w:w="555"/>
        <w:gridCol w:w="570"/>
        <w:gridCol w:w="541"/>
        <w:gridCol w:w="555"/>
        <w:gridCol w:w="541"/>
        <w:gridCol w:w="541"/>
      </w:tblGrid>
      <w:tr>
        <w:trPr>
          <w:trHeight w:val="2267" w:hRule="exact"/>
        </w:trPr>
        <w:tc>
          <w:tcPr>
            <w:tcW w:w="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90" w:right="103"/>
              <w:jc w:val="both"/>
              <w:rPr>
                <w:rFonts w:ascii="宋体" w:hAnsi="宋体" w:cs="宋体" w:eastAsia="宋体" w:hint="default"/>
                <w:sz w:val="18"/>
                <w:szCs w:val="18"/>
              </w:rPr>
            </w:pPr>
            <w:r>
              <w:rPr>
                <w:rFonts w:ascii="宋体" w:hAnsi="宋体" w:cs="宋体" w:eastAsia="宋体" w:hint="default"/>
                <w:sz w:val="18"/>
                <w:szCs w:val="18"/>
              </w:rPr>
              <w:t>受托 机构 名称</w:t>
            </w:r>
          </w:p>
          <w:p>
            <w:pPr>
              <w:pStyle w:val="TableParagraph"/>
              <w:spacing w:line="321" w:lineRule="auto" w:before="3"/>
              <w:ind w:left="90" w:right="103"/>
              <w:jc w:val="both"/>
              <w:rPr>
                <w:rFonts w:ascii="宋体" w:hAnsi="宋体" w:cs="宋体" w:eastAsia="宋体" w:hint="default"/>
                <w:sz w:val="18"/>
                <w:szCs w:val="18"/>
              </w:rPr>
            </w:pPr>
            <w:r>
              <w:rPr>
                <w:rFonts w:ascii="宋体" w:hAnsi="宋体" w:cs="宋体" w:eastAsia="宋体" w:hint="default"/>
                <w:sz w:val="18"/>
                <w:szCs w:val="18"/>
              </w:rPr>
              <w:t>（或 受托 人姓 名）</w:t>
            </w:r>
          </w:p>
        </w:tc>
        <w:tc>
          <w:tcPr>
            <w:tcW w:w="5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20" w:right="88"/>
              <w:jc w:val="center"/>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6" w:lineRule="auto" w:before="31"/>
              <w:ind w:left="30" w:right="0" w:firstLine="1"/>
              <w:jc w:val="center"/>
              <w:rPr>
                <w:rFonts w:ascii="宋体" w:hAnsi="宋体" w:cs="宋体" w:eastAsia="宋体" w:hint="default"/>
                <w:sz w:val="18"/>
                <w:szCs w:val="18"/>
              </w:rPr>
            </w:pPr>
            <w:r>
              <w:rPr>
                <w:rFonts w:ascii="宋体" w:hAnsi="宋体" w:cs="宋体" w:eastAsia="宋体" w:hint="default"/>
                <w:sz w:val="18"/>
                <w:szCs w:val="18"/>
              </w:rPr>
              <w:t>（或 受托 人）类 型</w:t>
            </w:r>
          </w:p>
        </w:tc>
        <w:tc>
          <w:tcPr>
            <w:tcW w:w="6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321" w:lineRule="auto"/>
              <w:ind w:left="210" w:right="28"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321" w:lineRule="auto"/>
              <w:ind w:left="105" w:right="88"/>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321" w:lineRule="auto"/>
              <w:ind w:left="90" w:right="88"/>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321" w:lineRule="auto"/>
              <w:ind w:left="89" w:right="88"/>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321" w:lineRule="auto"/>
              <w:ind w:left="105" w:right="88"/>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4" w:lineRule="auto"/>
              <w:ind w:left="90" w:right="88"/>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6" w:lineRule="auto"/>
              <w:ind w:left="105" w:right="88"/>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07" w:lineRule="auto"/>
              <w:ind w:left="89" w:right="89"/>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21" w:lineRule="auto" w:before="29"/>
              <w:ind w:left="180" w:right="89" w:hanging="91"/>
              <w:jc w:val="left"/>
              <w:rPr>
                <w:rFonts w:ascii="宋体" w:hAnsi="宋体" w:cs="宋体" w:eastAsia="宋体" w:hint="default"/>
                <w:sz w:val="18"/>
                <w:szCs w:val="18"/>
              </w:rPr>
            </w:pPr>
            <w:r>
              <w:rPr>
                <w:rFonts w:ascii="宋体" w:hAnsi="宋体" w:cs="宋体" w:eastAsia="宋体" w:hint="default"/>
                <w:sz w:val="18"/>
                <w:szCs w:val="18"/>
              </w:rPr>
              <w:t>（如 有</w:t>
            </w:r>
          </w:p>
        </w:tc>
        <w:tc>
          <w:tcPr>
            <w:tcW w:w="55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16" w:lineRule="auto"/>
              <w:ind w:left="90" w:right="88"/>
              <w:jc w:val="both"/>
              <w:rPr>
                <w:rFonts w:ascii="宋体" w:hAnsi="宋体" w:cs="宋体" w:eastAsia="宋体" w:hint="default"/>
                <w:sz w:val="18"/>
                <w:szCs w:val="18"/>
              </w:rPr>
            </w:pPr>
            <w:r>
              <w:rPr>
                <w:rFonts w:ascii="宋体" w:hAnsi="宋体" w:cs="宋体" w:eastAsia="宋体" w:hint="default"/>
                <w:sz w:val="18"/>
                <w:szCs w:val="18"/>
              </w:rPr>
              <w:t>报告 期实 际损 益金 额</w:t>
            </w:r>
          </w:p>
        </w:tc>
        <w:tc>
          <w:tcPr>
            <w:tcW w:w="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105" w:right="88"/>
              <w:jc w:val="both"/>
              <w:rPr>
                <w:rFonts w:ascii="宋体" w:hAnsi="宋体" w:cs="宋体" w:eastAsia="宋体" w:hint="default"/>
                <w:sz w:val="18"/>
                <w:szCs w:val="18"/>
              </w:rPr>
            </w:pPr>
            <w:r>
              <w:rPr>
                <w:rFonts w:ascii="宋体" w:hAnsi="宋体" w:cs="宋体" w:eastAsia="宋体" w:hint="default"/>
                <w:sz w:val="18"/>
                <w:szCs w:val="18"/>
              </w:rPr>
              <w:t>报告 期损 益实 际收 回情 况</w:t>
            </w:r>
          </w:p>
        </w:tc>
        <w:tc>
          <w:tcPr>
            <w:tcW w:w="5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75" w:right="88"/>
              <w:jc w:val="both"/>
              <w:rPr>
                <w:rFonts w:ascii="宋体" w:hAnsi="宋体" w:cs="宋体" w:eastAsia="宋体" w:hint="default"/>
                <w:sz w:val="18"/>
                <w:szCs w:val="18"/>
              </w:rPr>
            </w:pPr>
            <w:r>
              <w:rPr>
                <w:rFonts w:ascii="宋体" w:hAnsi="宋体" w:cs="宋体" w:eastAsia="宋体" w:hint="default"/>
                <w:sz w:val="18"/>
                <w:szCs w:val="18"/>
              </w:rPr>
              <w:t>计提 减值 准备 金额</w:t>
            </w:r>
          </w:p>
          <w:p>
            <w:pPr>
              <w:pStyle w:val="TableParagraph"/>
              <w:spacing w:line="304" w:lineRule="auto" w:before="22"/>
              <w:ind w:left="75" w:right="88"/>
              <w:jc w:val="both"/>
              <w:rPr>
                <w:rFonts w:ascii="宋体" w:hAnsi="宋体" w:cs="宋体" w:eastAsia="宋体" w:hint="default"/>
                <w:sz w:val="18"/>
                <w:szCs w:val="18"/>
              </w:rPr>
            </w:pPr>
            <w:r>
              <w:rPr>
                <w:rFonts w:ascii="宋体" w:hAnsi="宋体" w:cs="宋体" w:eastAsia="宋体" w:hint="default"/>
                <w:sz w:val="18"/>
                <w:szCs w:val="18"/>
              </w:rPr>
              <w:t>（如 有）</w:t>
            </w:r>
          </w:p>
        </w:tc>
        <w:tc>
          <w:tcPr>
            <w:tcW w:w="55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6" w:lineRule="auto"/>
              <w:ind w:left="90" w:right="88"/>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75" w:right="88"/>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c>
          <w:tcPr>
            <w:tcW w:w="5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29"/>
              <w:ind w:left="30" w:right="13" w:hanging="1"/>
              <w:jc w:val="center"/>
              <w:rPr>
                <w:rFonts w:ascii="宋体" w:hAnsi="宋体" w:cs="宋体" w:eastAsia="宋体" w:hint="default"/>
                <w:sz w:val="18"/>
                <w:szCs w:val="18"/>
              </w:rPr>
            </w:pPr>
            <w:r>
              <w:rPr>
                <w:rFonts w:ascii="宋体" w:hAnsi="宋体" w:cs="宋体" w:eastAsia="宋体" w:hint="default"/>
                <w:sz w:val="18"/>
                <w:szCs w:val="18"/>
              </w:rPr>
              <w:t>事项 概述 及相 关查 询索 </w:t>
            </w:r>
            <w:r>
              <w:rPr>
                <w:rFonts w:ascii="宋体" w:hAnsi="宋体" w:cs="宋体" w:eastAsia="宋体" w:hint="default"/>
                <w:spacing w:val="-20"/>
                <w:sz w:val="18"/>
                <w:szCs w:val="18"/>
              </w:rPr>
              <w:t>引（如</w:t>
            </w:r>
            <w:r>
              <w:rPr>
                <w:rFonts w:ascii="宋体" w:hAnsi="宋体" w:cs="宋体" w:eastAsia="宋体" w:hint="default"/>
                <w:sz w:val="18"/>
                <w:szCs w:val="18"/>
              </w:rPr>
              <w:t> 有）</w:t>
            </w:r>
          </w:p>
        </w:tc>
      </w:tr>
      <w:tr>
        <w:trPr>
          <w:trHeight w:val="2237"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04" w:lineRule="auto"/>
              <w:ind w:left="15" w:right="178"/>
              <w:jc w:val="left"/>
              <w:rPr>
                <w:rFonts w:ascii="宋体" w:hAnsi="宋体" w:cs="宋体" w:eastAsia="宋体" w:hint="default"/>
                <w:sz w:val="18"/>
                <w:szCs w:val="18"/>
              </w:rPr>
            </w:pPr>
            <w:r>
              <w:rPr>
                <w:rFonts w:ascii="宋体" w:hAnsi="宋体" w:cs="宋体" w:eastAsia="宋体" w:hint="default"/>
                <w:sz w:val="18"/>
                <w:szCs w:val="18"/>
              </w:rPr>
              <w:t>浦发 银行</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低风险</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1,000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21" w:lineRule="auto"/>
              <w:ind w:left="30" w:right="163"/>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316" w:lineRule="auto"/>
              <w:ind w:left="30" w:right="163"/>
              <w:jc w:val="both"/>
              <w:rPr>
                <w:rFonts w:ascii="宋体" w:hAnsi="宋体" w:cs="宋体" w:eastAsia="宋体" w:hint="default"/>
                <w:sz w:val="18"/>
                <w:szCs w:val="18"/>
              </w:rPr>
            </w:pPr>
            <w:r>
              <w:rPr>
                <w:rFonts w:ascii="宋体" w:hAnsi="宋体" w:cs="宋体" w:eastAsia="宋体" w:hint="default"/>
                <w:sz w:val="18"/>
                <w:szCs w:val="18"/>
              </w:rPr>
              <w:t>投资 于信 用类 债券</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4.10%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4.10%</w:t>
            </w:r>
          </w:p>
        </w:tc>
        <w:tc>
          <w:tcPr>
            <w:tcW w:w="556"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10.11</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10.11</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30" w:right="53"/>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64" w:lineRule="auto" w:before="81"/>
              <w:ind w:left="30" w:right="43"/>
              <w:jc w:val="both"/>
              <w:rPr>
                <w:rFonts w:ascii="Times New Roman" w:hAnsi="Times New Roman" w:cs="Times New Roman" w:eastAsia="Times New Roman" w:hint="default"/>
                <w:sz w:val="18"/>
                <w:szCs w:val="18"/>
              </w:rPr>
            </w:pPr>
            <w:r>
              <w:rPr>
                <w:rFonts w:ascii="Times New Roman"/>
                <w:sz w:val="18"/>
              </w:rPr>
              <w:t>http://</w:t>
            </w:r>
            <w:r>
              <w:rPr>
                <w:rFonts w:ascii="Times New Roman"/>
                <w:spacing w:val="-38"/>
                <w:sz w:val="18"/>
              </w:rPr>
              <w:t> </w:t>
            </w:r>
            <w:r>
              <w:rPr>
                <w:rFonts w:ascii="Times New Roman"/>
                <w:spacing w:val="-38"/>
                <w:sz w:val="18"/>
              </w:rPr>
            </w:r>
            <w:hyperlink r:id="rId12">
              <w:r>
                <w:rPr>
                  <w:rFonts w:ascii="Times New Roman"/>
                  <w:sz w:val="18"/>
                </w:rPr>
                <w:t>www.</w:t>
              </w:r>
            </w:hyperlink>
            <w:r>
              <w:rPr>
                <w:rFonts w:ascii="Times New Roman"/>
                <w:sz w:val="18"/>
              </w:rPr>
              <w:t> cninfo</w:t>
            </w:r>
          </w:p>
          <w:p>
            <w:pPr>
              <w:pStyle w:val="TableParagraph"/>
              <w:spacing w:line="197" w:lineRule="exact"/>
              <w:ind w:left="30" w:right="0"/>
              <w:jc w:val="both"/>
              <w:rPr>
                <w:rFonts w:ascii="Times New Roman" w:hAnsi="Times New Roman" w:cs="Times New Roman" w:eastAsia="Times New Roman" w:hint="default"/>
                <w:sz w:val="18"/>
                <w:szCs w:val="18"/>
              </w:rPr>
            </w:pPr>
            <w:r>
              <w:rPr>
                <w:rFonts w:ascii="Times New Roman"/>
                <w:sz w:val="18"/>
              </w:rPr>
              <w:t>.com.c</w:t>
            </w:r>
          </w:p>
        </w:tc>
      </w:tr>
    </w:tbl>
    <w:p>
      <w:pPr>
        <w:spacing w:after="0" w:line="197" w:lineRule="exact"/>
        <w:jc w:val="both"/>
        <w:rPr>
          <w:rFonts w:ascii="Times New Roman" w:hAnsi="Times New Roman" w:cs="Times New Roman" w:eastAsia="Times New Roman" w:hint="default"/>
          <w:sz w:val="18"/>
          <w:szCs w:val="18"/>
        </w:rPr>
        <w:sectPr>
          <w:type w:val="continuous"/>
          <w:pgSz w:w="11910" w:h="16850"/>
          <w:pgMar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570"/>
        <w:gridCol w:w="586"/>
        <w:gridCol w:w="616"/>
        <w:gridCol w:w="571"/>
        <w:gridCol w:w="570"/>
        <w:gridCol w:w="556"/>
        <w:gridCol w:w="556"/>
        <w:gridCol w:w="570"/>
        <w:gridCol w:w="556"/>
        <w:gridCol w:w="571"/>
        <w:gridCol w:w="556"/>
        <w:gridCol w:w="555"/>
        <w:gridCol w:w="570"/>
        <w:gridCol w:w="541"/>
        <w:gridCol w:w="555"/>
        <w:gridCol w:w="541"/>
        <w:gridCol w:w="541"/>
      </w:tblGrid>
      <w:tr>
        <w:trPr>
          <w:trHeight w:val="360" w:hRule="exact"/>
        </w:trPr>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30" w:right="0"/>
              <w:jc w:val="left"/>
              <w:rPr>
                <w:rFonts w:ascii="Times New Roman" w:hAnsi="Times New Roman" w:cs="Times New Roman" w:eastAsia="Times New Roman" w:hint="default"/>
                <w:sz w:val="18"/>
                <w:szCs w:val="18"/>
              </w:rPr>
            </w:pPr>
            <w:r>
              <w:rPr>
                <w:rFonts w:ascii="Times New Roman"/>
                <w:sz w:val="18"/>
              </w:rPr>
              <w:t>n/</w:t>
            </w:r>
          </w:p>
        </w:tc>
      </w:tr>
      <w:tr>
        <w:trPr>
          <w:trHeight w:val="2597"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47"/>
              <w:ind w:left="15" w:right="178"/>
              <w:jc w:val="left"/>
              <w:rPr>
                <w:rFonts w:ascii="宋体" w:hAnsi="宋体" w:cs="宋体" w:eastAsia="宋体" w:hint="default"/>
                <w:sz w:val="18"/>
                <w:szCs w:val="18"/>
              </w:rPr>
            </w:pPr>
            <w:r>
              <w:rPr>
                <w:rFonts w:ascii="宋体" w:hAnsi="宋体" w:cs="宋体" w:eastAsia="宋体" w:hint="default"/>
                <w:sz w:val="18"/>
                <w:szCs w:val="18"/>
              </w:rPr>
              <w:t>广发 银行</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3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12,000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30" w:right="163"/>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36"/>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30" w:right="13"/>
              <w:jc w:val="left"/>
              <w:rPr>
                <w:rFonts w:ascii="宋体" w:hAnsi="宋体" w:cs="宋体" w:eastAsia="宋体" w:hint="default"/>
                <w:sz w:val="18"/>
                <w:szCs w:val="18"/>
              </w:rPr>
            </w:pPr>
            <w:r>
              <w:rPr>
                <w:rFonts w:ascii="宋体" w:hAnsi="宋体" w:cs="宋体" w:eastAsia="宋体" w:hint="default"/>
                <w:sz w:val="18"/>
                <w:szCs w:val="18"/>
              </w:rPr>
              <w:t>投资 于货 币市 场工 </w:t>
            </w:r>
            <w:r>
              <w:rPr>
                <w:rFonts w:ascii="宋体" w:hAnsi="宋体" w:cs="宋体" w:eastAsia="宋体" w:hint="default"/>
                <w:spacing w:val="-11"/>
                <w:sz w:val="18"/>
                <w:szCs w:val="18"/>
              </w:rPr>
              <w:t>具、债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券等 金融 资产</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47"/>
              <w:ind w:left="15" w:right="165"/>
              <w:jc w:val="left"/>
              <w:rPr>
                <w:rFonts w:ascii="宋体" w:hAnsi="宋体" w:cs="宋体" w:eastAsia="宋体" w:hint="default"/>
                <w:sz w:val="18"/>
                <w:szCs w:val="18"/>
              </w:rPr>
            </w:pPr>
            <w:r>
              <w:rPr>
                <w:rFonts w:ascii="宋体" w:hAnsi="宋体" w:cs="宋体" w:eastAsia="宋体" w:hint="default"/>
                <w:sz w:val="18"/>
                <w:szCs w:val="18"/>
              </w:rPr>
              <w:t>浮动 利率</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4.20%</w:t>
            </w:r>
          </w:p>
        </w:tc>
        <w:tc>
          <w:tcPr>
            <w:tcW w:w="556"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04" w:right="0"/>
              <w:jc w:val="center"/>
              <w:rPr>
                <w:rFonts w:ascii="Times New Roman" w:hAnsi="Times New Roman" w:cs="Times New Roman" w:eastAsia="Times New Roman" w:hint="default"/>
                <w:sz w:val="18"/>
                <w:szCs w:val="18"/>
              </w:rPr>
            </w:pPr>
            <w:r>
              <w:rPr>
                <w:rFonts w:ascii="Times New Roman"/>
                <w:sz w:val="18"/>
              </w:rPr>
              <w:t>129.8</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129.80</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30"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952"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07" w:lineRule="auto"/>
              <w:ind w:left="15" w:right="178"/>
              <w:jc w:val="left"/>
              <w:rPr>
                <w:rFonts w:ascii="宋体" w:hAnsi="宋体" w:cs="宋体" w:eastAsia="宋体" w:hint="default"/>
                <w:sz w:val="18"/>
                <w:szCs w:val="18"/>
              </w:rPr>
            </w:pPr>
            <w:r>
              <w:rPr>
                <w:rFonts w:ascii="宋体" w:hAnsi="宋体" w:cs="宋体" w:eastAsia="宋体" w:hint="default"/>
                <w:sz w:val="18"/>
                <w:szCs w:val="18"/>
              </w:rPr>
              <w:t>民生 银行</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321" w:lineRule="auto"/>
              <w:ind w:left="30" w:right="163"/>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9"/>
              <w:ind w:left="30" w:right="163"/>
              <w:jc w:val="both"/>
              <w:rPr>
                <w:rFonts w:ascii="宋体" w:hAnsi="宋体" w:cs="宋体" w:eastAsia="宋体" w:hint="default"/>
                <w:sz w:val="18"/>
                <w:szCs w:val="18"/>
              </w:rPr>
            </w:pPr>
            <w:r>
              <w:rPr>
                <w:rFonts w:ascii="宋体" w:hAnsi="宋体" w:cs="宋体" w:eastAsia="宋体" w:hint="default"/>
                <w:sz w:val="18"/>
                <w:szCs w:val="18"/>
              </w:rPr>
              <w:t>主要 投资 于货 币市 场工 具</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4.20%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4.20%</w:t>
            </w:r>
          </w:p>
        </w:tc>
        <w:tc>
          <w:tcPr>
            <w:tcW w:w="556"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center"/>
              <w:rPr>
                <w:rFonts w:ascii="Times New Roman" w:hAnsi="Times New Roman" w:cs="Times New Roman" w:eastAsia="Times New Roman" w:hint="default"/>
                <w:sz w:val="18"/>
                <w:szCs w:val="18"/>
              </w:rPr>
            </w:pPr>
            <w:r>
              <w:rPr>
                <w:rFonts w:ascii="Times New Roman"/>
                <w:sz w:val="18"/>
              </w:rPr>
              <w:t>72.49</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72.49</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651"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21" w:lineRule="auto"/>
              <w:ind w:left="15" w:right="178"/>
              <w:jc w:val="left"/>
              <w:rPr>
                <w:rFonts w:ascii="宋体" w:hAnsi="宋体" w:cs="宋体" w:eastAsia="宋体" w:hint="default"/>
                <w:sz w:val="18"/>
                <w:szCs w:val="18"/>
              </w:rPr>
            </w:pPr>
            <w:r>
              <w:rPr>
                <w:rFonts w:ascii="宋体" w:hAnsi="宋体" w:cs="宋体" w:eastAsia="宋体" w:hint="default"/>
                <w:sz w:val="18"/>
                <w:szCs w:val="18"/>
              </w:rPr>
              <w:t>浙商 银行</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13"/>
              <w:jc w:val="right"/>
              <w:rPr>
                <w:rFonts w:ascii="Times New Roman" w:hAnsi="Times New Roman" w:cs="Times New Roman" w:eastAsia="Times New Roman" w:hint="default"/>
                <w:sz w:val="18"/>
                <w:szCs w:val="18"/>
              </w:rPr>
            </w:pPr>
            <w:r>
              <w:rPr>
                <w:rFonts w:ascii="Times New Roman"/>
                <w:sz w:val="18"/>
              </w:rPr>
              <w:t>1,500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3"/>
              <w:ind w:left="30" w:right="163"/>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36"/>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30" w:right="163"/>
              <w:jc w:val="both"/>
              <w:rPr>
                <w:rFonts w:ascii="宋体" w:hAnsi="宋体" w:cs="宋体" w:eastAsia="宋体" w:hint="default"/>
                <w:sz w:val="18"/>
                <w:szCs w:val="18"/>
              </w:rPr>
            </w:pPr>
            <w:r>
              <w:rPr>
                <w:rFonts w:ascii="宋体" w:hAnsi="宋体" w:cs="宋体" w:eastAsia="宋体" w:hint="default"/>
                <w:sz w:val="18"/>
                <w:szCs w:val="18"/>
              </w:rPr>
              <w:t>投资 于固 定收 益类 工具</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15" w:right="0"/>
              <w:jc w:val="left"/>
              <w:rPr>
                <w:rFonts w:ascii="Times New Roman" w:hAnsi="Times New Roman" w:cs="Times New Roman" w:eastAsia="Times New Roman" w:hint="default"/>
                <w:sz w:val="18"/>
                <w:szCs w:val="18"/>
              </w:rPr>
            </w:pPr>
            <w:r>
              <w:rPr>
                <w:rFonts w:ascii="Times New Roman"/>
                <w:sz w:val="18"/>
              </w:rPr>
              <w:t>4.37%</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59" w:right="0"/>
              <w:jc w:val="center"/>
              <w:rPr>
                <w:rFonts w:ascii="Times New Roman" w:hAnsi="Times New Roman" w:cs="Times New Roman" w:eastAsia="Times New Roman" w:hint="default"/>
                <w:sz w:val="18"/>
                <w:szCs w:val="18"/>
              </w:rPr>
            </w:pPr>
            <w:r>
              <w:rPr>
                <w:rFonts w:ascii="Times New Roman"/>
                <w:sz w:val="18"/>
              </w:rPr>
              <w:t>4.37%</w:t>
            </w:r>
          </w:p>
        </w:tc>
        <w:tc>
          <w:tcPr>
            <w:tcW w:w="556"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104" w:right="0"/>
              <w:jc w:val="center"/>
              <w:rPr>
                <w:rFonts w:ascii="Times New Roman" w:hAnsi="Times New Roman" w:cs="Times New Roman" w:eastAsia="Times New Roman" w:hint="default"/>
                <w:sz w:val="18"/>
                <w:szCs w:val="18"/>
              </w:rPr>
            </w:pPr>
            <w:r>
              <w:rPr>
                <w:rFonts w:ascii="Times New Roman"/>
                <w:sz w:val="18"/>
              </w:rPr>
              <w:t>16.16</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30" w:right="0"/>
              <w:jc w:val="left"/>
              <w:rPr>
                <w:rFonts w:ascii="Times New Roman" w:hAnsi="Times New Roman" w:cs="Times New Roman" w:eastAsia="Times New Roman" w:hint="default"/>
                <w:sz w:val="18"/>
                <w:szCs w:val="18"/>
              </w:rPr>
            </w:pPr>
            <w:r>
              <w:rPr>
                <w:rFonts w:ascii="Times New Roman"/>
                <w:sz w:val="18"/>
              </w:rPr>
              <w:t>16.16</w:t>
            </w:r>
          </w:p>
        </w:tc>
        <w:tc>
          <w:tcPr>
            <w:tcW w:w="541"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652"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21" w:lineRule="auto"/>
              <w:ind w:left="15" w:right="178"/>
              <w:jc w:val="left"/>
              <w:rPr>
                <w:rFonts w:ascii="宋体" w:hAnsi="宋体" w:cs="宋体" w:eastAsia="宋体" w:hint="default"/>
                <w:sz w:val="18"/>
                <w:szCs w:val="18"/>
              </w:rPr>
            </w:pPr>
            <w:r>
              <w:rPr>
                <w:rFonts w:ascii="宋体" w:hAnsi="宋体" w:cs="宋体" w:eastAsia="宋体" w:hint="default"/>
                <w:sz w:val="18"/>
                <w:szCs w:val="18"/>
              </w:rPr>
              <w:t>浙商 银行</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13"/>
              <w:jc w:val="right"/>
              <w:rPr>
                <w:rFonts w:ascii="Times New Roman" w:hAnsi="Times New Roman" w:cs="Times New Roman" w:eastAsia="Times New Roman" w:hint="default"/>
                <w:sz w:val="18"/>
                <w:szCs w:val="18"/>
              </w:rPr>
            </w:pPr>
            <w:r>
              <w:rPr>
                <w:rFonts w:ascii="Times New Roman"/>
                <w:sz w:val="18"/>
              </w:rPr>
              <w:t>5,000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3"/>
              <w:ind w:left="30" w:right="163"/>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p>
          <w:p>
            <w:pPr>
              <w:pStyle w:val="TableParagraph"/>
              <w:spacing w:line="240" w:lineRule="auto" w:before="36"/>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30" w:right="163"/>
              <w:jc w:val="both"/>
              <w:rPr>
                <w:rFonts w:ascii="宋体" w:hAnsi="宋体" w:cs="宋体" w:eastAsia="宋体" w:hint="default"/>
                <w:sz w:val="18"/>
                <w:szCs w:val="18"/>
              </w:rPr>
            </w:pPr>
            <w:r>
              <w:rPr>
                <w:rFonts w:ascii="宋体" w:hAnsi="宋体" w:cs="宋体" w:eastAsia="宋体" w:hint="default"/>
                <w:sz w:val="18"/>
                <w:szCs w:val="18"/>
              </w:rPr>
              <w:t>投资 于固 定收 益类 工具</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15" w:right="0"/>
              <w:jc w:val="left"/>
              <w:rPr>
                <w:rFonts w:ascii="Times New Roman" w:hAnsi="Times New Roman" w:cs="Times New Roman" w:eastAsia="Times New Roman" w:hint="default"/>
                <w:sz w:val="18"/>
                <w:szCs w:val="18"/>
              </w:rPr>
            </w:pPr>
            <w:r>
              <w:rPr>
                <w:rFonts w:ascii="Times New Roman"/>
                <w:sz w:val="18"/>
              </w:rPr>
              <w:t>4.18%</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59" w:right="0"/>
              <w:jc w:val="center"/>
              <w:rPr>
                <w:rFonts w:ascii="Times New Roman" w:hAnsi="Times New Roman" w:cs="Times New Roman" w:eastAsia="Times New Roman" w:hint="default"/>
                <w:sz w:val="18"/>
                <w:szCs w:val="18"/>
              </w:rPr>
            </w:pPr>
            <w:r>
              <w:rPr>
                <w:rFonts w:ascii="Times New Roman"/>
                <w:sz w:val="18"/>
              </w:rPr>
              <w:t>4.18%</w:t>
            </w:r>
          </w:p>
        </w:tc>
        <w:tc>
          <w:tcPr>
            <w:tcW w:w="556"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104" w:right="0"/>
              <w:jc w:val="center"/>
              <w:rPr>
                <w:rFonts w:ascii="Times New Roman" w:hAnsi="Times New Roman" w:cs="Times New Roman" w:eastAsia="Times New Roman" w:hint="default"/>
                <w:sz w:val="18"/>
                <w:szCs w:val="18"/>
              </w:rPr>
            </w:pPr>
            <w:r>
              <w:rPr>
                <w:rFonts w:ascii="Times New Roman"/>
                <w:sz w:val="18"/>
              </w:rPr>
              <w:t>51.53</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30" w:right="0"/>
              <w:jc w:val="left"/>
              <w:rPr>
                <w:rFonts w:ascii="Times New Roman" w:hAnsi="Times New Roman" w:cs="Times New Roman" w:eastAsia="Times New Roman" w:hint="default"/>
                <w:sz w:val="18"/>
                <w:szCs w:val="18"/>
              </w:rPr>
            </w:pPr>
            <w:r>
              <w:rPr>
                <w:rFonts w:ascii="Times New Roman"/>
                <w:sz w:val="18"/>
              </w:rPr>
              <w:t>51.53</w:t>
            </w:r>
          </w:p>
        </w:tc>
        <w:tc>
          <w:tcPr>
            <w:tcW w:w="541"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651"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21" w:lineRule="auto"/>
              <w:ind w:left="15" w:right="178"/>
              <w:jc w:val="left"/>
              <w:rPr>
                <w:rFonts w:ascii="宋体" w:hAnsi="宋体" w:cs="宋体" w:eastAsia="宋体" w:hint="default"/>
                <w:sz w:val="18"/>
                <w:szCs w:val="18"/>
              </w:rPr>
            </w:pPr>
            <w:r>
              <w:rPr>
                <w:rFonts w:ascii="宋体" w:hAnsi="宋体" w:cs="宋体" w:eastAsia="宋体" w:hint="default"/>
                <w:sz w:val="18"/>
                <w:szCs w:val="18"/>
              </w:rPr>
              <w:t>浙商 银行</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13"/>
              <w:jc w:val="right"/>
              <w:rPr>
                <w:rFonts w:ascii="Times New Roman" w:hAnsi="Times New Roman" w:cs="Times New Roman" w:eastAsia="Times New Roman" w:hint="default"/>
                <w:sz w:val="18"/>
                <w:szCs w:val="18"/>
              </w:rPr>
            </w:pPr>
            <w:r>
              <w:rPr>
                <w:rFonts w:ascii="Times New Roman"/>
                <w:sz w:val="18"/>
              </w:rPr>
              <w:t>5,000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3"/>
              <w:ind w:left="30" w:right="163"/>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36"/>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30" w:right="163"/>
              <w:jc w:val="both"/>
              <w:rPr>
                <w:rFonts w:ascii="宋体" w:hAnsi="宋体" w:cs="宋体" w:eastAsia="宋体" w:hint="default"/>
                <w:sz w:val="18"/>
                <w:szCs w:val="18"/>
              </w:rPr>
            </w:pPr>
            <w:r>
              <w:rPr>
                <w:rFonts w:ascii="宋体" w:hAnsi="宋体" w:cs="宋体" w:eastAsia="宋体" w:hint="default"/>
                <w:sz w:val="18"/>
                <w:szCs w:val="18"/>
              </w:rPr>
              <w:t>投资 于固 定收 益类 工具</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15" w:right="0"/>
              <w:jc w:val="left"/>
              <w:rPr>
                <w:rFonts w:ascii="Times New Roman" w:hAnsi="Times New Roman" w:cs="Times New Roman" w:eastAsia="Times New Roman" w:hint="default"/>
                <w:sz w:val="18"/>
                <w:szCs w:val="18"/>
              </w:rPr>
            </w:pPr>
            <w:r>
              <w:rPr>
                <w:rFonts w:ascii="Times New Roman"/>
                <w:sz w:val="18"/>
              </w:rPr>
              <w:t>4.18%</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59" w:right="0"/>
              <w:jc w:val="center"/>
              <w:rPr>
                <w:rFonts w:ascii="Times New Roman" w:hAnsi="Times New Roman" w:cs="Times New Roman" w:eastAsia="Times New Roman" w:hint="default"/>
                <w:sz w:val="18"/>
                <w:szCs w:val="18"/>
              </w:rPr>
            </w:pPr>
            <w:r>
              <w:rPr>
                <w:rFonts w:ascii="Times New Roman"/>
                <w:sz w:val="18"/>
              </w:rPr>
              <w:t>4.18%</w:t>
            </w:r>
          </w:p>
        </w:tc>
        <w:tc>
          <w:tcPr>
            <w:tcW w:w="556"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104" w:right="0"/>
              <w:jc w:val="center"/>
              <w:rPr>
                <w:rFonts w:ascii="Times New Roman" w:hAnsi="Times New Roman" w:cs="Times New Roman" w:eastAsia="Times New Roman" w:hint="default"/>
                <w:sz w:val="18"/>
                <w:szCs w:val="18"/>
              </w:rPr>
            </w:pPr>
            <w:r>
              <w:rPr>
                <w:rFonts w:ascii="Times New Roman"/>
                <w:sz w:val="18"/>
              </w:rPr>
              <w:t>51.53</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30" w:right="0"/>
              <w:jc w:val="left"/>
              <w:rPr>
                <w:rFonts w:ascii="Times New Roman" w:hAnsi="Times New Roman" w:cs="Times New Roman" w:eastAsia="Times New Roman" w:hint="default"/>
                <w:sz w:val="18"/>
                <w:szCs w:val="18"/>
              </w:rPr>
            </w:pPr>
            <w:r>
              <w:rPr>
                <w:rFonts w:ascii="Times New Roman"/>
                <w:sz w:val="18"/>
              </w:rPr>
              <w:t>51.53</w:t>
            </w:r>
          </w:p>
        </w:tc>
        <w:tc>
          <w:tcPr>
            <w:tcW w:w="541"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967"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7" w:lineRule="auto"/>
              <w:ind w:left="15" w:right="178"/>
              <w:jc w:val="left"/>
              <w:rPr>
                <w:rFonts w:ascii="宋体" w:hAnsi="宋体" w:cs="宋体" w:eastAsia="宋体" w:hint="default"/>
                <w:sz w:val="18"/>
                <w:szCs w:val="18"/>
              </w:rPr>
            </w:pPr>
            <w:r>
              <w:rPr>
                <w:rFonts w:ascii="宋体" w:hAnsi="宋体" w:cs="宋体" w:eastAsia="宋体" w:hint="default"/>
                <w:sz w:val="18"/>
                <w:szCs w:val="18"/>
              </w:rPr>
              <w:t>招商 银行</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4" w:lineRule="auto"/>
              <w:ind w:left="30" w:right="163"/>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44"/>
              <w:ind w:left="30" w:right="163"/>
              <w:jc w:val="both"/>
              <w:rPr>
                <w:rFonts w:ascii="宋体" w:hAnsi="宋体" w:cs="宋体" w:eastAsia="宋体" w:hint="default"/>
                <w:sz w:val="18"/>
                <w:szCs w:val="18"/>
              </w:rPr>
            </w:pPr>
            <w:r>
              <w:rPr>
                <w:rFonts w:ascii="宋体" w:hAnsi="宋体" w:cs="宋体" w:eastAsia="宋体" w:hint="default"/>
                <w:sz w:val="18"/>
                <w:szCs w:val="18"/>
              </w:rPr>
              <w:t>投资 于金 融资 产和 金融 工具</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7" w:lineRule="auto"/>
              <w:ind w:left="15" w:right="165"/>
              <w:jc w:val="left"/>
              <w:rPr>
                <w:rFonts w:ascii="宋体" w:hAnsi="宋体" w:cs="宋体" w:eastAsia="宋体" w:hint="default"/>
                <w:sz w:val="18"/>
                <w:szCs w:val="18"/>
              </w:rPr>
            </w:pPr>
            <w:r>
              <w:rPr>
                <w:rFonts w:ascii="宋体" w:hAnsi="宋体" w:cs="宋体" w:eastAsia="宋体" w:hint="default"/>
                <w:sz w:val="18"/>
                <w:szCs w:val="18"/>
              </w:rPr>
              <w:t>浮动 利率</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4.00%</w:t>
            </w:r>
          </w:p>
        </w:tc>
        <w:tc>
          <w:tcPr>
            <w:tcW w:w="556"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4" w:right="0"/>
              <w:jc w:val="center"/>
              <w:rPr>
                <w:rFonts w:ascii="Times New Roman" w:hAnsi="Times New Roman" w:cs="Times New Roman" w:eastAsia="Times New Roman" w:hint="default"/>
                <w:sz w:val="18"/>
                <w:szCs w:val="18"/>
              </w:rPr>
            </w:pPr>
            <w:r>
              <w:rPr>
                <w:rFonts w:ascii="Times New Roman"/>
                <w:sz w:val="18"/>
              </w:rPr>
              <w:t>89.76</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89.76</w:t>
            </w:r>
          </w:p>
        </w:tc>
        <w:tc>
          <w:tcPr>
            <w:tcW w:w="541"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967"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21" w:lineRule="auto"/>
              <w:ind w:left="15" w:right="178"/>
              <w:jc w:val="left"/>
              <w:rPr>
                <w:rFonts w:ascii="宋体" w:hAnsi="宋体" w:cs="宋体" w:eastAsia="宋体" w:hint="default"/>
                <w:sz w:val="18"/>
                <w:szCs w:val="18"/>
              </w:rPr>
            </w:pPr>
            <w:r>
              <w:rPr>
                <w:rFonts w:ascii="宋体" w:hAnsi="宋体" w:cs="宋体" w:eastAsia="宋体" w:hint="default"/>
                <w:sz w:val="18"/>
                <w:szCs w:val="18"/>
              </w:rPr>
              <w:t>民生 银行</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314" w:lineRule="auto"/>
              <w:ind w:left="30" w:right="163"/>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30" w:right="163"/>
              <w:jc w:val="both"/>
              <w:rPr>
                <w:rFonts w:ascii="宋体" w:hAnsi="宋体" w:cs="宋体" w:eastAsia="宋体" w:hint="default"/>
                <w:sz w:val="18"/>
                <w:szCs w:val="18"/>
              </w:rPr>
            </w:pPr>
            <w:r>
              <w:rPr>
                <w:rFonts w:ascii="宋体" w:hAnsi="宋体" w:cs="宋体" w:eastAsia="宋体" w:hint="default"/>
                <w:sz w:val="18"/>
                <w:szCs w:val="18"/>
              </w:rPr>
              <w:t>主要 投资 于货 币市 场工 具</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4.10%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4.10%</w:t>
            </w:r>
          </w:p>
        </w:tc>
        <w:tc>
          <w:tcPr>
            <w:tcW w:w="556"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4" w:right="0"/>
              <w:jc w:val="center"/>
              <w:rPr>
                <w:rFonts w:ascii="Times New Roman" w:hAnsi="Times New Roman" w:cs="Times New Roman" w:eastAsia="Times New Roman" w:hint="default"/>
                <w:sz w:val="18"/>
                <w:szCs w:val="18"/>
              </w:rPr>
            </w:pPr>
            <w:r>
              <w:rPr>
                <w:rFonts w:ascii="Times New Roman"/>
                <w:sz w:val="18"/>
              </w:rPr>
              <w:t>40.89</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40.89</w:t>
            </w:r>
          </w:p>
        </w:tc>
        <w:tc>
          <w:tcPr>
            <w:tcW w:w="541"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同上</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570"/>
        <w:gridCol w:w="586"/>
        <w:gridCol w:w="616"/>
        <w:gridCol w:w="571"/>
        <w:gridCol w:w="570"/>
        <w:gridCol w:w="556"/>
        <w:gridCol w:w="556"/>
        <w:gridCol w:w="570"/>
        <w:gridCol w:w="556"/>
        <w:gridCol w:w="571"/>
        <w:gridCol w:w="556"/>
        <w:gridCol w:w="555"/>
        <w:gridCol w:w="570"/>
        <w:gridCol w:w="541"/>
        <w:gridCol w:w="555"/>
        <w:gridCol w:w="541"/>
        <w:gridCol w:w="541"/>
      </w:tblGrid>
      <w:tr>
        <w:trPr>
          <w:trHeight w:val="1966"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21" w:lineRule="auto"/>
              <w:ind w:left="15" w:right="178"/>
              <w:jc w:val="left"/>
              <w:rPr>
                <w:rFonts w:ascii="宋体" w:hAnsi="宋体" w:cs="宋体" w:eastAsia="宋体" w:hint="default"/>
                <w:sz w:val="18"/>
                <w:szCs w:val="18"/>
              </w:rPr>
            </w:pPr>
            <w:r>
              <w:rPr>
                <w:rFonts w:ascii="宋体" w:hAnsi="宋体" w:cs="宋体" w:eastAsia="宋体" w:hint="default"/>
                <w:sz w:val="18"/>
                <w:szCs w:val="18"/>
              </w:rPr>
              <w:t>民生 银行</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4" w:lineRule="auto"/>
              <w:ind w:left="30" w:right="163"/>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30" w:right="163"/>
              <w:jc w:val="both"/>
              <w:rPr>
                <w:rFonts w:ascii="宋体" w:hAnsi="宋体" w:cs="宋体" w:eastAsia="宋体" w:hint="default"/>
                <w:sz w:val="18"/>
                <w:szCs w:val="18"/>
              </w:rPr>
            </w:pPr>
            <w:r>
              <w:rPr>
                <w:rFonts w:ascii="宋体" w:hAnsi="宋体" w:cs="宋体" w:eastAsia="宋体" w:hint="default"/>
                <w:sz w:val="18"/>
                <w:szCs w:val="18"/>
              </w:rPr>
              <w:t>主要 投资 于货 币市 场工 具</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4.10%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4.10%</w:t>
            </w:r>
          </w:p>
        </w:tc>
        <w:tc>
          <w:tcPr>
            <w:tcW w:w="556"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40.89</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40.89</w:t>
            </w:r>
          </w:p>
        </w:tc>
        <w:tc>
          <w:tcPr>
            <w:tcW w:w="541"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966"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21" w:lineRule="auto"/>
              <w:ind w:left="15" w:right="178"/>
              <w:jc w:val="left"/>
              <w:rPr>
                <w:rFonts w:ascii="宋体" w:hAnsi="宋体" w:cs="宋体" w:eastAsia="宋体" w:hint="default"/>
                <w:sz w:val="18"/>
                <w:szCs w:val="18"/>
              </w:rPr>
            </w:pPr>
            <w:r>
              <w:rPr>
                <w:rFonts w:ascii="宋体" w:hAnsi="宋体" w:cs="宋体" w:eastAsia="宋体" w:hint="default"/>
                <w:sz w:val="18"/>
                <w:szCs w:val="18"/>
              </w:rPr>
              <w:t>民生 银行</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4" w:lineRule="auto"/>
              <w:ind w:left="30" w:right="163"/>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36"/>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9"/>
              <w:ind w:left="30" w:right="163"/>
              <w:jc w:val="both"/>
              <w:rPr>
                <w:rFonts w:ascii="宋体" w:hAnsi="宋体" w:cs="宋体" w:eastAsia="宋体" w:hint="default"/>
                <w:sz w:val="18"/>
                <w:szCs w:val="18"/>
              </w:rPr>
            </w:pPr>
            <w:r>
              <w:rPr>
                <w:rFonts w:ascii="宋体" w:hAnsi="宋体" w:cs="宋体" w:eastAsia="宋体" w:hint="default"/>
                <w:sz w:val="18"/>
                <w:szCs w:val="18"/>
              </w:rPr>
              <w:t>主要 投资 于货 币市 场工 具</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4.10%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4.10%</w:t>
            </w:r>
          </w:p>
        </w:tc>
        <w:tc>
          <w:tcPr>
            <w:tcW w:w="556"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40.89</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40.89</w:t>
            </w:r>
          </w:p>
        </w:tc>
        <w:tc>
          <w:tcPr>
            <w:tcW w:w="541"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2583"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4" w:lineRule="auto" w:before="148"/>
              <w:ind w:left="15" w:right="178"/>
              <w:jc w:val="left"/>
              <w:rPr>
                <w:rFonts w:ascii="宋体" w:hAnsi="宋体" w:cs="宋体" w:eastAsia="宋体" w:hint="default"/>
                <w:sz w:val="18"/>
                <w:szCs w:val="18"/>
              </w:rPr>
            </w:pPr>
            <w:r>
              <w:rPr>
                <w:rFonts w:ascii="宋体" w:hAnsi="宋体" w:cs="宋体" w:eastAsia="宋体" w:hint="default"/>
                <w:sz w:val="18"/>
                <w:szCs w:val="18"/>
              </w:rPr>
              <w:t>广发 银行</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3"/>
              <w:jc w:val="right"/>
              <w:rPr>
                <w:rFonts w:ascii="Times New Roman" w:hAnsi="Times New Roman" w:cs="Times New Roman" w:eastAsia="Times New Roman" w:hint="default"/>
                <w:sz w:val="18"/>
                <w:szCs w:val="18"/>
              </w:rPr>
            </w:pPr>
            <w:r>
              <w:rPr>
                <w:rFonts w:ascii="Times New Roman"/>
                <w:sz w:val="18"/>
              </w:rPr>
              <w:t>8,000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21" w:lineRule="auto"/>
              <w:ind w:left="30" w:right="163"/>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30"/>
              <w:ind w:left="30" w:right="13"/>
              <w:jc w:val="left"/>
              <w:rPr>
                <w:rFonts w:ascii="宋体" w:hAnsi="宋体" w:cs="宋体" w:eastAsia="宋体" w:hint="default"/>
                <w:sz w:val="18"/>
                <w:szCs w:val="18"/>
              </w:rPr>
            </w:pPr>
            <w:r>
              <w:rPr>
                <w:rFonts w:ascii="宋体" w:hAnsi="宋体" w:cs="宋体" w:eastAsia="宋体" w:hint="default"/>
                <w:sz w:val="18"/>
                <w:szCs w:val="18"/>
              </w:rPr>
              <w:t>投资 于货 币市 场工 </w:t>
            </w:r>
            <w:r>
              <w:rPr>
                <w:rFonts w:ascii="宋体" w:hAnsi="宋体" w:cs="宋体" w:eastAsia="宋体" w:hint="default"/>
                <w:spacing w:val="-11"/>
                <w:sz w:val="18"/>
                <w:szCs w:val="18"/>
              </w:rPr>
              <w:t>具、债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券等 金融 资产</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4" w:lineRule="auto" w:before="148"/>
              <w:ind w:left="15" w:right="165"/>
              <w:jc w:val="left"/>
              <w:rPr>
                <w:rFonts w:ascii="宋体" w:hAnsi="宋体" w:cs="宋体" w:eastAsia="宋体" w:hint="default"/>
                <w:sz w:val="18"/>
                <w:szCs w:val="18"/>
              </w:rPr>
            </w:pPr>
            <w:r>
              <w:rPr>
                <w:rFonts w:ascii="宋体" w:hAnsi="宋体" w:cs="宋体" w:eastAsia="宋体" w:hint="default"/>
                <w:sz w:val="18"/>
                <w:szCs w:val="18"/>
              </w:rPr>
              <w:t>浮动 利率</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59" w:right="0"/>
              <w:jc w:val="center"/>
              <w:rPr>
                <w:rFonts w:ascii="Times New Roman" w:hAnsi="Times New Roman" w:cs="Times New Roman" w:eastAsia="Times New Roman" w:hint="default"/>
                <w:sz w:val="18"/>
                <w:szCs w:val="18"/>
              </w:rPr>
            </w:pPr>
            <w:r>
              <w:rPr>
                <w:rFonts w:ascii="Times New Roman"/>
                <w:sz w:val="18"/>
              </w:rPr>
              <w:t>3.85%</w:t>
            </w:r>
          </w:p>
        </w:tc>
        <w:tc>
          <w:tcPr>
            <w:tcW w:w="556"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3"/>
              <w:jc w:val="right"/>
              <w:rPr>
                <w:rFonts w:ascii="Times New Roman" w:hAnsi="Times New Roman" w:cs="Times New Roman" w:eastAsia="Times New Roman" w:hint="default"/>
                <w:sz w:val="18"/>
                <w:szCs w:val="18"/>
              </w:rPr>
            </w:pPr>
            <w:r>
              <w:rPr>
                <w:rFonts w:ascii="Times New Roman"/>
                <w:sz w:val="18"/>
              </w:rPr>
              <w:t>75.95</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0" w:right="0"/>
              <w:jc w:val="left"/>
              <w:rPr>
                <w:rFonts w:ascii="Times New Roman" w:hAnsi="Times New Roman" w:cs="Times New Roman" w:eastAsia="Times New Roman" w:hint="default"/>
                <w:sz w:val="18"/>
                <w:szCs w:val="18"/>
              </w:rPr>
            </w:pPr>
            <w:r>
              <w:rPr>
                <w:rFonts w:ascii="Times New Roman"/>
                <w:sz w:val="18"/>
              </w:rPr>
              <w:t>75.95</w:t>
            </w:r>
          </w:p>
        </w:tc>
        <w:tc>
          <w:tcPr>
            <w:tcW w:w="541"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652"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07" w:lineRule="auto"/>
              <w:ind w:left="15" w:right="178"/>
              <w:jc w:val="left"/>
              <w:rPr>
                <w:rFonts w:ascii="宋体" w:hAnsi="宋体" w:cs="宋体" w:eastAsia="宋体" w:hint="default"/>
                <w:sz w:val="18"/>
                <w:szCs w:val="18"/>
              </w:rPr>
            </w:pPr>
            <w:r>
              <w:rPr>
                <w:rFonts w:ascii="宋体" w:hAnsi="宋体" w:cs="宋体" w:eastAsia="宋体" w:hint="default"/>
                <w:sz w:val="18"/>
                <w:szCs w:val="18"/>
              </w:rPr>
              <w:t>浙商 银行</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38"/>
              <w:ind w:left="30" w:right="163"/>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p>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30" w:right="163"/>
              <w:jc w:val="both"/>
              <w:rPr>
                <w:rFonts w:ascii="宋体" w:hAnsi="宋体" w:cs="宋体" w:eastAsia="宋体" w:hint="default"/>
                <w:sz w:val="18"/>
                <w:szCs w:val="18"/>
              </w:rPr>
            </w:pPr>
            <w:r>
              <w:rPr>
                <w:rFonts w:ascii="宋体" w:hAnsi="宋体" w:cs="宋体" w:eastAsia="宋体" w:hint="default"/>
                <w:sz w:val="18"/>
                <w:szCs w:val="18"/>
              </w:rPr>
              <w:t>投资 于固 定收 益类 工具</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4.15%</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4.15%</w:t>
            </w:r>
          </w:p>
        </w:tc>
        <w:tc>
          <w:tcPr>
            <w:tcW w:w="556"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40.93</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40.93</w:t>
            </w:r>
          </w:p>
        </w:tc>
        <w:tc>
          <w:tcPr>
            <w:tcW w:w="541"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336"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38"/>
              <w:ind w:left="15" w:right="178"/>
              <w:jc w:val="left"/>
              <w:rPr>
                <w:rFonts w:ascii="宋体" w:hAnsi="宋体" w:cs="宋体" w:eastAsia="宋体" w:hint="default"/>
                <w:sz w:val="18"/>
                <w:szCs w:val="18"/>
              </w:rPr>
            </w:pPr>
            <w:r>
              <w:rPr>
                <w:rFonts w:ascii="宋体" w:hAnsi="宋体" w:cs="宋体" w:eastAsia="宋体" w:hint="default"/>
                <w:sz w:val="18"/>
                <w:szCs w:val="18"/>
              </w:rPr>
              <w:t>浦发 银行</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3"/>
              <w:jc w:val="right"/>
              <w:rPr>
                <w:rFonts w:ascii="Times New Roman" w:hAnsi="Times New Roman" w:cs="Times New Roman" w:eastAsia="Times New Roman" w:hint="default"/>
                <w:sz w:val="18"/>
                <w:szCs w:val="18"/>
              </w:rPr>
            </w:pPr>
            <w:r>
              <w:rPr>
                <w:rFonts w:ascii="Times New Roman"/>
                <w:sz w:val="18"/>
              </w:rPr>
              <w:t>1,000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4" w:lineRule="auto"/>
              <w:ind w:left="30" w:right="163"/>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30" w:right="163"/>
              <w:jc w:val="both"/>
              <w:rPr>
                <w:rFonts w:ascii="宋体" w:hAnsi="宋体" w:cs="宋体" w:eastAsia="宋体" w:hint="default"/>
                <w:sz w:val="18"/>
                <w:szCs w:val="18"/>
              </w:rPr>
            </w:pPr>
            <w:r>
              <w:rPr>
                <w:rFonts w:ascii="宋体" w:hAnsi="宋体" w:cs="宋体" w:eastAsia="宋体" w:hint="default"/>
                <w:sz w:val="18"/>
                <w:szCs w:val="18"/>
              </w:rPr>
              <w:t>投资 于信 用类 债券</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Times New Roman" w:hAnsi="Times New Roman" w:cs="Times New Roman" w:eastAsia="Times New Roman" w:hint="default"/>
                <w:sz w:val="18"/>
                <w:szCs w:val="18"/>
              </w:rPr>
            </w:pPr>
            <w:r>
              <w:rPr>
                <w:rFonts w:ascii="Times New Roman"/>
                <w:sz w:val="18"/>
              </w:rPr>
              <w:t>4.05%</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59" w:right="0"/>
              <w:jc w:val="center"/>
              <w:rPr>
                <w:rFonts w:ascii="Times New Roman" w:hAnsi="Times New Roman" w:cs="Times New Roman" w:eastAsia="Times New Roman" w:hint="default"/>
                <w:sz w:val="18"/>
                <w:szCs w:val="18"/>
              </w:rPr>
            </w:pPr>
            <w:r>
              <w:rPr>
                <w:rFonts w:ascii="Times New Roman"/>
                <w:sz w:val="18"/>
              </w:rPr>
              <w:t>4.05%</w:t>
            </w:r>
          </w:p>
        </w:tc>
        <w:tc>
          <w:tcPr>
            <w:tcW w:w="556"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3"/>
              <w:jc w:val="right"/>
              <w:rPr>
                <w:rFonts w:ascii="Times New Roman" w:hAnsi="Times New Roman" w:cs="Times New Roman" w:eastAsia="Times New Roman" w:hint="default"/>
                <w:sz w:val="18"/>
                <w:szCs w:val="18"/>
              </w:rPr>
            </w:pPr>
            <w:r>
              <w:rPr>
                <w:rFonts w:ascii="Times New Roman"/>
                <w:sz w:val="18"/>
              </w:rPr>
              <w:t>9.99</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Times New Roman" w:hAnsi="Times New Roman" w:cs="Times New Roman" w:eastAsia="Times New Roman" w:hint="default"/>
                <w:sz w:val="18"/>
                <w:szCs w:val="18"/>
              </w:rPr>
            </w:pPr>
            <w:r>
              <w:rPr>
                <w:rFonts w:ascii="Times New Roman"/>
                <w:sz w:val="18"/>
              </w:rPr>
              <w:t>9.99</w:t>
            </w:r>
          </w:p>
        </w:tc>
        <w:tc>
          <w:tcPr>
            <w:tcW w:w="541"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651"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321" w:lineRule="auto"/>
              <w:ind w:left="15" w:right="178"/>
              <w:jc w:val="left"/>
              <w:rPr>
                <w:rFonts w:ascii="宋体" w:hAnsi="宋体" w:cs="宋体" w:eastAsia="宋体" w:hint="default"/>
                <w:sz w:val="18"/>
                <w:szCs w:val="18"/>
              </w:rPr>
            </w:pPr>
            <w:r>
              <w:rPr>
                <w:rFonts w:ascii="宋体" w:hAnsi="宋体" w:cs="宋体" w:eastAsia="宋体" w:hint="default"/>
                <w:sz w:val="18"/>
                <w:szCs w:val="18"/>
              </w:rPr>
              <w:t>浙商 银行</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1,500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3"/>
              <w:ind w:left="30" w:right="163"/>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p>
          <w:p>
            <w:pPr>
              <w:pStyle w:val="TableParagraph"/>
              <w:spacing w:line="240" w:lineRule="auto" w:before="36"/>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30" w:right="163"/>
              <w:jc w:val="both"/>
              <w:rPr>
                <w:rFonts w:ascii="宋体" w:hAnsi="宋体" w:cs="宋体" w:eastAsia="宋体" w:hint="default"/>
                <w:sz w:val="18"/>
                <w:szCs w:val="18"/>
              </w:rPr>
            </w:pPr>
            <w:r>
              <w:rPr>
                <w:rFonts w:ascii="宋体" w:hAnsi="宋体" w:cs="宋体" w:eastAsia="宋体" w:hint="default"/>
                <w:sz w:val="18"/>
                <w:szCs w:val="18"/>
              </w:rPr>
              <w:t>投资 于固 定收 益类 工具</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4.15%</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4.15%</w:t>
            </w:r>
          </w:p>
        </w:tc>
        <w:tc>
          <w:tcPr>
            <w:tcW w:w="556"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15.35</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15.35</w:t>
            </w:r>
          </w:p>
        </w:tc>
        <w:tc>
          <w:tcPr>
            <w:tcW w:w="541"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2583"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48"/>
              <w:ind w:left="15" w:right="178"/>
              <w:jc w:val="left"/>
              <w:rPr>
                <w:rFonts w:ascii="宋体" w:hAnsi="宋体" w:cs="宋体" w:eastAsia="宋体" w:hint="default"/>
                <w:sz w:val="18"/>
                <w:szCs w:val="18"/>
              </w:rPr>
            </w:pPr>
            <w:r>
              <w:rPr>
                <w:rFonts w:ascii="宋体" w:hAnsi="宋体" w:cs="宋体" w:eastAsia="宋体" w:hint="default"/>
                <w:sz w:val="18"/>
                <w:szCs w:val="18"/>
              </w:rPr>
              <w:t>广发 银行</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3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14,000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30" w:right="163"/>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30" w:right="13"/>
              <w:jc w:val="left"/>
              <w:rPr>
                <w:rFonts w:ascii="宋体" w:hAnsi="宋体" w:cs="宋体" w:eastAsia="宋体" w:hint="default"/>
                <w:sz w:val="18"/>
                <w:szCs w:val="18"/>
              </w:rPr>
            </w:pPr>
            <w:r>
              <w:rPr>
                <w:rFonts w:ascii="宋体" w:hAnsi="宋体" w:cs="宋体" w:eastAsia="宋体" w:hint="default"/>
                <w:sz w:val="18"/>
                <w:szCs w:val="18"/>
              </w:rPr>
              <w:t>投资 于货 币市 场工 </w:t>
            </w:r>
            <w:r>
              <w:rPr>
                <w:rFonts w:ascii="宋体" w:hAnsi="宋体" w:cs="宋体" w:eastAsia="宋体" w:hint="default"/>
                <w:spacing w:val="-11"/>
                <w:sz w:val="18"/>
                <w:szCs w:val="18"/>
              </w:rPr>
              <w:t>具、债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券等 金融 资产</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48"/>
              <w:ind w:left="15" w:right="165"/>
              <w:jc w:val="left"/>
              <w:rPr>
                <w:rFonts w:ascii="宋体" w:hAnsi="宋体" w:cs="宋体" w:eastAsia="宋体" w:hint="default"/>
                <w:sz w:val="18"/>
                <w:szCs w:val="18"/>
              </w:rPr>
            </w:pPr>
            <w:r>
              <w:rPr>
                <w:rFonts w:ascii="宋体" w:hAnsi="宋体" w:cs="宋体" w:eastAsia="宋体" w:hint="default"/>
                <w:sz w:val="18"/>
                <w:szCs w:val="18"/>
              </w:rPr>
              <w:t>浮动 利率</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3.75%</w:t>
            </w:r>
          </w:p>
        </w:tc>
        <w:tc>
          <w:tcPr>
            <w:tcW w:w="556"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130.89</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130.89</w:t>
            </w:r>
          </w:p>
        </w:tc>
        <w:tc>
          <w:tcPr>
            <w:tcW w:w="541"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30" w:right="0"/>
              <w:jc w:val="left"/>
              <w:rPr>
                <w:rFonts w:ascii="宋体" w:hAnsi="宋体" w:cs="宋体" w:eastAsia="宋体" w:hint="default"/>
                <w:sz w:val="18"/>
                <w:szCs w:val="18"/>
              </w:rPr>
            </w:pPr>
            <w:r>
              <w:rPr>
                <w:rFonts w:ascii="宋体" w:hAnsi="宋体" w:cs="宋体" w:eastAsia="宋体" w:hint="default"/>
                <w:sz w:val="18"/>
                <w:szCs w:val="18"/>
              </w:rPr>
              <w:t>同上</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570"/>
        <w:gridCol w:w="586"/>
        <w:gridCol w:w="616"/>
        <w:gridCol w:w="571"/>
        <w:gridCol w:w="570"/>
        <w:gridCol w:w="556"/>
        <w:gridCol w:w="556"/>
        <w:gridCol w:w="570"/>
        <w:gridCol w:w="556"/>
        <w:gridCol w:w="571"/>
        <w:gridCol w:w="556"/>
        <w:gridCol w:w="555"/>
        <w:gridCol w:w="570"/>
        <w:gridCol w:w="541"/>
        <w:gridCol w:w="555"/>
        <w:gridCol w:w="541"/>
        <w:gridCol w:w="541"/>
      </w:tblGrid>
      <w:tr>
        <w:trPr>
          <w:trHeight w:val="1651"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04" w:lineRule="auto"/>
              <w:ind w:left="15" w:right="178"/>
              <w:jc w:val="left"/>
              <w:rPr>
                <w:rFonts w:ascii="宋体" w:hAnsi="宋体" w:cs="宋体" w:eastAsia="宋体" w:hint="default"/>
                <w:sz w:val="18"/>
                <w:szCs w:val="18"/>
              </w:rPr>
            </w:pPr>
            <w:r>
              <w:rPr>
                <w:rFonts w:ascii="宋体" w:hAnsi="宋体" w:cs="宋体" w:eastAsia="宋体" w:hint="default"/>
                <w:sz w:val="18"/>
                <w:szCs w:val="18"/>
              </w:rPr>
              <w:t>浙商 银行</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38"/>
              <w:ind w:left="30" w:right="163"/>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30" w:right="163"/>
              <w:jc w:val="both"/>
              <w:rPr>
                <w:rFonts w:ascii="宋体" w:hAnsi="宋体" w:cs="宋体" w:eastAsia="宋体" w:hint="default"/>
                <w:sz w:val="18"/>
                <w:szCs w:val="18"/>
              </w:rPr>
            </w:pPr>
            <w:r>
              <w:rPr>
                <w:rFonts w:ascii="宋体" w:hAnsi="宋体" w:cs="宋体" w:eastAsia="宋体" w:hint="default"/>
                <w:sz w:val="18"/>
                <w:szCs w:val="18"/>
              </w:rPr>
              <w:t>投资 于固 定收 益类 工具</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4.15%</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4.15%</w:t>
            </w:r>
          </w:p>
        </w:tc>
        <w:tc>
          <w:tcPr>
            <w:tcW w:w="556"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40.93</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40.93</w:t>
            </w:r>
          </w:p>
        </w:tc>
        <w:tc>
          <w:tcPr>
            <w:tcW w:w="541"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652"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304" w:lineRule="auto"/>
              <w:ind w:left="15" w:right="178"/>
              <w:jc w:val="left"/>
              <w:rPr>
                <w:rFonts w:ascii="宋体" w:hAnsi="宋体" w:cs="宋体" w:eastAsia="宋体" w:hint="default"/>
                <w:sz w:val="18"/>
                <w:szCs w:val="18"/>
              </w:rPr>
            </w:pPr>
            <w:r>
              <w:rPr>
                <w:rFonts w:ascii="宋体" w:hAnsi="宋体" w:cs="宋体" w:eastAsia="宋体" w:hint="default"/>
                <w:sz w:val="18"/>
                <w:szCs w:val="18"/>
              </w:rPr>
              <w:t>浙商 银行</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38"/>
              <w:ind w:left="30" w:right="163"/>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30" w:right="163"/>
              <w:jc w:val="both"/>
              <w:rPr>
                <w:rFonts w:ascii="宋体" w:hAnsi="宋体" w:cs="宋体" w:eastAsia="宋体" w:hint="default"/>
                <w:sz w:val="18"/>
                <w:szCs w:val="18"/>
              </w:rPr>
            </w:pPr>
            <w:r>
              <w:rPr>
                <w:rFonts w:ascii="宋体" w:hAnsi="宋体" w:cs="宋体" w:eastAsia="宋体" w:hint="default"/>
                <w:sz w:val="18"/>
                <w:szCs w:val="18"/>
              </w:rPr>
              <w:t>投资 于固 定收 益类 工具</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4.15%</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4.15%</w:t>
            </w:r>
          </w:p>
        </w:tc>
        <w:tc>
          <w:tcPr>
            <w:tcW w:w="556"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51.16</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51.16</w:t>
            </w:r>
          </w:p>
        </w:tc>
        <w:tc>
          <w:tcPr>
            <w:tcW w:w="541"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967"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21" w:lineRule="auto"/>
              <w:ind w:left="15" w:right="178"/>
              <w:jc w:val="left"/>
              <w:rPr>
                <w:rFonts w:ascii="宋体" w:hAnsi="宋体" w:cs="宋体" w:eastAsia="宋体" w:hint="default"/>
                <w:sz w:val="18"/>
                <w:szCs w:val="18"/>
              </w:rPr>
            </w:pPr>
            <w:r>
              <w:rPr>
                <w:rFonts w:ascii="宋体" w:hAnsi="宋体" w:cs="宋体" w:eastAsia="宋体" w:hint="default"/>
                <w:sz w:val="18"/>
                <w:szCs w:val="18"/>
              </w:rPr>
              <w:t>民生 银行</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6,000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314" w:lineRule="auto"/>
              <w:ind w:left="30" w:right="163"/>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30" w:right="163"/>
              <w:jc w:val="both"/>
              <w:rPr>
                <w:rFonts w:ascii="宋体" w:hAnsi="宋体" w:cs="宋体" w:eastAsia="宋体" w:hint="default"/>
                <w:sz w:val="18"/>
                <w:szCs w:val="18"/>
              </w:rPr>
            </w:pPr>
            <w:r>
              <w:rPr>
                <w:rFonts w:ascii="宋体" w:hAnsi="宋体" w:cs="宋体" w:eastAsia="宋体" w:hint="default"/>
                <w:sz w:val="18"/>
                <w:szCs w:val="18"/>
              </w:rPr>
              <w:t>主要 投资 于货 币市 场工 具</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4.05%</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4.05%</w:t>
            </w:r>
          </w:p>
        </w:tc>
        <w:tc>
          <w:tcPr>
            <w:tcW w:w="556"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60.58</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60.58</w:t>
            </w:r>
          </w:p>
        </w:tc>
        <w:tc>
          <w:tcPr>
            <w:tcW w:w="541"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966"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21" w:lineRule="auto"/>
              <w:ind w:left="15" w:right="178"/>
              <w:jc w:val="left"/>
              <w:rPr>
                <w:rFonts w:ascii="宋体" w:hAnsi="宋体" w:cs="宋体" w:eastAsia="宋体" w:hint="default"/>
                <w:sz w:val="18"/>
                <w:szCs w:val="18"/>
              </w:rPr>
            </w:pPr>
            <w:r>
              <w:rPr>
                <w:rFonts w:ascii="宋体" w:hAnsi="宋体" w:cs="宋体" w:eastAsia="宋体" w:hint="default"/>
                <w:sz w:val="18"/>
                <w:szCs w:val="18"/>
              </w:rPr>
              <w:t>招商 银行</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4" w:lineRule="auto"/>
              <w:ind w:left="30" w:right="163"/>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p>
          <w:p>
            <w:pPr>
              <w:pStyle w:val="TableParagraph"/>
              <w:spacing w:line="240" w:lineRule="auto" w:before="36"/>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9"/>
              <w:ind w:left="30" w:right="163"/>
              <w:jc w:val="both"/>
              <w:rPr>
                <w:rFonts w:ascii="宋体" w:hAnsi="宋体" w:cs="宋体" w:eastAsia="宋体" w:hint="default"/>
                <w:sz w:val="18"/>
                <w:szCs w:val="18"/>
              </w:rPr>
            </w:pPr>
            <w:r>
              <w:rPr>
                <w:rFonts w:ascii="宋体" w:hAnsi="宋体" w:cs="宋体" w:eastAsia="宋体" w:hint="default"/>
                <w:sz w:val="18"/>
                <w:szCs w:val="18"/>
              </w:rPr>
              <w:t>投资 于金 融资 产和 金融 工具</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21" w:lineRule="auto"/>
              <w:ind w:left="15" w:right="165"/>
              <w:jc w:val="left"/>
              <w:rPr>
                <w:rFonts w:ascii="宋体" w:hAnsi="宋体" w:cs="宋体" w:eastAsia="宋体" w:hint="default"/>
                <w:sz w:val="18"/>
                <w:szCs w:val="18"/>
              </w:rPr>
            </w:pPr>
            <w:r>
              <w:rPr>
                <w:rFonts w:ascii="宋体" w:hAnsi="宋体" w:cs="宋体" w:eastAsia="宋体" w:hint="default"/>
                <w:sz w:val="18"/>
                <w:szCs w:val="18"/>
              </w:rPr>
              <w:t>浮动 利率</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3.85%</w:t>
            </w:r>
          </w:p>
        </w:tc>
        <w:tc>
          <w:tcPr>
            <w:tcW w:w="556"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49.05</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49.05</w:t>
            </w:r>
          </w:p>
        </w:tc>
        <w:tc>
          <w:tcPr>
            <w:tcW w:w="541"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952"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04" w:lineRule="auto"/>
              <w:ind w:left="15" w:right="178"/>
              <w:jc w:val="left"/>
              <w:rPr>
                <w:rFonts w:ascii="宋体" w:hAnsi="宋体" w:cs="宋体" w:eastAsia="宋体" w:hint="default"/>
                <w:sz w:val="18"/>
                <w:szCs w:val="18"/>
              </w:rPr>
            </w:pPr>
            <w:r>
              <w:rPr>
                <w:rFonts w:ascii="宋体" w:hAnsi="宋体" w:cs="宋体" w:eastAsia="宋体" w:hint="default"/>
                <w:sz w:val="18"/>
                <w:szCs w:val="18"/>
              </w:rPr>
              <w:t>招商 银行</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321" w:lineRule="auto"/>
              <w:ind w:left="30" w:right="163"/>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p>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30"/>
              <w:ind w:left="30" w:right="163"/>
              <w:jc w:val="both"/>
              <w:rPr>
                <w:rFonts w:ascii="宋体" w:hAnsi="宋体" w:cs="宋体" w:eastAsia="宋体" w:hint="default"/>
                <w:sz w:val="18"/>
                <w:szCs w:val="18"/>
              </w:rPr>
            </w:pPr>
            <w:r>
              <w:rPr>
                <w:rFonts w:ascii="宋体" w:hAnsi="宋体" w:cs="宋体" w:eastAsia="宋体" w:hint="default"/>
                <w:sz w:val="18"/>
                <w:szCs w:val="18"/>
              </w:rPr>
              <w:t>投资 于金 融资 产和 金融 工具</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04" w:lineRule="auto"/>
              <w:ind w:left="15" w:right="165"/>
              <w:jc w:val="left"/>
              <w:rPr>
                <w:rFonts w:ascii="宋体" w:hAnsi="宋体" w:cs="宋体" w:eastAsia="宋体" w:hint="default"/>
                <w:sz w:val="18"/>
                <w:szCs w:val="18"/>
              </w:rPr>
            </w:pPr>
            <w:r>
              <w:rPr>
                <w:rFonts w:ascii="宋体" w:hAnsi="宋体" w:cs="宋体" w:eastAsia="宋体" w:hint="default"/>
                <w:sz w:val="18"/>
                <w:szCs w:val="18"/>
              </w:rPr>
              <w:t>浮动 利率</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3.90%</w:t>
            </w:r>
          </w:p>
        </w:tc>
        <w:tc>
          <w:tcPr>
            <w:tcW w:w="556"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97.35</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97.35</w:t>
            </w:r>
          </w:p>
        </w:tc>
        <w:tc>
          <w:tcPr>
            <w:tcW w:w="541"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966"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7" w:lineRule="auto"/>
              <w:ind w:left="15" w:right="178"/>
              <w:jc w:val="left"/>
              <w:rPr>
                <w:rFonts w:ascii="宋体" w:hAnsi="宋体" w:cs="宋体" w:eastAsia="宋体" w:hint="default"/>
                <w:sz w:val="18"/>
                <w:szCs w:val="18"/>
              </w:rPr>
            </w:pPr>
            <w:r>
              <w:rPr>
                <w:rFonts w:ascii="宋体" w:hAnsi="宋体" w:cs="宋体" w:eastAsia="宋体" w:hint="default"/>
                <w:sz w:val="18"/>
                <w:szCs w:val="18"/>
              </w:rPr>
              <w:t>民生 银行</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12,000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21" w:lineRule="auto"/>
              <w:ind w:left="30" w:right="163"/>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44"/>
              <w:ind w:left="30" w:right="163"/>
              <w:jc w:val="both"/>
              <w:rPr>
                <w:rFonts w:ascii="宋体" w:hAnsi="宋体" w:cs="宋体" w:eastAsia="宋体" w:hint="default"/>
                <w:sz w:val="18"/>
                <w:szCs w:val="18"/>
              </w:rPr>
            </w:pPr>
            <w:r>
              <w:rPr>
                <w:rFonts w:ascii="宋体" w:hAnsi="宋体" w:cs="宋体" w:eastAsia="宋体" w:hint="default"/>
                <w:sz w:val="18"/>
                <w:szCs w:val="18"/>
              </w:rPr>
              <w:t>主要 投资 于货 币市 场工 具</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4.05%</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4.05%</w:t>
            </w:r>
          </w:p>
        </w:tc>
        <w:tc>
          <w:tcPr>
            <w:tcW w:w="556"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121.17</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121.17</w:t>
            </w:r>
          </w:p>
        </w:tc>
        <w:tc>
          <w:tcPr>
            <w:tcW w:w="541"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2583"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48"/>
              <w:ind w:left="15" w:right="178"/>
              <w:jc w:val="left"/>
              <w:rPr>
                <w:rFonts w:ascii="宋体" w:hAnsi="宋体" w:cs="宋体" w:eastAsia="宋体" w:hint="default"/>
                <w:sz w:val="18"/>
                <w:szCs w:val="18"/>
              </w:rPr>
            </w:pPr>
            <w:r>
              <w:rPr>
                <w:rFonts w:ascii="宋体" w:hAnsi="宋体" w:cs="宋体" w:eastAsia="宋体" w:hint="default"/>
                <w:sz w:val="18"/>
                <w:szCs w:val="18"/>
              </w:rPr>
              <w:t>广发 银行</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3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6,000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30" w:right="163"/>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30" w:right="13"/>
              <w:jc w:val="left"/>
              <w:rPr>
                <w:rFonts w:ascii="宋体" w:hAnsi="宋体" w:cs="宋体" w:eastAsia="宋体" w:hint="default"/>
                <w:sz w:val="18"/>
                <w:szCs w:val="18"/>
              </w:rPr>
            </w:pPr>
            <w:r>
              <w:rPr>
                <w:rFonts w:ascii="宋体" w:hAnsi="宋体" w:cs="宋体" w:eastAsia="宋体" w:hint="default"/>
                <w:sz w:val="18"/>
                <w:szCs w:val="18"/>
              </w:rPr>
              <w:t>投资 于货 币市 场工 </w:t>
            </w:r>
            <w:r>
              <w:rPr>
                <w:rFonts w:ascii="宋体" w:hAnsi="宋体" w:cs="宋体" w:eastAsia="宋体" w:hint="default"/>
                <w:spacing w:val="-11"/>
                <w:sz w:val="18"/>
                <w:szCs w:val="18"/>
              </w:rPr>
              <w:t>具、债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券等 金融 资产</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48"/>
              <w:ind w:left="15" w:right="165"/>
              <w:jc w:val="left"/>
              <w:rPr>
                <w:rFonts w:ascii="宋体" w:hAnsi="宋体" w:cs="宋体" w:eastAsia="宋体" w:hint="default"/>
                <w:sz w:val="18"/>
                <w:szCs w:val="18"/>
              </w:rPr>
            </w:pPr>
            <w:r>
              <w:rPr>
                <w:rFonts w:ascii="宋体" w:hAnsi="宋体" w:cs="宋体" w:eastAsia="宋体" w:hint="default"/>
                <w:sz w:val="18"/>
                <w:szCs w:val="18"/>
              </w:rPr>
              <w:t>浮动 利率</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3.75%</w:t>
            </w:r>
          </w:p>
        </w:tc>
        <w:tc>
          <w:tcPr>
            <w:tcW w:w="556"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56.1</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56.1</w:t>
            </w:r>
          </w:p>
        </w:tc>
        <w:tc>
          <w:tcPr>
            <w:tcW w:w="541"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30" w:right="0"/>
              <w:jc w:val="left"/>
              <w:rPr>
                <w:rFonts w:ascii="宋体" w:hAnsi="宋体" w:cs="宋体" w:eastAsia="宋体" w:hint="default"/>
                <w:sz w:val="18"/>
                <w:szCs w:val="18"/>
              </w:rPr>
            </w:pPr>
            <w:r>
              <w:rPr>
                <w:rFonts w:ascii="宋体" w:hAnsi="宋体" w:cs="宋体" w:eastAsia="宋体" w:hint="default"/>
                <w:sz w:val="18"/>
                <w:szCs w:val="18"/>
              </w:rPr>
              <w:t>同上</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570"/>
        <w:gridCol w:w="586"/>
        <w:gridCol w:w="616"/>
        <w:gridCol w:w="571"/>
        <w:gridCol w:w="570"/>
        <w:gridCol w:w="556"/>
        <w:gridCol w:w="556"/>
        <w:gridCol w:w="570"/>
        <w:gridCol w:w="556"/>
        <w:gridCol w:w="571"/>
        <w:gridCol w:w="556"/>
        <w:gridCol w:w="555"/>
        <w:gridCol w:w="570"/>
        <w:gridCol w:w="541"/>
        <w:gridCol w:w="555"/>
        <w:gridCol w:w="541"/>
        <w:gridCol w:w="541"/>
      </w:tblGrid>
      <w:tr>
        <w:trPr>
          <w:trHeight w:val="1336"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38"/>
              <w:ind w:left="15" w:right="178"/>
              <w:jc w:val="left"/>
              <w:rPr>
                <w:rFonts w:ascii="宋体" w:hAnsi="宋体" w:cs="宋体" w:eastAsia="宋体" w:hint="default"/>
                <w:sz w:val="18"/>
                <w:szCs w:val="18"/>
              </w:rPr>
            </w:pPr>
            <w:r>
              <w:rPr>
                <w:rFonts w:ascii="宋体" w:hAnsi="宋体" w:cs="宋体" w:eastAsia="宋体" w:hint="default"/>
                <w:sz w:val="18"/>
                <w:szCs w:val="18"/>
              </w:rPr>
              <w:t>浦发 银行</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3"/>
              <w:jc w:val="right"/>
              <w:rPr>
                <w:rFonts w:ascii="Times New Roman" w:hAnsi="Times New Roman" w:cs="Times New Roman" w:eastAsia="Times New Roman" w:hint="default"/>
                <w:sz w:val="18"/>
                <w:szCs w:val="18"/>
              </w:rPr>
            </w:pPr>
            <w:r>
              <w:rPr>
                <w:rFonts w:ascii="Times New Roman"/>
                <w:sz w:val="18"/>
              </w:rPr>
              <w:t>5,000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4" w:lineRule="auto"/>
              <w:ind w:left="30" w:right="163"/>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30" w:right="163"/>
              <w:jc w:val="both"/>
              <w:rPr>
                <w:rFonts w:ascii="宋体" w:hAnsi="宋体" w:cs="宋体" w:eastAsia="宋体" w:hint="default"/>
                <w:sz w:val="18"/>
                <w:szCs w:val="18"/>
              </w:rPr>
            </w:pPr>
            <w:r>
              <w:rPr>
                <w:rFonts w:ascii="宋体" w:hAnsi="宋体" w:cs="宋体" w:eastAsia="宋体" w:hint="default"/>
                <w:sz w:val="18"/>
                <w:szCs w:val="18"/>
              </w:rPr>
              <w:t>投资 于信 用类 债券</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Times New Roman" w:hAnsi="Times New Roman" w:cs="Times New Roman" w:eastAsia="Times New Roman" w:hint="default"/>
                <w:sz w:val="18"/>
                <w:szCs w:val="18"/>
              </w:rPr>
            </w:pPr>
            <w:r>
              <w:rPr>
                <w:rFonts w:ascii="Times New Roman"/>
                <w:sz w:val="18"/>
              </w:rPr>
              <w:t>4.00%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59" w:right="0"/>
              <w:jc w:val="center"/>
              <w:rPr>
                <w:rFonts w:ascii="Times New Roman" w:hAnsi="Times New Roman" w:cs="Times New Roman" w:eastAsia="Times New Roman" w:hint="default"/>
                <w:sz w:val="18"/>
                <w:szCs w:val="18"/>
              </w:rPr>
            </w:pPr>
            <w:r>
              <w:rPr>
                <w:rFonts w:ascii="Times New Roman"/>
                <w:sz w:val="18"/>
              </w:rPr>
              <w:t>4.00%</w:t>
            </w:r>
          </w:p>
        </w:tc>
        <w:tc>
          <w:tcPr>
            <w:tcW w:w="556"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3"/>
              <w:jc w:val="right"/>
              <w:rPr>
                <w:rFonts w:ascii="Times New Roman" w:hAnsi="Times New Roman" w:cs="Times New Roman" w:eastAsia="Times New Roman" w:hint="default"/>
                <w:sz w:val="18"/>
                <w:szCs w:val="18"/>
              </w:rPr>
            </w:pPr>
            <w:r>
              <w:rPr>
                <w:rFonts w:ascii="Times New Roman"/>
                <w:sz w:val="18"/>
              </w:rPr>
              <w:t>49.32</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Times New Roman" w:hAnsi="Times New Roman" w:cs="Times New Roman" w:eastAsia="Times New Roman" w:hint="default"/>
                <w:sz w:val="18"/>
                <w:szCs w:val="18"/>
              </w:rPr>
            </w:pPr>
            <w:r>
              <w:rPr>
                <w:rFonts w:ascii="Times New Roman"/>
                <w:sz w:val="18"/>
              </w:rPr>
              <w:t>49.32</w:t>
            </w:r>
          </w:p>
        </w:tc>
        <w:tc>
          <w:tcPr>
            <w:tcW w:w="541"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652"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21" w:lineRule="auto"/>
              <w:ind w:left="15" w:right="178"/>
              <w:jc w:val="left"/>
              <w:rPr>
                <w:rFonts w:ascii="宋体" w:hAnsi="宋体" w:cs="宋体" w:eastAsia="宋体" w:hint="default"/>
                <w:sz w:val="18"/>
                <w:szCs w:val="18"/>
              </w:rPr>
            </w:pPr>
            <w:r>
              <w:rPr>
                <w:rFonts w:ascii="宋体" w:hAnsi="宋体" w:cs="宋体" w:eastAsia="宋体" w:hint="default"/>
                <w:sz w:val="18"/>
                <w:szCs w:val="18"/>
              </w:rPr>
              <w:t>浙商 银行</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1,500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3"/>
              <w:ind w:left="30" w:right="163"/>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p>
          <w:p>
            <w:pPr>
              <w:pStyle w:val="TableParagraph"/>
              <w:spacing w:line="240" w:lineRule="auto" w:before="36"/>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30" w:right="163"/>
              <w:jc w:val="both"/>
              <w:rPr>
                <w:rFonts w:ascii="宋体" w:hAnsi="宋体" w:cs="宋体" w:eastAsia="宋体" w:hint="default"/>
                <w:sz w:val="18"/>
                <w:szCs w:val="18"/>
              </w:rPr>
            </w:pPr>
            <w:r>
              <w:rPr>
                <w:rFonts w:ascii="宋体" w:hAnsi="宋体" w:cs="宋体" w:eastAsia="宋体" w:hint="default"/>
                <w:sz w:val="18"/>
                <w:szCs w:val="18"/>
              </w:rPr>
              <w:t>投资 于固 定收 益类 工具</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4.20%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4.20%</w:t>
            </w:r>
          </w:p>
        </w:tc>
        <w:tc>
          <w:tcPr>
            <w:tcW w:w="556"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15.53</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15.53</w:t>
            </w:r>
          </w:p>
        </w:tc>
        <w:tc>
          <w:tcPr>
            <w:tcW w:w="541"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967"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21" w:lineRule="auto"/>
              <w:ind w:left="15" w:right="178"/>
              <w:jc w:val="left"/>
              <w:rPr>
                <w:rFonts w:ascii="宋体" w:hAnsi="宋体" w:cs="宋体" w:eastAsia="宋体" w:hint="default"/>
                <w:sz w:val="18"/>
                <w:szCs w:val="18"/>
              </w:rPr>
            </w:pPr>
            <w:r>
              <w:rPr>
                <w:rFonts w:ascii="宋体" w:hAnsi="宋体" w:cs="宋体" w:eastAsia="宋体" w:hint="default"/>
                <w:sz w:val="18"/>
                <w:szCs w:val="18"/>
              </w:rPr>
              <w:t>民生 银行</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4,600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4" w:lineRule="auto"/>
              <w:ind w:left="30" w:right="163"/>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44"/>
              <w:ind w:left="30" w:right="163"/>
              <w:jc w:val="both"/>
              <w:rPr>
                <w:rFonts w:ascii="宋体" w:hAnsi="宋体" w:cs="宋体" w:eastAsia="宋体" w:hint="default"/>
                <w:sz w:val="18"/>
                <w:szCs w:val="18"/>
              </w:rPr>
            </w:pPr>
            <w:r>
              <w:rPr>
                <w:rFonts w:ascii="宋体" w:hAnsi="宋体" w:cs="宋体" w:eastAsia="宋体" w:hint="default"/>
                <w:sz w:val="18"/>
                <w:szCs w:val="18"/>
              </w:rPr>
              <w:t>主要 投资 于货 币市 场工 具</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4.05%</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4.05%</w:t>
            </w:r>
          </w:p>
        </w:tc>
        <w:tc>
          <w:tcPr>
            <w:tcW w:w="556"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46.45</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46.45</w:t>
            </w:r>
          </w:p>
        </w:tc>
        <w:tc>
          <w:tcPr>
            <w:tcW w:w="541"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2582"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48"/>
              <w:ind w:left="15" w:right="178"/>
              <w:jc w:val="left"/>
              <w:rPr>
                <w:rFonts w:ascii="宋体" w:hAnsi="宋体" w:cs="宋体" w:eastAsia="宋体" w:hint="default"/>
                <w:sz w:val="18"/>
                <w:szCs w:val="18"/>
              </w:rPr>
            </w:pPr>
            <w:r>
              <w:rPr>
                <w:rFonts w:ascii="宋体" w:hAnsi="宋体" w:cs="宋体" w:eastAsia="宋体" w:hint="default"/>
                <w:sz w:val="18"/>
                <w:szCs w:val="18"/>
              </w:rPr>
              <w:t>广发 银行</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5"/>
              <w:jc w:val="right"/>
              <w:rPr>
                <w:rFonts w:ascii="Times New Roman" w:hAnsi="Times New Roman" w:cs="Times New Roman" w:eastAsia="Times New Roman" w:hint="default"/>
                <w:sz w:val="18"/>
                <w:szCs w:val="18"/>
              </w:rPr>
            </w:pPr>
            <w:r>
              <w:rPr>
                <w:rFonts w:ascii="Times New Roman"/>
                <w:sz w:val="18"/>
              </w:rPr>
              <w:t>14,000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30" w:right="163"/>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p>
          <w:p>
            <w:pPr>
              <w:pStyle w:val="TableParagraph"/>
              <w:spacing w:line="240" w:lineRule="auto" w:before="36"/>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30" w:right="13"/>
              <w:jc w:val="left"/>
              <w:rPr>
                <w:rFonts w:ascii="宋体" w:hAnsi="宋体" w:cs="宋体" w:eastAsia="宋体" w:hint="default"/>
                <w:sz w:val="18"/>
                <w:szCs w:val="18"/>
              </w:rPr>
            </w:pPr>
            <w:r>
              <w:rPr>
                <w:rFonts w:ascii="宋体" w:hAnsi="宋体" w:cs="宋体" w:eastAsia="宋体" w:hint="default"/>
                <w:sz w:val="18"/>
                <w:szCs w:val="18"/>
              </w:rPr>
              <w:t>投资 于货 币市 场工 </w:t>
            </w:r>
            <w:r>
              <w:rPr>
                <w:rFonts w:ascii="宋体" w:hAnsi="宋体" w:cs="宋体" w:eastAsia="宋体" w:hint="default"/>
                <w:spacing w:val="-11"/>
                <w:sz w:val="18"/>
                <w:szCs w:val="18"/>
              </w:rPr>
              <w:t>具、债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券等 金融 资产</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48"/>
              <w:ind w:left="15" w:right="165"/>
              <w:jc w:val="left"/>
              <w:rPr>
                <w:rFonts w:ascii="宋体" w:hAnsi="宋体" w:cs="宋体" w:eastAsia="宋体" w:hint="default"/>
                <w:sz w:val="18"/>
                <w:szCs w:val="18"/>
              </w:rPr>
            </w:pPr>
            <w:r>
              <w:rPr>
                <w:rFonts w:ascii="宋体" w:hAnsi="宋体" w:cs="宋体" w:eastAsia="宋体" w:hint="default"/>
                <w:sz w:val="18"/>
                <w:szCs w:val="18"/>
              </w:rPr>
              <w:t>浮动 利率</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59" w:right="0"/>
              <w:jc w:val="center"/>
              <w:rPr>
                <w:rFonts w:ascii="Times New Roman" w:hAnsi="Times New Roman" w:cs="Times New Roman" w:eastAsia="Times New Roman" w:hint="default"/>
                <w:sz w:val="18"/>
                <w:szCs w:val="18"/>
              </w:rPr>
            </w:pPr>
            <w:r>
              <w:rPr>
                <w:rFonts w:ascii="Times New Roman"/>
                <w:sz w:val="18"/>
              </w:rPr>
              <w:t>3.75%</w:t>
            </w:r>
          </w:p>
        </w:tc>
        <w:tc>
          <w:tcPr>
            <w:tcW w:w="556"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3"/>
              <w:jc w:val="right"/>
              <w:rPr>
                <w:rFonts w:ascii="Times New Roman" w:hAnsi="Times New Roman" w:cs="Times New Roman" w:eastAsia="Times New Roman" w:hint="default"/>
                <w:sz w:val="18"/>
                <w:szCs w:val="18"/>
              </w:rPr>
            </w:pPr>
            <w:r>
              <w:rPr>
                <w:rFonts w:ascii="Times New Roman"/>
                <w:sz w:val="18"/>
              </w:rPr>
              <w:t>130.89</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0" w:right="0"/>
              <w:jc w:val="left"/>
              <w:rPr>
                <w:rFonts w:ascii="Times New Roman" w:hAnsi="Times New Roman" w:cs="Times New Roman" w:eastAsia="Times New Roman" w:hint="default"/>
                <w:sz w:val="18"/>
                <w:szCs w:val="18"/>
              </w:rPr>
            </w:pPr>
            <w:r>
              <w:rPr>
                <w:rFonts w:ascii="Times New Roman"/>
                <w:sz w:val="18"/>
              </w:rPr>
              <w:t>130.89</w:t>
            </w:r>
          </w:p>
        </w:tc>
        <w:tc>
          <w:tcPr>
            <w:tcW w:w="541"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652"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21" w:lineRule="auto"/>
              <w:ind w:left="15" w:right="178"/>
              <w:jc w:val="left"/>
              <w:rPr>
                <w:rFonts w:ascii="宋体" w:hAnsi="宋体" w:cs="宋体" w:eastAsia="宋体" w:hint="default"/>
                <w:sz w:val="18"/>
                <w:szCs w:val="18"/>
              </w:rPr>
            </w:pPr>
            <w:r>
              <w:rPr>
                <w:rFonts w:ascii="宋体" w:hAnsi="宋体" w:cs="宋体" w:eastAsia="宋体" w:hint="default"/>
                <w:sz w:val="18"/>
                <w:szCs w:val="18"/>
              </w:rPr>
              <w:t>浙商 银行</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13"/>
              <w:jc w:val="right"/>
              <w:rPr>
                <w:rFonts w:ascii="Times New Roman" w:hAnsi="Times New Roman" w:cs="Times New Roman" w:eastAsia="Times New Roman" w:hint="default"/>
                <w:sz w:val="18"/>
                <w:szCs w:val="18"/>
              </w:rPr>
            </w:pPr>
            <w:r>
              <w:rPr>
                <w:rFonts w:ascii="Times New Roman"/>
                <w:sz w:val="18"/>
              </w:rPr>
              <w:t>4,000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3"/>
              <w:ind w:left="30" w:right="163"/>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30" w:right="163"/>
              <w:jc w:val="both"/>
              <w:rPr>
                <w:rFonts w:ascii="宋体" w:hAnsi="宋体" w:cs="宋体" w:eastAsia="宋体" w:hint="default"/>
                <w:sz w:val="18"/>
                <w:szCs w:val="18"/>
              </w:rPr>
            </w:pPr>
            <w:r>
              <w:rPr>
                <w:rFonts w:ascii="宋体" w:hAnsi="宋体" w:cs="宋体" w:eastAsia="宋体" w:hint="default"/>
                <w:sz w:val="18"/>
                <w:szCs w:val="18"/>
              </w:rPr>
              <w:t>投资 于固 定收 益类 工具</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15" w:right="0"/>
              <w:jc w:val="left"/>
              <w:rPr>
                <w:rFonts w:ascii="Times New Roman" w:hAnsi="Times New Roman" w:cs="Times New Roman" w:eastAsia="Times New Roman" w:hint="default"/>
                <w:sz w:val="18"/>
                <w:szCs w:val="18"/>
              </w:rPr>
            </w:pPr>
            <w:r>
              <w:rPr>
                <w:rFonts w:ascii="Times New Roman"/>
                <w:sz w:val="18"/>
              </w:rPr>
              <w:t>4.20%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59" w:right="0"/>
              <w:jc w:val="center"/>
              <w:rPr>
                <w:rFonts w:ascii="Times New Roman" w:hAnsi="Times New Roman" w:cs="Times New Roman" w:eastAsia="Times New Roman" w:hint="default"/>
                <w:sz w:val="18"/>
                <w:szCs w:val="18"/>
              </w:rPr>
            </w:pPr>
            <w:r>
              <w:rPr>
                <w:rFonts w:ascii="Times New Roman"/>
                <w:sz w:val="18"/>
              </w:rPr>
              <w:t>4.20%</w:t>
            </w:r>
          </w:p>
        </w:tc>
        <w:tc>
          <w:tcPr>
            <w:tcW w:w="556"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13"/>
              <w:jc w:val="right"/>
              <w:rPr>
                <w:rFonts w:ascii="Times New Roman" w:hAnsi="Times New Roman" w:cs="Times New Roman" w:eastAsia="Times New Roman" w:hint="default"/>
                <w:sz w:val="18"/>
                <w:szCs w:val="18"/>
              </w:rPr>
            </w:pPr>
            <w:r>
              <w:rPr>
                <w:rFonts w:ascii="Times New Roman"/>
                <w:sz w:val="18"/>
              </w:rPr>
              <w:t>41.42</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30" w:right="0"/>
              <w:jc w:val="left"/>
              <w:rPr>
                <w:rFonts w:ascii="Times New Roman" w:hAnsi="Times New Roman" w:cs="Times New Roman" w:eastAsia="Times New Roman" w:hint="default"/>
                <w:sz w:val="18"/>
                <w:szCs w:val="18"/>
              </w:rPr>
            </w:pPr>
            <w:r>
              <w:rPr>
                <w:rFonts w:ascii="Times New Roman"/>
                <w:sz w:val="18"/>
              </w:rPr>
              <w:t>41.42</w:t>
            </w:r>
          </w:p>
        </w:tc>
        <w:tc>
          <w:tcPr>
            <w:tcW w:w="541"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651"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21" w:lineRule="auto"/>
              <w:ind w:left="15" w:right="178"/>
              <w:jc w:val="left"/>
              <w:rPr>
                <w:rFonts w:ascii="宋体" w:hAnsi="宋体" w:cs="宋体" w:eastAsia="宋体" w:hint="default"/>
                <w:sz w:val="18"/>
                <w:szCs w:val="18"/>
              </w:rPr>
            </w:pPr>
            <w:r>
              <w:rPr>
                <w:rFonts w:ascii="宋体" w:hAnsi="宋体" w:cs="宋体" w:eastAsia="宋体" w:hint="default"/>
                <w:sz w:val="18"/>
                <w:szCs w:val="18"/>
              </w:rPr>
              <w:t>浙商 银行</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13"/>
              <w:jc w:val="right"/>
              <w:rPr>
                <w:rFonts w:ascii="Times New Roman" w:hAnsi="Times New Roman" w:cs="Times New Roman" w:eastAsia="Times New Roman" w:hint="default"/>
                <w:sz w:val="18"/>
                <w:szCs w:val="18"/>
              </w:rPr>
            </w:pPr>
            <w:r>
              <w:rPr>
                <w:rFonts w:ascii="Times New Roman"/>
                <w:sz w:val="18"/>
              </w:rPr>
              <w:t>5,000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3"/>
              <w:ind w:left="30" w:right="163"/>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30" w:right="163"/>
              <w:jc w:val="both"/>
              <w:rPr>
                <w:rFonts w:ascii="宋体" w:hAnsi="宋体" w:cs="宋体" w:eastAsia="宋体" w:hint="default"/>
                <w:sz w:val="18"/>
                <w:szCs w:val="18"/>
              </w:rPr>
            </w:pPr>
            <w:r>
              <w:rPr>
                <w:rFonts w:ascii="宋体" w:hAnsi="宋体" w:cs="宋体" w:eastAsia="宋体" w:hint="default"/>
                <w:sz w:val="18"/>
                <w:szCs w:val="18"/>
              </w:rPr>
              <w:t>投资 于固 定收 益类 工具</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15" w:right="0"/>
              <w:jc w:val="left"/>
              <w:rPr>
                <w:rFonts w:ascii="Times New Roman" w:hAnsi="Times New Roman" w:cs="Times New Roman" w:eastAsia="Times New Roman" w:hint="default"/>
                <w:sz w:val="18"/>
                <w:szCs w:val="18"/>
              </w:rPr>
            </w:pPr>
            <w:r>
              <w:rPr>
                <w:rFonts w:ascii="Times New Roman"/>
                <w:sz w:val="18"/>
              </w:rPr>
              <w:t>4.23%</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59" w:right="0"/>
              <w:jc w:val="center"/>
              <w:rPr>
                <w:rFonts w:ascii="Times New Roman" w:hAnsi="Times New Roman" w:cs="Times New Roman" w:eastAsia="Times New Roman" w:hint="default"/>
                <w:sz w:val="18"/>
                <w:szCs w:val="18"/>
              </w:rPr>
            </w:pPr>
            <w:r>
              <w:rPr>
                <w:rFonts w:ascii="Times New Roman"/>
                <w:sz w:val="18"/>
              </w:rPr>
              <w:t>4.23%</w:t>
            </w:r>
          </w:p>
        </w:tc>
        <w:tc>
          <w:tcPr>
            <w:tcW w:w="556"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13"/>
              <w:jc w:val="right"/>
              <w:rPr>
                <w:rFonts w:ascii="Times New Roman" w:hAnsi="Times New Roman" w:cs="Times New Roman" w:eastAsia="Times New Roman" w:hint="default"/>
                <w:sz w:val="18"/>
                <w:szCs w:val="18"/>
              </w:rPr>
            </w:pPr>
            <w:r>
              <w:rPr>
                <w:rFonts w:ascii="Times New Roman"/>
                <w:sz w:val="18"/>
              </w:rPr>
              <w:t>52.15</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30" w:right="0"/>
              <w:jc w:val="left"/>
              <w:rPr>
                <w:rFonts w:ascii="Times New Roman" w:hAnsi="Times New Roman" w:cs="Times New Roman" w:eastAsia="Times New Roman" w:hint="default"/>
                <w:sz w:val="18"/>
                <w:szCs w:val="18"/>
              </w:rPr>
            </w:pPr>
            <w:r>
              <w:rPr>
                <w:rFonts w:ascii="Times New Roman"/>
                <w:sz w:val="18"/>
              </w:rPr>
              <w:t>52.15</w:t>
            </w:r>
          </w:p>
        </w:tc>
        <w:tc>
          <w:tcPr>
            <w:tcW w:w="541"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966"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7" w:lineRule="auto"/>
              <w:ind w:left="15" w:right="178"/>
              <w:jc w:val="left"/>
              <w:rPr>
                <w:rFonts w:ascii="宋体" w:hAnsi="宋体" w:cs="宋体" w:eastAsia="宋体" w:hint="default"/>
                <w:sz w:val="18"/>
                <w:szCs w:val="18"/>
              </w:rPr>
            </w:pPr>
            <w:r>
              <w:rPr>
                <w:rFonts w:ascii="宋体" w:hAnsi="宋体" w:cs="宋体" w:eastAsia="宋体" w:hint="default"/>
                <w:sz w:val="18"/>
                <w:szCs w:val="18"/>
              </w:rPr>
              <w:t>民生 银行</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6,000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21" w:lineRule="auto"/>
              <w:ind w:left="30" w:right="163"/>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44"/>
              <w:ind w:left="30" w:right="163"/>
              <w:jc w:val="both"/>
              <w:rPr>
                <w:rFonts w:ascii="宋体" w:hAnsi="宋体" w:cs="宋体" w:eastAsia="宋体" w:hint="default"/>
                <w:sz w:val="18"/>
                <w:szCs w:val="18"/>
              </w:rPr>
            </w:pPr>
            <w:r>
              <w:rPr>
                <w:rFonts w:ascii="宋体" w:hAnsi="宋体" w:cs="宋体" w:eastAsia="宋体" w:hint="default"/>
                <w:sz w:val="18"/>
                <w:szCs w:val="18"/>
              </w:rPr>
              <w:t>主要 投资 于货 币市 场工 具</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4.05%</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4.05%</w:t>
            </w:r>
          </w:p>
        </w:tc>
        <w:tc>
          <w:tcPr>
            <w:tcW w:w="556"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60.58</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60.58</w:t>
            </w:r>
          </w:p>
        </w:tc>
        <w:tc>
          <w:tcPr>
            <w:tcW w:w="541"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021"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178"/>
              <w:jc w:val="left"/>
              <w:rPr>
                <w:rFonts w:ascii="宋体" w:hAnsi="宋体" w:cs="宋体" w:eastAsia="宋体" w:hint="default"/>
                <w:sz w:val="18"/>
                <w:szCs w:val="18"/>
              </w:rPr>
            </w:pPr>
            <w:r>
              <w:rPr>
                <w:rFonts w:ascii="宋体" w:hAnsi="宋体" w:cs="宋体" w:eastAsia="宋体" w:hint="default"/>
                <w:sz w:val="18"/>
                <w:szCs w:val="18"/>
              </w:rPr>
              <w:t>招商 银行</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0"/>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30" w:right="163"/>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0"/>
              <w:ind w:left="30" w:right="163"/>
              <w:jc w:val="both"/>
              <w:rPr>
                <w:rFonts w:ascii="宋体" w:hAnsi="宋体" w:cs="宋体" w:eastAsia="宋体" w:hint="default"/>
                <w:sz w:val="18"/>
                <w:szCs w:val="18"/>
              </w:rPr>
            </w:pPr>
            <w:r>
              <w:rPr>
                <w:rFonts w:ascii="宋体" w:hAnsi="宋体" w:cs="宋体" w:eastAsia="宋体" w:hint="default"/>
                <w:sz w:val="18"/>
                <w:szCs w:val="18"/>
              </w:rPr>
              <w:t>投资 于金 融资</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3.75%</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3.75%</w:t>
            </w:r>
          </w:p>
        </w:tc>
        <w:tc>
          <w:tcPr>
            <w:tcW w:w="556"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46.87</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46.87</w:t>
            </w:r>
          </w:p>
        </w:tc>
        <w:tc>
          <w:tcPr>
            <w:tcW w:w="541"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同上</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570"/>
        <w:gridCol w:w="586"/>
        <w:gridCol w:w="616"/>
        <w:gridCol w:w="571"/>
        <w:gridCol w:w="570"/>
        <w:gridCol w:w="556"/>
        <w:gridCol w:w="556"/>
        <w:gridCol w:w="570"/>
        <w:gridCol w:w="556"/>
        <w:gridCol w:w="571"/>
        <w:gridCol w:w="556"/>
        <w:gridCol w:w="555"/>
        <w:gridCol w:w="570"/>
        <w:gridCol w:w="541"/>
        <w:gridCol w:w="555"/>
        <w:gridCol w:w="541"/>
        <w:gridCol w:w="541"/>
      </w:tblGrid>
      <w:tr>
        <w:trPr>
          <w:trHeight w:val="990" w:hRule="exact"/>
        </w:trPr>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ind w:left="30" w:right="163"/>
              <w:jc w:val="both"/>
              <w:rPr>
                <w:rFonts w:ascii="宋体" w:hAnsi="宋体" w:cs="宋体" w:eastAsia="宋体" w:hint="default"/>
                <w:sz w:val="18"/>
                <w:szCs w:val="18"/>
              </w:rPr>
            </w:pPr>
            <w:r>
              <w:rPr>
                <w:rFonts w:ascii="宋体" w:hAnsi="宋体" w:cs="宋体" w:eastAsia="宋体" w:hint="default"/>
                <w:sz w:val="18"/>
                <w:szCs w:val="18"/>
              </w:rPr>
              <w:t>产和 金融 工具</w:t>
            </w:r>
          </w:p>
        </w:tc>
        <w:tc>
          <w:tcPr>
            <w:tcW w:w="55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r>
      <w:tr>
        <w:trPr>
          <w:trHeight w:val="1967"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04" w:lineRule="auto"/>
              <w:ind w:left="15" w:right="178"/>
              <w:jc w:val="left"/>
              <w:rPr>
                <w:rFonts w:ascii="宋体" w:hAnsi="宋体" w:cs="宋体" w:eastAsia="宋体" w:hint="default"/>
                <w:sz w:val="18"/>
                <w:szCs w:val="18"/>
              </w:rPr>
            </w:pPr>
            <w:r>
              <w:rPr>
                <w:rFonts w:ascii="宋体" w:hAnsi="宋体" w:cs="宋体" w:eastAsia="宋体" w:hint="default"/>
                <w:sz w:val="18"/>
                <w:szCs w:val="18"/>
              </w:rPr>
              <w:t>招商 银行</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314" w:lineRule="auto"/>
              <w:ind w:left="30" w:right="163"/>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30"/>
              <w:ind w:left="30" w:right="163"/>
              <w:jc w:val="both"/>
              <w:rPr>
                <w:rFonts w:ascii="宋体" w:hAnsi="宋体" w:cs="宋体" w:eastAsia="宋体" w:hint="default"/>
                <w:sz w:val="18"/>
                <w:szCs w:val="18"/>
              </w:rPr>
            </w:pPr>
            <w:r>
              <w:rPr>
                <w:rFonts w:ascii="宋体" w:hAnsi="宋体" w:cs="宋体" w:eastAsia="宋体" w:hint="default"/>
                <w:sz w:val="18"/>
                <w:szCs w:val="18"/>
              </w:rPr>
              <w:t>投资 于金 融资 产和 金融 工具</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3.70%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3.70%</w:t>
            </w:r>
          </w:p>
        </w:tc>
        <w:tc>
          <w:tcPr>
            <w:tcW w:w="556"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83.48</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83.48</w:t>
            </w:r>
          </w:p>
        </w:tc>
        <w:tc>
          <w:tcPr>
            <w:tcW w:w="541"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952"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07" w:lineRule="auto"/>
              <w:ind w:left="15" w:right="178"/>
              <w:jc w:val="left"/>
              <w:rPr>
                <w:rFonts w:ascii="宋体" w:hAnsi="宋体" w:cs="宋体" w:eastAsia="宋体" w:hint="default"/>
                <w:sz w:val="18"/>
                <w:szCs w:val="18"/>
              </w:rPr>
            </w:pPr>
            <w:r>
              <w:rPr>
                <w:rFonts w:ascii="宋体" w:hAnsi="宋体" w:cs="宋体" w:eastAsia="宋体" w:hint="default"/>
                <w:sz w:val="18"/>
                <w:szCs w:val="18"/>
              </w:rPr>
              <w:t>民生 银行</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12,000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321" w:lineRule="auto"/>
              <w:ind w:left="30" w:right="163"/>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9"/>
              <w:ind w:left="30" w:right="163"/>
              <w:jc w:val="both"/>
              <w:rPr>
                <w:rFonts w:ascii="宋体" w:hAnsi="宋体" w:cs="宋体" w:eastAsia="宋体" w:hint="default"/>
                <w:sz w:val="18"/>
                <w:szCs w:val="18"/>
              </w:rPr>
            </w:pPr>
            <w:r>
              <w:rPr>
                <w:rFonts w:ascii="宋体" w:hAnsi="宋体" w:cs="宋体" w:eastAsia="宋体" w:hint="default"/>
                <w:sz w:val="18"/>
                <w:szCs w:val="18"/>
              </w:rPr>
              <w:t>主要 投资 于货 币市 场工 具</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4.05%</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4.05%</w:t>
            </w:r>
          </w:p>
        </w:tc>
        <w:tc>
          <w:tcPr>
            <w:tcW w:w="556"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121.17</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121.17</w:t>
            </w:r>
          </w:p>
        </w:tc>
        <w:tc>
          <w:tcPr>
            <w:tcW w:w="541"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2597"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48"/>
              <w:ind w:left="15" w:right="178"/>
              <w:jc w:val="left"/>
              <w:rPr>
                <w:rFonts w:ascii="宋体" w:hAnsi="宋体" w:cs="宋体" w:eastAsia="宋体" w:hint="default"/>
                <w:sz w:val="18"/>
                <w:szCs w:val="18"/>
              </w:rPr>
            </w:pPr>
            <w:r>
              <w:rPr>
                <w:rFonts w:ascii="宋体" w:hAnsi="宋体" w:cs="宋体" w:eastAsia="宋体" w:hint="default"/>
                <w:sz w:val="18"/>
                <w:szCs w:val="18"/>
              </w:rPr>
              <w:t>广发 银行</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3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6,000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30" w:right="163"/>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1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14"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30" w:right="13"/>
              <w:jc w:val="left"/>
              <w:rPr>
                <w:rFonts w:ascii="宋体" w:hAnsi="宋体" w:cs="宋体" w:eastAsia="宋体" w:hint="default"/>
                <w:sz w:val="18"/>
                <w:szCs w:val="18"/>
              </w:rPr>
            </w:pPr>
            <w:r>
              <w:rPr>
                <w:rFonts w:ascii="宋体" w:hAnsi="宋体" w:cs="宋体" w:eastAsia="宋体" w:hint="default"/>
                <w:sz w:val="18"/>
                <w:szCs w:val="18"/>
              </w:rPr>
              <w:t>投资 于货 币市 场工 </w:t>
            </w:r>
            <w:r>
              <w:rPr>
                <w:rFonts w:ascii="宋体" w:hAnsi="宋体" w:cs="宋体" w:eastAsia="宋体" w:hint="default"/>
                <w:spacing w:val="-11"/>
                <w:sz w:val="18"/>
                <w:szCs w:val="18"/>
              </w:rPr>
              <w:t>具、债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券等 金融 资产</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48"/>
              <w:ind w:left="15" w:right="165"/>
              <w:jc w:val="left"/>
              <w:rPr>
                <w:rFonts w:ascii="宋体" w:hAnsi="宋体" w:cs="宋体" w:eastAsia="宋体" w:hint="default"/>
                <w:sz w:val="18"/>
                <w:szCs w:val="18"/>
              </w:rPr>
            </w:pPr>
            <w:r>
              <w:rPr>
                <w:rFonts w:ascii="宋体" w:hAnsi="宋体" w:cs="宋体" w:eastAsia="宋体" w:hint="default"/>
                <w:sz w:val="18"/>
                <w:szCs w:val="18"/>
              </w:rPr>
              <w:t>浮动 利率</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3.65%</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54</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0</w:t>
            </w:r>
          </w:p>
        </w:tc>
        <w:tc>
          <w:tcPr>
            <w:tcW w:w="541"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30"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652"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07" w:lineRule="auto"/>
              <w:ind w:left="15" w:right="178"/>
              <w:jc w:val="left"/>
              <w:rPr>
                <w:rFonts w:ascii="宋体" w:hAnsi="宋体" w:cs="宋体" w:eastAsia="宋体" w:hint="default"/>
                <w:sz w:val="18"/>
                <w:szCs w:val="18"/>
              </w:rPr>
            </w:pPr>
            <w:r>
              <w:rPr>
                <w:rFonts w:ascii="宋体" w:hAnsi="宋体" w:cs="宋体" w:eastAsia="宋体" w:hint="default"/>
                <w:sz w:val="18"/>
                <w:szCs w:val="18"/>
              </w:rPr>
              <w:t>浙商 银行</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1,700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38"/>
              <w:ind w:left="30" w:right="163"/>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30" w:right="163"/>
              <w:jc w:val="both"/>
              <w:rPr>
                <w:rFonts w:ascii="宋体" w:hAnsi="宋体" w:cs="宋体" w:eastAsia="宋体" w:hint="default"/>
                <w:sz w:val="18"/>
                <w:szCs w:val="18"/>
              </w:rPr>
            </w:pPr>
            <w:r>
              <w:rPr>
                <w:rFonts w:ascii="宋体" w:hAnsi="宋体" w:cs="宋体" w:eastAsia="宋体" w:hint="default"/>
                <w:sz w:val="18"/>
                <w:szCs w:val="18"/>
              </w:rPr>
              <w:t>投资 于固 定收 益类 工具</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4.12%</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4.12%</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17.27</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0</w:t>
            </w:r>
          </w:p>
        </w:tc>
        <w:tc>
          <w:tcPr>
            <w:tcW w:w="541"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336"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38"/>
              <w:ind w:left="15" w:right="178"/>
              <w:jc w:val="left"/>
              <w:rPr>
                <w:rFonts w:ascii="宋体" w:hAnsi="宋体" w:cs="宋体" w:eastAsia="宋体" w:hint="default"/>
                <w:sz w:val="18"/>
                <w:szCs w:val="18"/>
              </w:rPr>
            </w:pPr>
            <w:r>
              <w:rPr>
                <w:rFonts w:ascii="宋体" w:hAnsi="宋体" w:cs="宋体" w:eastAsia="宋体" w:hint="default"/>
                <w:sz w:val="18"/>
                <w:szCs w:val="18"/>
              </w:rPr>
              <w:t>浦发 银行</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3"/>
              <w:jc w:val="right"/>
              <w:rPr>
                <w:rFonts w:ascii="Times New Roman" w:hAnsi="Times New Roman" w:cs="Times New Roman" w:eastAsia="Times New Roman" w:hint="default"/>
                <w:sz w:val="18"/>
                <w:szCs w:val="18"/>
              </w:rPr>
            </w:pPr>
            <w:r>
              <w:rPr>
                <w:rFonts w:ascii="Times New Roman"/>
                <w:sz w:val="18"/>
              </w:rPr>
              <w:t>5,000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4" w:lineRule="auto"/>
              <w:ind w:left="30" w:right="163"/>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4"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36"/>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30" w:right="163"/>
              <w:jc w:val="both"/>
              <w:rPr>
                <w:rFonts w:ascii="宋体" w:hAnsi="宋体" w:cs="宋体" w:eastAsia="宋体" w:hint="default"/>
                <w:sz w:val="18"/>
                <w:szCs w:val="18"/>
              </w:rPr>
            </w:pPr>
            <w:r>
              <w:rPr>
                <w:rFonts w:ascii="宋体" w:hAnsi="宋体" w:cs="宋体" w:eastAsia="宋体" w:hint="default"/>
                <w:sz w:val="18"/>
                <w:szCs w:val="18"/>
              </w:rPr>
              <w:t>投资 于信 用类 债券</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Times New Roman" w:hAnsi="Times New Roman" w:cs="Times New Roman" w:eastAsia="Times New Roman" w:hint="default"/>
                <w:sz w:val="18"/>
                <w:szCs w:val="18"/>
              </w:rPr>
            </w:pPr>
            <w:r>
              <w:rPr>
                <w:rFonts w:ascii="Times New Roman"/>
                <w:sz w:val="18"/>
              </w:rPr>
              <w:t>3.80%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59" w:right="0"/>
              <w:jc w:val="center"/>
              <w:rPr>
                <w:rFonts w:ascii="Times New Roman" w:hAnsi="Times New Roman" w:cs="Times New Roman" w:eastAsia="Times New Roman" w:hint="default"/>
                <w:sz w:val="18"/>
                <w:szCs w:val="18"/>
              </w:rPr>
            </w:pPr>
            <w:r>
              <w:rPr>
                <w:rFonts w:ascii="Times New Roman"/>
                <w:sz w:val="18"/>
              </w:rPr>
              <w:t>3.80%</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4"/>
              <w:jc w:val="right"/>
              <w:rPr>
                <w:rFonts w:ascii="Times New Roman" w:hAnsi="Times New Roman" w:cs="Times New Roman" w:eastAsia="Times New Roman" w:hint="default"/>
                <w:sz w:val="18"/>
                <w:szCs w:val="18"/>
              </w:rPr>
            </w:pPr>
            <w:r>
              <w:rPr>
                <w:rFonts w:ascii="Times New Roman"/>
                <w:sz w:val="18"/>
              </w:rPr>
              <w:t>46.85</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4"/>
              <w:jc w:val="right"/>
              <w:rPr>
                <w:rFonts w:ascii="Times New Roman" w:hAnsi="Times New Roman" w:cs="Times New Roman" w:eastAsia="Times New Roman" w:hint="default"/>
                <w:sz w:val="18"/>
                <w:szCs w:val="18"/>
              </w:rPr>
            </w:pPr>
            <w:r>
              <w:rPr>
                <w:rFonts w:ascii="Times New Roman"/>
                <w:sz w:val="18"/>
              </w:rPr>
              <w:t>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Times New Roman" w:hAnsi="Times New Roman" w:cs="Times New Roman" w:eastAsia="Times New Roman" w:hint="default"/>
                <w:sz w:val="18"/>
                <w:szCs w:val="18"/>
              </w:rPr>
            </w:pPr>
            <w:r>
              <w:rPr>
                <w:rFonts w:ascii="Times New Roman"/>
                <w:sz w:val="18"/>
              </w:rPr>
              <w:t>0</w:t>
            </w:r>
          </w:p>
        </w:tc>
        <w:tc>
          <w:tcPr>
            <w:tcW w:w="541"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966"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21" w:lineRule="auto"/>
              <w:ind w:left="15" w:right="178"/>
              <w:jc w:val="left"/>
              <w:rPr>
                <w:rFonts w:ascii="宋体" w:hAnsi="宋体" w:cs="宋体" w:eastAsia="宋体" w:hint="default"/>
                <w:sz w:val="18"/>
                <w:szCs w:val="18"/>
              </w:rPr>
            </w:pPr>
            <w:r>
              <w:rPr>
                <w:rFonts w:ascii="宋体" w:hAnsi="宋体" w:cs="宋体" w:eastAsia="宋体" w:hint="default"/>
                <w:sz w:val="18"/>
                <w:szCs w:val="18"/>
              </w:rPr>
              <w:t>民生 银行</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4,600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4" w:lineRule="auto"/>
              <w:ind w:left="30" w:right="163"/>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p>
          <w:p>
            <w:pPr>
              <w:pStyle w:val="TableParagraph"/>
              <w:spacing w:line="240" w:lineRule="auto" w:before="36"/>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30" w:right="163"/>
              <w:jc w:val="both"/>
              <w:rPr>
                <w:rFonts w:ascii="宋体" w:hAnsi="宋体" w:cs="宋体" w:eastAsia="宋体" w:hint="default"/>
                <w:sz w:val="18"/>
                <w:szCs w:val="18"/>
              </w:rPr>
            </w:pPr>
            <w:r>
              <w:rPr>
                <w:rFonts w:ascii="宋体" w:hAnsi="宋体" w:cs="宋体" w:eastAsia="宋体" w:hint="default"/>
                <w:sz w:val="18"/>
                <w:szCs w:val="18"/>
              </w:rPr>
              <w:t>主要 投资 于货 币市 场工 具</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4.00%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4.00%</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45.87</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0</w:t>
            </w:r>
          </w:p>
        </w:tc>
        <w:tc>
          <w:tcPr>
            <w:tcW w:w="541"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337"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38"/>
              <w:ind w:left="15" w:right="178"/>
              <w:jc w:val="left"/>
              <w:rPr>
                <w:rFonts w:ascii="宋体" w:hAnsi="宋体" w:cs="宋体" w:eastAsia="宋体" w:hint="default"/>
                <w:sz w:val="18"/>
                <w:szCs w:val="18"/>
              </w:rPr>
            </w:pPr>
            <w:r>
              <w:rPr>
                <w:rFonts w:ascii="宋体" w:hAnsi="宋体" w:cs="宋体" w:eastAsia="宋体" w:hint="default"/>
                <w:sz w:val="18"/>
                <w:szCs w:val="18"/>
              </w:rPr>
              <w:t>广发 银行</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5"/>
              <w:jc w:val="right"/>
              <w:rPr>
                <w:rFonts w:ascii="Times New Roman" w:hAnsi="Times New Roman" w:cs="Times New Roman" w:eastAsia="Times New Roman" w:hint="default"/>
                <w:sz w:val="18"/>
                <w:szCs w:val="18"/>
              </w:rPr>
            </w:pPr>
            <w:r>
              <w:rPr>
                <w:rFonts w:ascii="Times New Roman"/>
                <w:sz w:val="18"/>
              </w:rPr>
              <w:t>14,000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4" w:lineRule="auto"/>
              <w:ind w:left="30" w:right="163"/>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4"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p>
          <w:p>
            <w:pPr>
              <w:pStyle w:val="TableParagraph"/>
              <w:spacing w:line="240" w:lineRule="auto" w:before="36"/>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0"/>
              <w:ind w:left="30" w:right="163"/>
              <w:jc w:val="both"/>
              <w:rPr>
                <w:rFonts w:ascii="宋体" w:hAnsi="宋体" w:cs="宋体" w:eastAsia="宋体" w:hint="default"/>
                <w:sz w:val="18"/>
                <w:szCs w:val="18"/>
              </w:rPr>
            </w:pPr>
            <w:r>
              <w:rPr>
                <w:rFonts w:ascii="宋体" w:hAnsi="宋体" w:cs="宋体" w:eastAsia="宋体" w:hint="default"/>
                <w:sz w:val="18"/>
                <w:szCs w:val="18"/>
              </w:rPr>
              <w:t>投资 于货 币市 场工</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38"/>
              <w:ind w:left="15" w:right="165"/>
              <w:jc w:val="left"/>
              <w:rPr>
                <w:rFonts w:ascii="宋体" w:hAnsi="宋体" w:cs="宋体" w:eastAsia="宋体" w:hint="default"/>
                <w:sz w:val="18"/>
                <w:szCs w:val="18"/>
              </w:rPr>
            </w:pPr>
            <w:r>
              <w:rPr>
                <w:rFonts w:ascii="宋体" w:hAnsi="宋体" w:cs="宋体" w:eastAsia="宋体" w:hint="default"/>
                <w:sz w:val="18"/>
                <w:szCs w:val="18"/>
              </w:rPr>
              <w:t>浮动 利率</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59" w:right="0"/>
              <w:jc w:val="center"/>
              <w:rPr>
                <w:rFonts w:ascii="Times New Roman" w:hAnsi="Times New Roman" w:cs="Times New Roman" w:eastAsia="Times New Roman" w:hint="default"/>
                <w:sz w:val="18"/>
                <w:szCs w:val="18"/>
              </w:rPr>
            </w:pPr>
            <w:r>
              <w:rPr>
                <w:rFonts w:ascii="Times New Roman"/>
                <w:sz w:val="18"/>
              </w:rPr>
              <w:t>3.65%</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3"/>
              <w:jc w:val="right"/>
              <w:rPr>
                <w:rFonts w:ascii="Times New Roman" w:hAnsi="Times New Roman" w:cs="Times New Roman" w:eastAsia="Times New Roman" w:hint="default"/>
                <w:sz w:val="18"/>
                <w:szCs w:val="18"/>
              </w:rPr>
            </w:pPr>
            <w:r>
              <w:rPr>
                <w:rFonts w:ascii="Times New Roman"/>
                <w:sz w:val="18"/>
              </w:rPr>
              <w:t>126</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4"/>
              <w:jc w:val="right"/>
              <w:rPr>
                <w:rFonts w:ascii="Times New Roman" w:hAnsi="Times New Roman" w:cs="Times New Roman" w:eastAsia="Times New Roman" w:hint="default"/>
                <w:sz w:val="18"/>
                <w:szCs w:val="18"/>
              </w:rPr>
            </w:pPr>
            <w:r>
              <w:rPr>
                <w:rFonts w:ascii="Times New Roman"/>
                <w:sz w:val="18"/>
              </w:rPr>
              <w:t>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0" w:right="0"/>
              <w:jc w:val="left"/>
              <w:rPr>
                <w:rFonts w:ascii="Times New Roman" w:hAnsi="Times New Roman" w:cs="Times New Roman" w:eastAsia="Times New Roman" w:hint="default"/>
                <w:sz w:val="18"/>
                <w:szCs w:val="18"/>
              </w:rPr>
            </w:pPr>
            <w:r>
              <w:rPr>
                <w:rFonts w:ascii="Times New Roman"/>
                <w:sz w:val="18"/>
              </w:rPr>
              <w:t>0</w:t>
            </w:r>
          </w:p>
        </w:tc>
        <w:tc>
          <w:tcPr>
            <w:tcW w:w="541"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同上</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570"/>
        <w:gridCol w:w="586"/>
        <w:gridCol w:w="616"/>
        <w:gridCol w:w="571"/>
        <w:gridCol w:w="570"/>
        <w:gridCol w:w="556"/>
        <w:gridCol w:w="556"/>
        <w:gridCol w:w="570"/>
        <w:gridCol w:w="556"/>
        <w:gridCol w:w="571"/>
        <w:gridCol w:w="556"/>
        <w:gridCol w:w="555"/>
        <w:gridCol w:w="570"/>
        <w:gridCol w:w="541"/>
        <w:gridCol w:w="555"/>
        <w:gridCol w:w="541"/>
        <w:gridCol w:w="541"/>
      </w:tblGrid>
      <w:tr>
        <w:trPr>
          <w:trHeight w:val="1306" w:hRule="exact"/>
        </w:trPr>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ind w:left="30" w:right="13"/>
              <w:jc w:val="left"/>
              <w:rPr>
                <w:rFonts w:ascii="宋体" w:hAnsi="宋体" w:cs="宋体" w:eastAsia="宋体" w:hint="default"/>
                <w:sz w:val="18"/>
                <w:szCs w:val="18"/>
              </w:rPr>
            </w:pPr>
            <w:r>
              <w:rPr>
                <w:rFonts w:ascii="宋体" w:hAnsi="宋体" w:cs="宋体" w:eastAsia="宋体" w:hint="default"/>
                <w:spacing w:val="-11"/>
                <w:sz w:val="18"/>
                <w:szCs w:val="18"/>
              </w:rPr>
              <w:t>具、债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券等 金融 资产</w:t>
            </w:r>
          </w:p>
        </w:tc>
        <w:tc>
          <w:tcPr>
            <w:tcW w:w="55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r>
      <w:tr>
        <w:trPr>
          <w:trHeight w:val="2267"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14" w:lineRule="auto"/>
              <w:ind w:left="15" w:right="178"/>
              <w:jc w:val="both"/>
              <w:rPr>
                <w:rFonts w:ascii="宋体" w:hAnsi="宋体" w:cs="宋体" w:eastAsia="宋体" w:hint="default"/>
                <w:sz w:val="18"/>
                <w:szCs w:val="18"/>
              </w:rPr>
            </w:pPr>
            <w:r>
              <w:rPr>
                <w:rFonts w:ascii="宋体" w:hAnsi="宋体" w:cs="宋体" w:eastAsia="宋体" w:hint="default"/>
                <w:sz w:val="18"/>
                <w:szCs w:val="18"/>
              </w:rPr>
              <w:t>中国 工商 银行</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14" w:lineRule="auto"/>
              <w:ind w:left="30" w:right="163"/>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p>
          <w:p>
            <w:pPr>
              <w:pStyle w:val="TableParagraph"/>
              <w:spacing w:line="240" w:lineRule="auto" w:before="36"/>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9"/>
              <w:ind w:left="30" w:right="163"/>
              <w:jc w:val="both"/>
              <w:rPr>
                <w:rFonts w:ascii="宋体" w:hAnsi="宋体" w:cs="宋体" w:eastAsia="宋体" w:hint="default"/>
                <w:sz w:val="18"/>
                <w:szCs w:val="18"/>
              </w:rPr>
            </w:pPr>
            <w:r>
              <w:rPr>
                <w:rFonts w:ascii="宋体" w:hAnsi="宋体" w:cs="宋体" w:eastAsia="宋体" w:hint="default"/>
                <w:sz w:val="18"/>
                <w:szCs w:val="18"/>
              </w:rPr>
              <w:t>符合 监管 要求 的固 定收 益类 资产</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21" w:lineRule="auto"/>
              <w:ind w:left="15" w:right="165"/>
              <w:jc w:val="left"/>
              <w:rPr>
                <w:rFonts w:ascii="宋体" w:hAnsi="宋体" w:cs="宋体" w:eastAsia="宋体" w:hint="default"/>
                <w:sz w:val="18"/>
                <w:szCs w:val="18"/>
              </w:rPr>
            </w:pPr>
            <w:r>
              <w:rPr>
                <w:rFonts w:ascii="宋体" w:hAnsi="宋体" w:cs="宋体" w:eastAsia="宋体" w:hint="default"/>
                <w:sz w:val="18"/>
                <w:szCs w:val="18"/>
              </w:rPr>
              <w:t>浮动 利率</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3.20%</w:t>
            </w:r>
          </w:p>
        </w:tc>
        <w:tc>
          <w:tcPr>
            <w:tcW w:w="556"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3.85</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3.85</w:t>
            </w:r>
          </w:p>
        </w:tc>
        <w:tc>
          <w:tcPr>
            <w:tcW w:w="541"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0"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5090"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2"/>
              <w:ind w:left="15" w:right="178"/>
              <w:jc w:val="left"/>
              <w:rPr>
                <w:rFonts w:ascii="宋体" w:hAnsi="宋体" w:cs="宋体" w:eastAsia="宋体" w:hint="default"/>
                <w:sz w:val="18"/>
                <w:szCs w:val="18"/>
              </w:rPr>
            </w:pPr>
            <w:r>
              <w:rPr>
                <w:rFonts w:ascii="宋体" w:hAnsi="宋体" w:cs="宋体" w:eastAsia="宋体" w:hint="default"/>
                <w:sz w:val="18"/>
                <w:szCs w:val="18"/>
              </w:rPr>
              <w:t>中国 银行</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3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4" w:lineRule="auto"/>
              <w:ind w:left="30" w:right="163"/>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30" w:right="-15"/>
              <w:jc w:val="left"/>
              <w:rPr>
                <w:rFonts w:ascii="宋体" w:hAnsi="宋体" w:cs="宋体" w:eastAsia="宋体" w:hint="default"/>
                <w:sz w:val="18"/>
                <w:szCs w:val="18"/>
              </w:rPr>
            </w:pPr>
            <w:r>
              <w:rPr>
                <w:rFonts w:ascii="宋体" w:hAnsi="宋体" w:cs="宋体" w:eastAsia="宋体" w:hint="default"/>
                <w:sz w:val="18"/>
                <w:szCs w:val="18"/>
              </w:rPr>
              <w:t>货币 市场 工具、 固定 收益 证券、 符合 监管 规定 的非 标准 化债 权类 资产 及其</w:t>
            </w:r>
          </w:p>
          <w:p>
            <w:pPr>
              <w:pStyle w:val="TableParagraph"/>
              <w:spacing w:line="240" w:lineRule="auto" w:before="7"/>
              <w:ind w:left="30" w:right="0"/>
              <w:jc w:val="left"/>
              <w:rPr>
                <w:rFonts w:ascii="宋体" w:hAnsi="宋体" w:cs="宋体" w:eastAsia="宋体" w:hint="default"/>
                <w:sz w:val="18"/>
                <w:szCs w:val="18"/>
              </w:rPr>
            </w:pPr>
            <w:r>
              <w:rPr>
                <w:rFonts w:ascii="宋体" w:hAnsi="宋体" w:cs="宋体" w:eastAsia="宋体" w:hint="default"/>
                <w:sz w:val="18"/>
                <w:szCs w:val="18"/>
              </w:rPr>
              <w:t>他</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2"/>
              <w:ind w:left="15" w:right="165"/>
              <w:jc w:val="left"/>
              <w:rPr>
                <w:rFonts w:ascii="宋体" w:hAnsi="宋体" w:cs="宋体" w:eastAsia="宋体" w:hint="default"/>
                <w:sz w:val="18"/>
                <w:szCs w:val="18"/>
              </w:rPr>
            </w:pPr>
            <w:r>
              <w:rPr>
                <w:rFonts w:ascii="宋体" w:hAnsi="宋体" w:cs="宋体" w:eastAsia="宋体" w:hint="default"/>
                <w:sz w:val="18"/>
                <w:szCs w:val="18"/>
              </w:rPr>
              <w:t>浮动 利率</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2.90%</w:t>
            </w:r>
          </w:p>
        </w:tc>
        <w:tc>
          <w:tcPr>
            <w:tcW w:w="556"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3.82</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3.82</w:t>
            </w:r>
          </w:p>
        </w:tc>
        <w:tc>
          <w:tcPr>
            <w:tcW w:w="541"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30"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652"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07" w:lineRule="auto"/>
              <w:ind w:left="15" w:right="178"/>
              <w:jc w:val="left"/>
              <w:rPr>
                <w:rFonts w:ascii="宋体" w:hAnsi="宋体" w:cs="宋体" w:eastAsia="宋体" w:hint="default"/>
                <w:sz w:val="18"/>
                <w:szCs w:val="18"/>
              </w:rPr>
            </w:pPr>
            <w:r>
              <w:rPr>
                <w:rFonts w:ascii="宋体" w:hAnsi="宋体" w:cs="宋体" w:eastAsia="宋体" w:hint="default"/>
                <w:sz w:val="18"/>
                <w:szCs w:val="18"/>
              </w:rPr>
              <w:t>浙商 银行</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38"/>
              <w:ind w:left="30" w:right="163"/>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30" w:right="163"/>
              <w:jc w:val="both"/>
              <w:rPr>
                <w:rFonts w:ascii="宋体" w:hAnsi="宋体" w:cs="宋体" w:eastAsia="宋体" w:hint="default"/>
                <w:sz w:val="18"/>
                <w:szCs w:val="18"/>
              </w:rPr>
            </w:pPr>
            <w:r>
              <w:rPr>
                <w:rFonts w:ascii="宋体" w:hAnsi="宋体" w:cs="宋体" w:eastAsia="宋体" w:hint="default"/>
                <w:sz w:val="18"/>
                <w:szCs w:val="18"/>
              </w:rPr>
              <w:t>投资 于固 定收 益类 工具</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4.05%</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4.05%</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39.95</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0</w:t>
            </w:r>
          </w:p>
        </w:tc>
        <w:tc>
          <w:tcPr>
            <w:tcW w:w="541"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651"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07" w:lineRule="auto"/>
              <w:ind w:left="15" w:right="178"/>
              <w:jc w:val="left"/>
              <w:rPr>
                <w:rFonts w:ascii="宋体" w:hAnsi="宋体" w:cs="宋体" w:eastAsia="宋体" w:hint="default"/>
                <w:sz w:val="18"/>
                <w:szCs w:val="18"/>
              </w:rPr>
            </w:pPr>
            <w:r>
              <w:rPr>
                <w:rFonts w:ascii="宋体" w:hAnsi="宋体" w:cs="宋体" w:eastAsia="宋体" w:hint="default"/>
                <w:sz w:val="18"/>
                <w:szCs w:val="18"/>
              </w:rPr>
              <w:t>浙商 银行</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5,100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38"/>
              <w:ind w:left="30" w:right="163"/>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30" w:right="163"/>
              <w:jc w:val="both"/>
              <w:rPr>
                <w:rFonts w:ascii="宋体" w:hAnsi="宋体" w:cs="宋体" w:eastAsia="宋体" w:hint="default"/>
                <w:sz w:val="18"/>
                <w:szCs w:val="18"/>
              </w:rPr>
            </w:pPr>
            <w:r>
              <w:rPr>
                <w:rFonts w:ascii="宋体" w:hAnsi="宋体" w:cs="宋体" w:eastAsia="宋体" w:hint="default"/>
                <w:sz w:val="18"/>
                <w:szCs w:val="18"/>
              </w:rPr>
              <w:t>投资 于固 定收 益类 工具</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4.05%</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4.05%</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50.93</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0</w:t>
            </w:r>
          </w:p>
        </w:tc>
        <w:tc>
          <w:tcPr>
            <w:tcW w:w="541"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952"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21" w:lineRule="auto"/>
              <w:ind w:left="15" w:right="178"/>
              <w:jc w:val="left"/>
              <w:rPr>
                <w:rFonts w:ascii="宋体" w:hAnsi="宋体" w:cs="宋体" w:eastAsia="宋体" w:hint="default"/>
                <w:sz w:val="18"/>
                <w:szCs w:val="18"/>
              </w:rPr>
            </w:pPr>
            <w:r>
              <w:rPr>
                <w:rFonts w:ascii="宋体" w:hAnsi="宋体" w:cs="宋体" w:eastAsia="宋体" w:hint="default"/>
                <w:sz w:val="18"/>
                <w:szCs w:val="18"/>
              </w:rPr>
              <w:t>民生 银行</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6,000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4" w:lineRule="auto"/>
              <w:ind w:left="30" w:right="163"/>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36"/>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30" w:right="163"/>
              <w:jc w:val="both"/>
              <w:rPr>
                <w:rFonts w:ascii="宋体" w:hAnsi="宋体" w:cs="宋体" w:eastAsia="宋体" w:hint="default"/>
                <w:sz w:val="18"/>
                <w:szCs w:val="18"/>
              </w:rPr>
            </w:pPr>
            <w:r>
              <w:rPr>
                <w:rFonts w:ascii="宋体" w:hAnsi="宋体" w:cs="宋体" w:eastAsia="宋体" w:hint="default"/>
                <w:sz w:val="18"/>
                <w:szCs w:val="18"/>
              </w:rPr>
              <w:t>主要 投资 于货 币市 场工 具</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3.90%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3.90%</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58.34</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0</w:t>
            </w:r>
          </w:p>
        </w:tc>
        <w:tc>
          <w:tcPr>
            <w:tcW w:w="541"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同上</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570"/>
        <w:gridCol w:w="586"/>
        <w:gridCol w:w="616"/>
        <w:gridCol w:w="571"/>
        <w:gridCol w:w="570"/>
        <w:gridCol w:w="556"/>
        <w:gridCol w:w="556"/>
        <w:gridCol w:w="570"/>
        <w:gridCol w:w="556"/>
        <w:gridCol w:w="571"/>
        <w:gridCol w:w="556"/>
        <w:gridCol w:w="555"/>
        <w:gridCol w:w="570"/>
        <w:gridCol w:w="541"/>
        <w:gridCol w:w="555"/>
        <w:gridCol w:w="541"/>
        <w:gridCol w:w="541"/>
      </w:tblGrid>
      <w:tr>
        <w:trPr>
          <w:trHeight w:val="1966"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21" w:lineRule="auto"/>
              <w:ind w:left="15" w:right="178"/>
              <w:jc w:val="left"/>
              <w:rPr>
                <w:rFonts w:ascii="宋体" w:hAnsi="宋体" w:cs="宋体" w:eastAsia="宋体" w:hint="default"/>
                <w:sz w:val="18"/>
                <w:szCs w:val="18"/>
              </w:rPr>
            </w:pPr>
            <w:r>
              <w:rPr>
                <w:rFonts w:ascii="宋体" w:hAnsi="宋体" w:cs="宋体" w:eastAsia="宋体" w:hint="default"/>
                <w:sz w:val="18"/>
                <w:szCs w:val="18"/>
              </w:rPr>
              <w:t>招商 银行</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5,900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4" w:lineRule="auto"/>
              <w:ind w:left="30" w:right="163"/>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30" w:right="163"/>
              <w:jc w:val="both"/>
              <w:rPr>
                <w:rFonts w:ascii="宋体" w:hAnsi="宋体" w:cs="宋体" w:eastAsia="宋体" w:hint="default"/>
                <w:sz w:val="18"/>
                <w:szCs w:val="18"/>
              </w:rPr>
            </w:pPr>
            <w:r>
              <w:rPr>
                <w:rFonts w:ascii="宋体" w:hAnsi="宋体" w:cs="宋体" w:eastAsia="宋体" w:hint="default"/>
                <w:sz w:val="18"/>
                <w:szCs w:val="18"/>
              </w:rPr>
              <w:t>投资 于金 融资 产和 金融 工具</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21" w:lineRule="auto"/>
              <w:ind w:left="15" w:right="165"/>
              <w:jc w:val="left"/>
              <w:rPr>
                <w:rFonts w:ascii="宋体" w:hAnsi="宋体" w:cs="宋体" w:eastAsia="宋体" w:hint="default"/>
                <w:sz w:val="18"/>
                <w:szCs w:val="18"/>
              </w:rPr>
            </w:pPr>
            <w:r>
              <w:rPr>
                <w:rFonts w:ascii="宋体" w:hAnsi="宋体" w:cs="宋体" w:eastAsia="宋体" w:hint="default"/>
                <w:sz w:val="18"/>
                <w:szCs w:val="18"/>
              </w:rPr>
              <w:t>浮动 利率</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3.70%</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54.43</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0</w:t>
            </w:r>
          </w:p>
        </w:tc>
        <w:tc>
          <w:tcPr>
            <w:tcW w:w="541"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2583"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48"/>
              <w:ind w:left="15" w:right="178"/>
              <w:jc w:val="left"/>
              <w:rPr>
                <w:rFonts w:ascii="宋体" w:hAnsi="宋体" w:cs="宋体" w:eastAsia="宋体" w:hint="default"/>
                <w:sz w:val="18"/>
                <w:szCs w:val="18"/>
              </w:rPr>
            </w:pPr>
            <w:r>
              <w:rPr>
                <w:rFonts w:ascii="宋体" w:hAnsi="宋体" w:cs="宋体" w:eastAsia="宋体" w:hint="default"/>
                <w:sz w:val="18"/>
                <w:szCs w:val="18"/>
              </w:rPr>
              <w:t>华夏 银行</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3"/>
              <w:jc w:val="right"/>
              <w:rPr>
                <w:rFonts w:ascii="Times New Roman" w:hAnsi="Times New Roman" w:cs="Times New Roman" w:eastAsia="Times New Roman" w:hint="default"/>
                <w:sz w:val="18"/>
                <w:szCs w:val="18"/>
              </w:rPr>
            </w:pPr>
            <w:r>
              <w:rPr>
                <w:rFonts w:ascii="Times New Roman"/>
                <w:sz w:val="18"/>
              </w:rPr>
              <w:t>1,000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21" w:lineRule="auto"/>
              <w:ind w:left="30" w:right="163"/>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p>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9"/>
              <w:ind w:left="30" w:right="-15"/>
              <w:jc w:val="left"/>
              <w:rPr>
                <w:rFonts w:ascii="宋体" w:hAnsi="宋体" w:cs="宋体" w:eastAsia="宋体" w:hint="default"/>
                <w:sz w:val="18"/>
                <w:szCs w:val="18"/>
              </w:rPr>
            </w:pPr>
            <w:r>
              <w:rPr>
                <w:rFonts w:ascii="宋体" w:hAnsi="宋体" w:cs="宋体" w:eastAsia="宋体" w:hint="default"/>
                <w:sz w:val="18"/>
                <w:szCs w:val="18"/>
              </w:rPr>
              <w:t>投资 定期 存款， 利息 投资 衍生 品交</w:t>
            </w:r>
          </w:p>
          <w:p>
            <w:pPr>
              <w:pStyle w:val="TableParagraph"/>
              <w:spacing w:line="240" w:lineRule="auto" w:before="20"/>
              <w:ind w:left="30" w:right="0"/>
              <w:jc w:val="left"/>
              <w:rPr>
                <w:rFonts w:ascii="宋体" w:hAnsi="宋体" w:cs="宋体" w:eastAsia="宋体" w:hint="default"/>
                <w:sz w:val="18"/>
                <w:szCs w:val="18"/>
              </w:rPr>
            </w:pPr>
            <w:r>
              <w:rPr>
                <w:rFonts w:ascii="宋体" w:hAnsi="宋体" w:cs="宋体" w:eastAsia="宋体" w:hint="default"/>
                <w:sz w:val="18"/>
                <w:szCs w:val="18"/>
              </w:rPr>
              <w:t>易</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48"/>
              <w:ind w:left="15" w:right="165"/>
              <w:jc w:val="left"/>
              <w:rPr>
                <w:rFonts w:ascii="宋体" w:hAnsi="宋体" w:cs="宋体" w:eastAsia="宋体" w:hint="default"/>
                <w:sz w:val="18"/>
                <w:szCs w:val="18"/>
              </w:rPr>
            </w:pPr>
            <w:r>
              <w:rPr>
                <w:rFonts w:ascii="宋体" w:hAnsi="宋体" w:cs="宋体" w:eastAsia="宋体" w:hint="default"/>
                <w:sz w:val="18"/>
                <w:szCs w:val="18"/>
              </w:rPr>
              <w:t>浮动 利率</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59" w:right="0"/>
              <w:jc w:val="center"/>
              <w:rPr>
                <w:rFonts w:ascii="Times New Roman" w:hAnsi="Times New Roman" w:cs="Times New Roman" w:eastAsia="Times New Roman" w:hint="default"/>
                <w:sz w:val="18"/>
                <w:szCs w:val="18"/>
              </w:rPr>
            </w:pPr>
            <w:r>
              <w:rPr>
                <w:rFonts w:ascii="Times New Roman"/>
                <w:sz w:val="18"/>
              </w:rPr>
              <w:t>3.03%</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4"/>
              <w:jc w:val="right"/>
              <w:rPr>
                <w:rFonts w:ascii="Times New Roman" w:hAnsi="Times New Roman" w:cs="Times New Roman" w:eastAsia="Times New Roman" w:hint="default"/>
                <w:sz w:val="18"/>
                <w:szCs w:val="18"/>
              </w:rPr>
            </w:pPr>
            <w:r>
              <w:rPr>
                <w:rFonts w:ascii="Times New Roman"/>
                <w:sz w:val="18"/>
              </w:rPr>
              <w:t>10.38</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4"/>
              <w:jc w:val="right"/>
              <w:rPr>
                <w:rFonts w:ascii="Times New Roman" w:hAnsi="Times New Roman" w:cs="Times New Roman" w:eastAsia="Times New Roman" w:hint="default"/>
                <w:sz w:val="18"/>
                <w:szCs w:val="18"/>
              </w:rPr>
            </w:pPr>
            <w:r>
              <w:rPr>
                <w:rFonts w:ascii="Times New Roman"/>
                <w:sz w:val="18"/>
              </w:rPr>
              <w:t>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0" w:right="0"/>
              <w:jc w:val="left"/>
              <w:rPr>
                <w:rFonts w:ascii="Times New Roman" w:hAnsi="Times New Roman" w:cs="Times New Roman" w:eastAsia="Times New Roman" w:hint="default"/>
                <w:sz w:val="18"/>
                <w:szCs w:val="18"/>
              </w:rPr>
            </w:pPr>
            <w:r>
              <w:rPr>
                <w:rFonts w:ascii="Times New Roman"/>
                <w:sz w:val="18"/>
              </w:rPr>
              <w:t>0</w:t>
            </w:r>
          </w:p>
        </w:tc>
        <w:tc>
          <w:tcPr>
            <w:tcW w:w="541"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966"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21" w:lineRule="auto"/>
              <w:ind w:left="15" w:right="178"/>
              <w:jc w:val="left"/>
              <w:rPr>
                <w:rFonts w:ascii="宋体" w:hAnsi="宋体" w:cs="宋体" w:eastAsia="宋体" w:hint="default"/>
                <w:sz w:val="18"/>
                <w:szCs w:val="18"/>
              </w:rPr>
            </w:pPr>
            <w:r>
              <w:rPr>
                <w:rFonts w:ascii="宋体" w:hAnsi="宋体" w:cs="宋体" w:eastAsia="宋体" w:hint="default"/>
                <w:sz w:val="18"/>
                <w:szCs w:val="18"/>
              </w:rPr>
              <w:t>招商 银行</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4" w:lineRule="auto"/>
              <w:ind w:left="30" w:right="163"/>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44"/>
              <w:ind w:left="30" w:right="163"/>
              <w:jc w:val="both"/>
              <w:rPr>
                <w:rFonts w:ascii="宋体" w:hAnsi="宋体" w:cs="宋体" w:eastAsia="宋体" w:hint="default"/>
                <w:sz w:val="18"/>
                <w:szCs w:val="18"/>
              </w:rPr>
            </w:pPr>
            <w:r>
              <w:rPr>
                <w:rFonts w:ascii="宋体" w:hAnsi="宋体" w:cs="宋体" w:eastAsia="宋体" w:hint="default"/>
                <w:sz w:val="18"/>
                <w:szCs w:val="18"/>
              </w:rPr>
              <w:t>投资 于金 融资 产和 金融 工具</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21" w:lineRule="auto"/>
              <w:ind w:left="15" w:right="165"/>
              <w:jc w:val="left"/>
              <w:rPr>
                <w:rFonts w:ascii="宋体" w:hAnsi="宋体" w:cs="宋体" w:eastAsia="宋体" w:hint="default"/>
                <w:sz w:val="18"/>
                <w:szCs w:val="18"/>
              </w:rPr>
            </w:pPr>
            <w:r>
              <w:rPr>
                <w:rFonts w:ascii="宋体" w:hAnsi="宋体" w:cs="宋体" w:eastAsia="宋体" w:hint="default"/>
                <w:sz w:val="18"/>
                <w:szCs w:val="18"/>
              </w:rPr>
              <w:t>浮动 利率</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3.70%</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83.02</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0</w:t>
            </w:r>
          </w:p>
        </w:tc>
        <w:tc>
          <w:tcPr>
            <w:tcW w:w="541"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967"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21" w:lineRule="auto"/>
              <w:ind w:left="15" w:right="178"/>
              <w:jc w:val="left"/>
              <w:rPr>
                <w:rFonts w:ascii="宋体" w:hAnsi="宋体" w:cs="宋体" w:eastAsia="宋体" w:hint="default"/>
                <w:sz w:val="18"/>
                <w:szCs w:val="18"/>
              </w:rPr>
            </w:pPr>
            <w:r>
              <w:rPr>
                <w:rFonts w:ascii="宋体" w:hAnsi="宋体" w:cs="宋体" w:eastAsia="宋体" w:hint="default"/>
                <w:sz w:val="18"/>
                <w:szCs w:val="18"/>
              </w:rPr>
              <w:t>民生 银行</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12,000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4" w:lineRule="auto"/>
              <w:ind w:left="30" w:right="163"/>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30" w:right="163"/>
              <w:jc w:val="both"/>
              <w:rPr>
                <w:rFonts w:ascii="宋体" w:hAnsi="宋体" w:cs="宋体" w:eastAsia="宋体" w:hint="default"/>
                <w:sz w:val="18"/>
                <w:szCs w:val="18"/>
              </w:rPr>
            </w:pPr>
            <w:r>
              <w:rPr>
                <w:rFonts w:ascii="宋体" w:hAnsi="宋体" w:cs="宋体" w:eastAsia="宋体" w:hint="default"/>
                <w:sz w:val="18"/>
                <w:szCs w:val="18"/>
              </w:rPr>
              <w:t>主要 投资 于货 币市 场工 具</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44"/>
              <w:jc w:val="center"/>
              <w:rPr>
                <w:rFonts w:ascii="Times New Roman" w:hAnsi="Times New Roman" w:cs="Times New Roman" w:eastAsia="Times New Roman" w:hint="default"/>
                <w:sz w:val="18"/>
                <w:szCs w:val="18"/>
              </w:rPr>
            </w:pPr>
            <w:r>
              <w:rPr>
                <w:rFonts w:ascii="Times New Roman"/>
                <w:sz w:val="18"/>
              </w:rPr>
              <w:t>3.85%</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3.85%</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115.18</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0</w:t>
            </w:r>
          </w:p>
        </w:tc>
        <w:tc>
          <w:tcPr>
            <w:tcW w:w="541"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967"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21" w:lineRule="auto"/>
              <w:ind w:left="15" w:right="178"/>
              <w:jc w:val="left"/>
              <w:rPr>
                <w:rFonts w:ascii="宋体" w:hAnsi="宋体" w:cs="宋体" w:eastAsia="宋体" w:hint="default"/>
                <w:sz w:val="18"/>
                <w:szCs w:val="18"/>
              </w:rPr>
            </w:pPr>
            <w:r>
              <w:rPr>
                <w:rFonts w:ascii="宋体" w:hAnsi="宋体" w:cs="宋体" w:eastAsia="宋体" w:hint="default"/>
                <w:sz w:val="18"/>
                <w:szCs w:val="18"/>
              </w:rPr>
              <w:t>民生 银行</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314" w:lineRule="auto"/>
              <w:ind w:left="30" w:right="163"/>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p>
          <w:p>
            <w:pPr>
              <w:pStyle w:val="TableParagraph"/>
              <w:spacing w:line="240" w:lineRule="auto" w:before="36"/>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30"/>
              <w:ind w:left="30" w:right="163"/>
              <w:jc w:val="both"/>
              <w:rPr>
                <w:rFonts w:ascii="宋体" w:hAnsi="宋体" w:cs="宋体" w:eastAsia="宋体" w:hint="default"/>
                <w:sz w:val="18"/>
                <w:szCs w:val="18"/>
              </w:rPr>
            </w:pPr>
            <w:r>
              <w:rPr>
                <w:rFonts w:ascii="宋体" w:hAnsi="宋体" w:cs="宋体" w:eastAsia="宋体" w:hint="default"/>
                <w:sz w:val="18"/>
                <w:szCs w:val="18"/>
              </w:rPr>
              <w:t>主要 投资 于货 币市 场工 具</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21" w:lineRule="auto"/>
              <w:ind w:left="15" w:right="165"/>
              <w:jc w:val="left"/>
              <w:rPr>
                <w:rFonts w:ascii="宋体" w:hAnsi="宋体" w:cs="宋体" w:eastAsia="宋体" w:hint="default"/>
                <w:sz w:val="18"/>
                <w:szCs w:val="18"/>
              </w:rPr>
            </w:pPr>
            <w:r>
              <w:rPr>
                <w:rFonts w:ascii="宋体" w:hAnsi="宋体" w:cs="宋体" w:eastAsia="宋体" w:hint="default"/>
                <w:sz w:val="18"/>
                <w:szCs w:val="18"/>
              </w:rPr>
              <w:t>浮动 利率</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3.70%</w:t>
            </w:r>
          </w:p>
        </w:tc>
        <w:tc>
          <w:tcPr>
            <w:tcW w:w="556"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36.49</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36.49</w:t>
            </w:r>
          </w:p>
        </w:tc>
        <w:tc>
          <w:tcPr>
            <w:tcW w:w="541"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705" w:hRule="exact"/>
        </w:trPr>
        <w:tc>
          <w:tcPr>
            <w:tcW w:w="1772"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272,40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w:t>
            </w:r>
          </w:p>
        </w:tc>
        <w:tc>
          <w:tcPr>
            <w:tcW w:w="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w:t>
            </w:r>
          </w:p>
        </w:tc>
        <w:tc>
          <w:tcPr>
            <w:tcW w:w="5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w:t>
            </w:r>
          </w:p>
        </w:tc>
        <w:tc>
          <w:tcPr>
            <w:tcW w:w="5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702.22</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1,985.</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52</w:t>
            </w:r>
          </w:p>
        </w:tc>
        <w:tc>
          <w:tcPr>
            <w:tcW w:w="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w:t>
            </w:r>
          </w:p>
        </w:tc>
        <w:tc>
          <w:tcPr>
            <w:tcW w:w="541"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2"/>
              <w:jc w:val="center"/>
              <w:rPr>
                <w:rFonts w:ascii="Times New Roman" w:hAnsi="Times New Roman" w:cs="Times New Roman" w:eastAsia="Times New Roman" w:hint="default"/>
                <w:sz w:val="18"/>
                <w:szCs w:val="18"/>
              </w:rPr>
            </w:pPr>
            <w:r>
              <w:rPr>
                <w:rFonts w:ascii="Times New Roman"/>
                <w:sz w:val="18"/>
              </w:rPr>
              <w:t>--</w:t>
            </w:r>
          </w:p>
        </w:tc>
        <w:tc>
          <w:tcPr>
            <w:tcW w:w="5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5"/>
        <w:ind w:right="1100"/>
        <w:jc w:val="left"/>
      </w:pPr>
      <w:r>
        <w:rPr/>
        <w:t>委托理财出现预期无法收回本金或存在其他可能导致减值的情形</w:t>
      </w:r>
    </w:p>
    <w:p>
      <w:pPr>
        <w:pStyle w:val="BodyText"/>
        <w:spacing w:line="240" w:lineRule="auto" w:before="124"/>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4"/>
        <w:spacing w:line="240" w:lineRule="auto"/>
        <w:ind w:right="1100"/>
        <w:jc w:val="left"/>
        <w:rPr>
          <w:b w:val="0"/>
          <w:bCs w:val="0"/>
        </w:rPr>
      </w:pPr>
      <w:bookmarkStart w:name="（2）委托贷款情况" w:id="93"/>
      <w:bookmarkEnd w:id="93"/>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5"/>
        <w:rPr>
          <w:rFonts w:ascii="宋体" w:hAnsi="宋体" w:cs="宋体" w:eastAsia="宋体" w:hint="default"/>
          <w:b/>
          <w:bCs/>
          <w:sz w:val="26"/>
          <w:szCs w:val="26"/>
        </w:rPr>
      </w:pPr>
    </w:p>
    <w:p>
      <w:pPr>
        <w:pStyle w:val="BodyText"/>
        <w:spacing w:line="319" w:lineRule="auto"/>
        <w:ind w:right="84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公司报告期不存在委托贷款。</w:t>
      </w:r>
    </w:p>
    <w:p>
      <w:pPr>
        <w:spacing w:after="0" w:line="319"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4"/>
        <w:spacing w:line="240" w:lineRule="auto" w:before="35"/>
        <w:ind w:right="1100"/>
        <w:jc w:val="left"/>
        <w:rPr>
          <w:b w:val="0"/>
          <w:bCs w:val="0"/>
        </w:rPr>
      </w:pPr>
      <w:bookmarkStart w:name="4、其他重大合同" w:id="94"/>
      <w:bookmarkEnd w:id="94"/>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3"/>
        <w:rPr>
          <w:rFonts w:ascii="宋体" w:hAnsi="宋体" w:cs="宋体" w:eastAsia="宋体" w:hint="default"/>
          <w:b/>
          <w:bCs/>
          <w:sz w:val="25"/>
          <w:szCs w:val="25"/>
        </w:rPr>
      </w:pPr>
    </w:p>
    <w:p>
      <w:pPr>
        <w:pStyle w:val="BodyText"/>
        <w:spacing w:line="319" w:lineRule="auto"/>
        <w:ind w:right="8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公司报告期不存在其他重大合同。</w:t>
      </w:r>
    </w:p>
    <w:p>
      <w:pPr>
        <w:spacing w:line="240" w:lineRule="auto" w:before="8"/>
        <w:rPr>
          <w:rFonts w:ascii="宋体" w:hAnsi="宋体" w:cs="宋体" w:eastAsia="宋体" w:hint="default"/>
          <w:sz w:val="22"/>
          <w:szCs w:val="22"/>
        </w:rPr>
      </w:pPr>
    </w:p>
    <w:p>
      <w:pPr>
        <w:pStyle w:val="Heading2"/>
        <w:spacing w:line="240" w:lineRule="auto"/>
        <w:ind w:right="1100"/>
        <w:jc w:val="left"/>
        <w:rPr>
          <w:b w:val="0"/>
          <w:bCs w:val="0"/>
        </w:rPr>
      </w:pPr>
      <w:bookmarkStart w:name="十七、社会责任情况" w:id="95"/>
      <w:bookmarkEnd w:id="95"/>
      <w:r>
        <w:rPr>
          <w:b w:val="0"/>
          <w:bCs w:val="0"/>
        </w:rPr>
      </w:r>
      <w:r>
        <w:rPr/>
        <w:t>十七、社会责任情况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00"/>
        <w:jc w:val="left"/>
        <w:rPr>
          <w:b w:val="0"/>
          <w:bCs w:val="0"/>
        </w:rPr>
      </w:pPr>
      <w:bookmarkStart w:name="1、履行社会责任情况" w:id="96"/>
      <w:bookmarkEnd w:id="96"/>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1100"/>
        <w:jc w:val="left"/>
      </w:pPr>
      <w:r>
        <w:rPr/>
        <w:t>公司在实现自我发展成长的同时，积极履行企业应尽的义务，承担社会责任。</w:t>
      </w:r>
    </w:p>
    <w:p>
      <w:pPr>
        <w:pStyle w:val="BodyText"/>
        <w:spacing w:line="309" w:lineRule="auto" w:before="124"/>
        <w:ind w:right="1100"/>
        <w:jc w:val="left"/>
      </w:pPr>
      <w:r>
        <w:rPr>
          <w:rFonts w:ascii="Times New Roman" w:hAnsi="Times New Roman" w:cs="Times New Roman" w:eastAsia="Times New Roman" w:hint="default"/>
        </w:rPr>
        <w:t>1</w:t>
      </w:r>
      <w:r>
        <w:rPr/>
        <w:t>．加强信息披露，保障股东权益 </w:t>
      </w:r>
      <w:r>
        <w:rPr>
          <w:spacing w:val="-2"/>
        </w:rPr>
        <w:t>公司严格按照《公司法》、《深圳证券交易所创业板股票上市规则》、《上市公司信息披露管理办法》等相关法律法规的要</w:t>
      </w:r>
      <w:r>
        <w:rPr>
          <w:spacing w:val="-77"/>
        </w:rPr>
        <w:t> </w:t>
      </w:r>
      <w:r>
        <w:rPr>
          <w:spacing w:val="-77"/>
        </w:rPr>
      </w:r>
      <w:r>
        <w:rPr>
          <w:spacing w:val="-2"/>
        </w:rPr>
        <w:t>求，及时、准确、真实、完整地进行信息披露，保障了股东的知情权；同时公司非常重视对股东的合理回报，制定了相对稳</w:t>
      </w:r>
      <w:r>
        <w:rPr>
          <w:spacing w:val="-73"/>
        </w:rPr>
        <w:t> </w:t>
      </w:r>
      <w:r>
        <w:rPr>
          <w:spacing w:val="-73"/>
        </w:rPr>
      </w:r>
      <w:r>
        <w:rPr/>
        <w:t>定的利润分配政策回报股东。</w:t>
      </w:r>
    </w:p>
    <w:p>
      <w:pPr>
        <w:pStyle w:val="BodyText"/>
        <w:spacing w:line="297" w:lineRule="auto" w:before="43"/>
        <w:ind w:right="1100"/>
        <w:jc w:val="left"/>
      </w:pPr>
      <w:r>
        <w:rPr>
          <w:rFonts w:ascii="Times New Roman" w:hAnsi="Times New Roman" w:cs="Times New Roman" w:eastAsia="Times New Roman" w:hint="default"/>
        </w:rPr>
        <w:t>2.</w:t>
      </w:r>
      <w:r>
        <w:rPr/>
        <w:t>贯彻以人为本，保障员工权益 </w:t>
      </w:r>
      <w:r>
        <w:rPr>
          <w:spacing w:val="-2"/>
        </w:rPr>
        <w:t>公司一直坚持以人为本的人才理念，实施企业人才战略，严格遵守《劳动法》、《劳动合同法》等相关法律法规，给公司员</w:t>
      </w:r>
      <w:r>
        <w:rPr>
          <w:spacing w:val="-74"/>
        </w:rPr>
        <w:t> </w:t>
      </w:r>
      <w:r>
        <w:rPr>
          <w:spacing w:val="-74"/>
        </w:rPr>
      </w:r>
      <w:r>
        <w:rPr/>
        <w:t>工提供相当的收入水平、良好的工作环境和提升的机会。</w:t>
      </w:r>
    </w:p>
    <w:p>
      <w:pPr>
        <w:pStyle w:val="BodyText"/>
        <w:spacing w:line="304" w:lineRule="auto" w:before="51"/>
        <w:ind w:right="1100"/>
        <w:jc w:val="left"/>
      </w:pPr>
      <w:r>
        <w:rPr>
          <w:rFonts w:ascii="Times New Roman" w:hAnsi="Times New Roman" w:cs="Times New Roman" w:eastAsia="Times New Roman" w:hint="default"/>
        </w:rPr>
        <w:t>3.</w:t>
      </w:r>
      <w:r>
        <w:rPr/>
        <w:t>坚持依法经营，履行社会责任 </w:t>
      </w:r>
      <w:r>
        <w:rPr>
          <w:spacing w:val="-2"/>
        </w:rPr>
        <w:t>公司始终将依法经营作为公司运行的基本原则，注重企业经济效益与社会效益的同步共赢。公司及时缴纳各项税款，积极发</w:t>
      </w:r>
      <w:r>
        <w:rPr>
          <w:spacing w:val="-75"/>
        </w:rPr>
        <w:t> </w:t>
      </w:r>
      <w:r>
        <w:rPr>
          <w:spacing w:val="-75"/>
        </w:rPr>
      </w:r>
      <w:r>
        <w:rPr/>
        <w:t>展就业，促进当地经济的发展。</w:t>
      </w:r>
    </w:p>
    <w:p>
      <w:pPr>
        <w:spacing w:line="240" w:lineRule="auto" w:before="11"/>
        <w:rPr>
          <w:rFonts w:ascii="宋体" w:hAnsi="宋体" w:cs="宋体" w:eastAsia="宋体" w:hint="default"/>
          <w:sz w:val="23"/>
          <w:szCs w:val="23"/>
        </w:rPr>
      </w:pPr>
    </w:p>
    <w:p>
      <w:pPr>
        <w:pStyle w:val="Heading4"/>
        <w:spacing w:line="240" w:lineRule="auto"/>
        <w:ind w:right="1100"/>
        <w:jc w:val="left"/>
        <w:rPr>
          <w:b w:val="0"/>
          <w:bCs w:val="0"/>
        </w:rPr>
      </w:pPr>
      <w:bookmarkStart w:name="2、履行精准扶贫社会责任情况" w:id="97"/>
      <w:bookmarkEnd w:id="97"/>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1100"/>
        <w:jc w:val="left"/>
        <w:rPr>
          <w:b w:val="0"/>
          <w:bCs w:val="0"/>
        </w:rPr>
      </w:pPr>
      <w:bookmarkStart w:name="（1）精准扶贫规划" w:id="98"/>
      <w:bookmarkEnd w:id="98"/>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1100"/>
        <w:jc w:val="left"/>
      </w:pPr>
      <w:r>
        <w:rPr/>
        <w:t>公司报告年度暂未开展精准扶贫工作，也暂无后续精准扶贫计划。</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Heading4"/>
        <w:spacing w:line="240" w:lineRule="auto"/>
        <w:ind w:right="1100"/>
        <w:jc w:val="left"/>
        <w:rPr>
          <w:b w:val="0"/>
          <w:bCs w:val="0"/>
        </w:rPr>
      </w:pPr>
      <w:bookmarkStart w:name="（2）年度精准扶贫概要" w:id="99"/>
      <w:bookmarkEnd w:id="99"/>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1100"/>
        <w:jc w:val="left"/>
      </w:pPr>
      <w:r>
        <w:rPr/>
        <w:t>无</w:t>
      </w:r>
    </w:p>
    <w:p>
      <w:pPr>
        <w:spacing w:line="240" w:lineRule="auto" w:before="0"/>
        <w:rPr>
          <w:rFonts w:ascii="宋体" w:hAnsi="宋体" w:cs="宋体" w:eastAsia="宋体" w:hint="default"/>
          <w:sz w:val="18"/>
          <w:szCs w:val="18"/>
        </w:rPr>
      </w:pPr>
    </w:p>
    <w:p>
      <w:pPr>
        <w:pStyle w:val="Heading4"/>
        <w:spacing w:line="240" w:lineRule="auto" w:before="124"/>
        <w:ind w:right="1100"/>
        <w:jc w:val="left"/>
        <w:rPr>
          <w:b w:val="0"/>
          <w:bCs w:val="0"/>
        </w:rPr>
      </w:pPr>
      <w:bookmarkStart w:name="（3）后续精准扶贫计划" w:id="100"/>
      <w:bookmarkEnd w:id="100"/>
      <w:r>
        <w:rPr>
          <w:b w:val="0"/>
          <w:bCs w:val="0"/>
        </w:rPr>
      </w:r>
      <w:r>
        <w:rPr/>
        <w:t>（</w:t>
      </w:r>
      <w:r>
        <w:rPr>
          <w:rFonts w:ascii="Times New Roman" w:hAnsi="Times New Roman" w:cs="Times New Roman" w:eastAsia="Times New Roman" w:hint="default"/>
        </w:rPr>
        <w:t>3</w:t>
      </w:r>
      <w:r>
        <w:rPr/>
        <w:t>）后续精准扶贫计划</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1100"/>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39"/>
        <w:ind w:right="1100"/>
        <w:jc w:val="left"/>
        <w:rPr>
          <w:b w:val="0"/>
          <w:bCs w:val="0"/>
        </w:rPr>
      </w:pPr>
      <w:bookmarkStart w:name="3、环境保护相关的情况" w:id="101"/>
      <w:bookmarkEnd w:id="101"/>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3"/>
        <w:rPr>
          <w:rFonts w:ascii="宋体" w:hAnsi="宋体" w:cs="宋体" w:eastAsia="宋体" w:hint="default"/>
          <w:b/>
          <w:bCs/>
          <w:sz w:val="25"/>
          <w:szCs w:val="25"/>
        </w:rPr>
      </w:pPr>
    </w:p>
    <w:p>
      <w:pPr>
        <w:pStyle w:val="BodyText"/>
        <w:spacing w:line="350" w:lineRule="auto"/>
        <w:ind w:right="5709"/>
        <w:jc w:val="left"/>
      </w:pPr>
      <w:r>
        <w:rPr/>
        <w:t>上市公司及其子公司是否属于环境保护部门公布的重点排污单位 否</w:t>
      </w:r>
    </w:p>
    <w:p>
      <w:pPr>
        <w:pStyle w:val="BodyText"/>
        <w:spacing w:line="240" w:lineRule="auto" w:before="42"/>
        <w:ind w:right="1100"/>
        <w:jc w:val="left"/>
      </w:pPr>
      <w:r>
        <w:rPr/>
        <w:t>本公司及子公司不属于环境保护部门公布的重点排污单位。</w:t>
      </w:r>
    </w:p>
    <w:p>
      <w:pPr>
        <w:spacing w:after="0" w:line="240" w:lineRule="auto"/>
        <w:jc w:val="left"/>
        <w:sectPr>
          <w:pgSz w:w="11910" w:h="16850"/>
          <w:pgMar w:header="731" w:footer="981" w:top="1040" w:bottom="1180" w:left="1000" w:right="0"/>
        </w:sectPr>
      </w:pPr>
    </w:p>
    <w:p>
      <w:pPr>
        <w:spacing w:line="240" w:lineRule="auto" w:before="5"/>
        <w:rPr>
          <w:rFonts w:ascii="宋体" w:hAnsi="宋体" w:cs="宋体" w:eastAsia="宋体" w:hint="default"/>
          <w:sz w:val="24"/>
          <w:szCs w:val="24"/>
        </w:rPr>
      </w:pPr>
    </w:p>
    <w:p>
      <w:pPr>
        <w:pStyle w:val="Heading2"/>
        <w:spacing w:line="240" w:lineRule="auto" w:before="26"/>
        <w:ind w:right="1100"/>
        <w:jc w:val="left"/>
        <w:rPr>
          <w:b w:val="0"/>
          <w:bCs w:val="0"/>
        </w:rPr>
      </w:pPr>
      <w:bookmarkStart w:name="十八、其他重大事项的说明" w:id="102"/>
      <w:bookmarkEnd w:id="102"/>
      <w:r>
        <w:rPr>
          <w:b w:val="0"/>
          <w:bCs w:val="0"/>
        </w:rPr>
      </w:r>
      <w:r>
        <w:rPr/>
        <w:t>十八、其他重大事项的说明</w:t>
      </w:r>
      <w:r>
        <w:rPr>
          <w:b w:val="0"/>
          <w:bCs w:val="0"/>
        </w:rPr>
      </w:r>
    </w:p>
    <w:p>
      <w:pPr>
        <w:spacing w:line="240" w:lineRule="auto" w:before="3"/>
        <w:rPr>
          <w:rFonts w:ascii="宋体" w:hAnsi="宋体" w:cs="宋体" w:eastAsia="宋体" w:hint="default"/>
          <w:b/>
          <w:bCs/>
          <w:sz w:val="27"/>
          <w:szCs w:val="27"/>
        </w:rPr>
      </w:pPr>
    </w:p>
    <w:p>
      <w:pPr>
        <w:pStyle w:val="BodyText"/>
        <w:spacing w:line="319" w:lineRule="auto"/>
        <w:ind w:right="7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公司报告期不存在需要说明的其他重大事项。</w:t>
      </w:r>
    </w:p>
    <w:p>
      <w:pPr>
        <w:spacing w:line="240" w:lineRule="auto" w:before="8"/>
        <w:rPr>
          <w:rFonts w:ascii="宋体" w:hAnsi="宋体" w:cs="宋体" w:eastAsia="宋体" w:hint="default"/>
          <w:sz w:val="22"/>
          <w:szCs w:val="22"/>
        </w:rPr>
      </w:pPr>
    </w:p>
    <w:p>
      <w:pPr>
        <w:pStyle w:val="Heading2"/>
        <w:spacing w:line="240" w:lineRule="auto"/>
        <w:ind w:right="1100"/>
        <w:jc w:val="left"/>
        <w:rPr>
          <w:b w:val="0"/>
          <w:bCs w:val="0"/>
        </w:rPr>
      </w:pPr>
      <w:bookmarkStart w:name="十九、公司子公司重大事项" w:id="103"/>
      <w:bookmarkEnd w:id="103"/>
      <w:r>
        <w:rPr>
          <w:b w:val="0"/>
          <w:bCs w:val="0"/>
        </w:rPr>
      </w:r>
      <w:r>
        <w:rPr/>
        <w:t>十九、公司子公司重大事项</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3040" w:right="1100"/>
        <w:jc w:val="left"/>
        <w:rPr>
          <w:b w:val="0"/>
          <w:bCs w:val="0"/>
        </w:rPr>
      </w:pPr>
      <w:bookmarkStart w:name="第六节股份变动及股东情况" w:id="104"/>
      <w:bookmarkEnd w:id="104"/>
      <w:r>
        <w:rPr>
          <w:b w:val="0"/>
          <w:bCs w:val="0"/>
        </w:rPr>
      </w:r>
      <w:bookmarkStart w:name="_bookmark5" w:id="105"/>
      <w:bookmarkEnd w:id="105"/>
      <w:r>
        <w:rPr>
          <w:b w:val="0"/>
          <w:bCs w:val="0"/>
        </w:rPr>
      </w:r>
      <w:r>
        <w:rPr>
          <w:spacing w:val="5"/>
        </w:rPr>
        <w:t>第六节股份变动及股东情况</w:t>
      </w:r>
      <w:r>
        <w:rPr>
          <w:b w:val="0"/>
          <w:bCs w:val="0"/>
          <w:spacing w:val="5"/>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1100"/>
        <w:jc w:val="left"/>
        <w:rPr>
          <w:b w:val="0"/>
          <w:bCs w:val="0"/>
        </w:rPr>
      </w:pPr>
      <w:bookmarkStart w:name="一、股份变动情况" w:id="106"/>
      <w:bookmarkEnd w:id="106"/>
      <w:r>
        <w:rPr>
          <w:b w:val="0"/>
          <w:bCs w:val="0"/>
        </w:rPr>
      </w:r>
      <w:r>
        <w:rPr/>
        <w:t>一、股份变动情况</w:t>
      </w:r>
      <w:r>
        <w:rPr>
          <w:b w:val="0"/>
          <w:bCs w:val="0"/>
        </w:rPr>
      </w:r>
    </w:p>
    <w:p>
      <w:pPr>
        <w:spacing w:line="240" w:lineRule="auto" w:before="9"/>
        <w:rPr>
          <w:rFonts w:ascii="宋体" w:hAnsi="宋体" w:cs="宋体" w:eastAsia="宋体" w:hint="default"/>
          <w:b/>
          <w:bCs/>
          <w:sz w:val="25"/>
          <w:szCs w:val="25"/>
        </w:rPr>
      </w:pPr>
    </w:p>
    <w:p>
      <w:pPr>
        <w:pStyle w:val="Heading4"/>
        <w:spacing w:line="240" w:lineRule="auto"/>
        <w:ind w:right="1100"/>
        <w:jc w:val="left"/>
        <w:rPr>
          <w:b w:val="0"/>
          <w:bCs w:val="0"/>
        </w:rPr>
      </w:pPr>
      <w:bookmarkStart w:name="1、股份变动情况" w:id="107"/>
      <w:bookmarkEnd w:id="107"/>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10"/>
        <w:jc w:val="right"/>
      </w:pPr>
      <w:r>
        <w:rPr/>
        <w:t>单位：股</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222"/>
        <w:gridCol w:w="819"/>
        <w:gridCol w:w="826"/>
        <w:gridCol w:w="826"/>
        <w:gridCol w:w="826"/>
        <w:gridCol w:w="826"/>
        <w:gridCol w:w="811"/>
        <w:gridCol w:w="826"/>
        <w:gridCol w:w="796"/>
        <w:gridCol w:w="796"/>
      </w:tblGrid>
      <w:tr>
        <w:trPr>
          <w:trHeight w:val="405"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164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5"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66"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9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4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58" w:hRule="exact"/>
        </w:trPr>
        <w:tc>
          <w:tcPr>
            <w:tcW w:w="2222" w:type="dxa"/>
            <w:vMerge w:val="restart"/>
            <w:tcBorders>
              <w:top w:val="nil" w:sz="6" w:space="0" w:color="auto"/>
              <w:left w:val="single" w:sz="6" w:space="0" w:color="000000"/>
              <w:right w:val="single" w:sz="6" w:space="0" w:color="000000"/>
            </w:tcBorders>
            <w:shd w:val="clear" w:color="auto" w:fill="D2D2D2"/>
          </w:tcPr>
          <w:p>
            <w:pPr/>
          </w:p>
        </w:tc>
        <w:tc>
          <w:tcPr>
            <w:tcW w:w="819" w:type="dxa"/>
            <w:tcBorders>
              <w:top w:val="single" w:sz="6" w:space="0" w:color="000000"/>
              <w:left w:val="single" w:sz="6" w:space="0" w:color="000000"/>
              <w:bottom w:val="nil" w:sz="6" w:space="0" w:color="auto"/>
              <w:right w:val="single" w:sz="6" w:space="0" w:color="000000"/>
            </w:tcBorders>
            <w:shd w:val="clear" w:color="auto" w:fill="D2D2D2"/>
          </w:tcPr>
          <w:p>
            <w:pPr/>
          </w:p>
        </w:tc>
        <w:tc>
          <w:tcPr>
            <w:tcW w:w="826" w:type="dxa"/>
            <w:tcBorders>
              <w:top w:val="single" w:sz="6" w:space="0" w:color="000000"/>
              <w:left w:val="single" w:sz="6" w:space="0" w:color="000000"/>
              <w:bottom w:val="nil" w:sz="6" w:space="0" w:color="auto"/>
              <w:right w:val="single" w:sz="6" w:space="0" w:color="000000"/>
            </w:tcBorders>
            <w:shd w:val="clear" w:color="auto" w:fill="D2D2D2"/>
          </w:tcPr>
          <w:p>
            <w:pPr/>
          </w:p>
        </w:tc>
        <w:tc>
          <w:tcPr>
            <w:tcW w:w="826" w:type="dxa"/>
            <w:tcBorders>
              <w:top w:val="single" w:sz="6" w:space="0" w:color="000000"/>
              <w:left w:val="single" w:sz="6" w:space="0" w:color="000000"/>
              <w:bottom w:val="nil" w:sz="6" w:space="0" w:color="auto"/>
              <w:right w:val="single" w:sz="6" w:space="0" w:color="000000"/>
            </w:tcBorders>
            <w:shd w:val="clear" w:color="auto" w:fill="D2D2D2"/>
          </w:tcPr>
          <w:p>
            <w:pPr/>
          </w:p>
        </w:tc>
        <w:tc>
          <w:tcPr>
            <w:tcW w:w="826" w:type="dxa"/>
            <w:tcBorders>
              <w:top w:val="single" w:sz="6" w:space="0" w:color="000000"/>
              <w:left w:val="single" w:sz="6" w:space="0" w:color="000000"/>
              <w:bottom w:val="nil" w:sz="6" w:space="0" w:color="auto"/>
              <w:right w:val="single" w:sz="6" w:space="0" w:color="000000"/>
            </w:tcBorders>
            <w:shd w:val="clear" w:color="auto" w:fill="D2D2D2"/>
          </w:tcPr>
          <w:p>
            <w:pPr/>
          </w:p>
        </w:tc>
        <w:tc>
          <w:tcPr>
            <w:tcW w:w="826"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5"/>
              <w:ind w:left="299" w:right="59"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11" w:type="dxa"/>
            <w:tcBorders>
              <w:top w:val="single" w:sz="6" w:space="0" w:color="000000"/>
              <w:left w:val="single" w:sz="6" w:space="0" w:color="000000"/>
              <w:bottom w:val="nil" w:sz="6" w:space="0" w:color="auto"/>
              <w:right w:val="single" w:sz="6" w:space="0" w:color="000000"/>
            </w:tcBorders>
            <w:shd w:val="clear" w:color="auto" w:fill="D2D2D2"/>
          </w:tcPr>
          <w:p>
            <w:pPr/>
          </w:p>
        </w:tc>
        <w:tc>
          <w:tcPr>
            <w:tcW w:w="82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95" w:hRule="exact"/>
        </w:trPr>
        <w:tc>
          <w:tcPr>
            <w:tcW w:w="2222" w:type="dxa"/>
            <w:vMerge/>
            <w:tcBorders>
              <w:left w:val="single" w:sz="6" w:space="0" w:color="000000"/>
              <w:bottom w:val="nil" w:sz="6" w:space="0" w:color="auto"/>
              <w:right w:val="single" w:sz="6" w:space="0" w:color="000000"/>
            </w:tcBorders>
            <w:shd w:val="clear" w:color="auto" w:fill="D2D2D2"/>
          </w:tcPr>
          <w:p>
            <w:pPr/>
          </w:p>
        </w:tc>
        <w:tc>
          <w:tcPr>
            <w:tcW w:w="81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1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6" w:type="dxa"/>
            <w:vMerge/>
            <w:tcBorders>
              <w:left w:val="single" w:sz="6" w:space="0" w:color="000000"/>
              <w:right w:val="single" w:sz="6" w:space="0" w:color="000000"/>
            </w:tcBorders>
            <w:shd w:val="clear" w:color="auto" w:fill="D2D2D2"/>
          </w:tcPr>
          <w:p>
            <w:pPr/>
          </w:p>
        </w:tc>
        <w:tc>
          <w:tcPr>
            <w:tcW w:w="81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5" w:hRule="exact"/>
        </w:trPr>
        <w:tc>
          <w:tcPr>
            <w:tcW w:w="2222" w:type="dxa"/>
            <w:vMerge w:val="restart"/>
            <w:tcBorders>
              <w:top w:val="nil" w:sz="6" w:space="0" w:color="auto"/>
              <w:left w:val="single" w:sz="6" w:space="0" w:color="000000"/>
              <w:right w:val="single" w:sz="6" w:space="0" w:color="000000"/>
            </w:tcBorders>
            <w:shd w:val="clear" w:color="auto" w:fill="D2D2D2"/>
          </w:tcPr>
          <w:p>
            <w:pPr/>
          </w:p>
        </w:tc>
        <w:tc>
          <w:tcPr>
            <w:tcW w:w="819" w:type="dxa"/>
            <w:vMerge/>
            <w:tcBorders>
              <w:left w:val="single" w:sz="6" w:space="0" w:color="000000"/>
              <w:bottom w:val="nil" w:sz="6" w:space="0" w:color="auto"/>
              <w:right w:val="single" w:sz="6" w:space="0" w:color="000000"/>
            </w:tcBorders>
            <w:shd w:val="clear" w:color="auto" w:fill="D2D2D2"/>
          </w:tcPr>
          <w:p>
            <w:pPr/>
          </w:p>
        </w:tc>
        <w:tc>
          <w:tcPr>
            <w:tcW w:w="826" w:type="dxa"/>
            <w:vMerge/>
            <w:tcBorders>
              <w:left w:val="single" w:sz="6" w:space="0" w:color="000000"/>
              <w:bottom w:val="nil" w:sz="6" w:space="0" w:color="auto"/>
              <w:right w:val="single" w:sz="6" w:space="0" w:color="000000"/>
            </w:tcBorders>
            <w:shd w:val="clear" w:color="auto" w:fill="D2D2D2"/>
          </w:tcPr>
          <w:p>
            <w:pPr/>
          </w:p>
        </w:tc>
        <w:tc>
          <w:tcPr>
            <w:tcW w:w="826" w:type="dxa"/>
            <w:vMerge/>
            <w:tcBorders>
              <w:left w:val="single" w:sz="6" w:space="0" w:color="000000"/>
              <w:bottom w:val="nil" w:sz="6" w:space="0" w:color="auto"/>
              <w:right w:val="single" w:sz="6" w:space="0" w:color="000000"/>
            </w:tcBorders>
            <w:shd w:val="clear" w:color="auto" w:fill="D2D2D2"/>
          </w:tcPr>
          <w:p>
            <w:pPr/>
          </w:p>
        </w:tc>
        <w:tc>
          <w:tcPr>
            <w:tcW w:w="826" w:type="dxa"/>
            <w:vMerge/>
            <w:tcBorders>
              <w:left w:val="single" w:sz="6" w:space="0" w:color="000000"/>
              <w:bottom w:val="nil" w:sz="6" w:space="0" w:color="auto"/>
              <w:right w:val="single" w:sz="6" w:space="0" w:color="000000"/>
            </w:tcBorders>
            <w:shd w:val="clear" w:color="auto" w:fill="D2D2D2"/>
          </w:tcPr>
          <w:p>
            <w:pPr/>
          </w:p>
        </w:tc>
        <w:tc>
          <w:tcPr>
            <w:tcW w:w="826" w:type="dxa"/>
            <w:vMerge/>
            <w:tcBorders>
              <w:left w:val="single" w:sz="6" w:space="0" w:color="000000"/>
              <w:right w:val="single" w:sz="6" w:space="0" w:color="000000"/>
            </w:tcBorders>
            <w:shd w:val="clear" w:color="auto" w:fill="D2D2D2"/>
          </w:tcPr>
          <w:p>
            <w:pPr/>
          </w:p>
        </w:tc>
        <w:tc>
          <w:tcPr>
            <w:tcW w:w="811" w:type="dxa"/>
            <w:vMerge/>
            <w:tcBorders>
              <w:left w:val="single" w:sz="6" w:space="0" w:color="000000"/>
              <w:bottom w:val="nil" w:sz="6" w:space="0" w:color="auto"/>
              <w:right w:val="single" w:sz="6" w:space="0" w:color="000000"/>
            </w:tcBorders>
            <w:shd w:val="clear" w:color="auto" w:fill="D2D2D2"/>
          </w:tcPr>
          <w:p>
            <w:pPr/>
          </w:p>
        </w:tc>
        <w:tc>
          <w:tcPr>
            <w:tcW w:w="826"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r>
      <w:tr>
        <w:trPr>
          <w:trHeight w:val="173" w:hRule="exact"/>
        </w:trPr>
        <w:tc>
          <w:tcPr>
            <w:tcW w:w="2222" w:type="dxa"/>
            <w:vMerge/>
            <w:tcBorders>
              <w:left w:val="single" w:sz="6" w:space="0" w:color="000000"/>
              <w:bottom w:val="single" w:sz="6" w:space="0" w:color="000000"/>
              <w:right w:val="single" w:sz="6" w:space="0" w:color="000000"/>
            </w:tcBorders>
            <w:shd w:val="clear" w:color="auto" w:fill="D2D2D2"/>
          </w:tcPr>
          <w:p>
            <w:pPr/>
          </w:p>
        </w:tc>
        <w:tc>
          <w:tcPr>
            <w:tcW w:w="819" w:type="dxa"/>
            <w:tcBorders>
              <w:top w:val="nil" w:sz="6" w:space="0" w:color="auto"/>
              <w:left w:val="single" w:sz="6" w:space="0" w:color="000000"/>
              <w:bottom w:val="single" w:sz="6" w:space="0" w:color="000000"/>
              <w:right w:val="single" w:sz="6" w:space="0" w:color="000000"/>
            </w:tcBorders>
            <w:shd w:val="clear" w:color="auto" w:fill="D2D2D2"/>
          </w:tcPr>
          <w:p>
            <w:pPr/>
          </w:p>
        </w:tc>
        <w:tc>
          <w:tcPr>
            <w:tcW w:w="826" w:type="dxa"/>
            <w:tcBorders>
              <w:top w:val="nil" w:sz="6" w:space="0" w:color="auto"/>
              <w:left w:val="single" w:sz="6" w:space="0" w:color="000000"/>
              <w:bottom w:val="single" w:sz="6" w:space="0" w:color="000000"/>
              <w:right w:val="single" w:sz="6" w:space="0" w:color="000000"/>
            </w:tcBorders>
            <w:shd w:val="clear" w:color="auto" w:fill="D2D2D2"/>
          </w:tcPr>
          <w:p>
            <w:pPr/>
          </w:p>
        </w:tc>
        <w:tc>
          <w:tcPr>
            <w:tcW w:w="826" w:type="dxa"/>
            <w:tcBorders>
              <w:top w:val="nil" w:sz="6" w:space="0" w:color="auto"/>
              <w:left w:val="single" w:sz="6" w:space="0" w:color="000000"/>
              <w:bottom w:val="single" w:sz="6" w:space="0" w:color="000000"/>
              <w:right w:val="single" w:sz="6" w:space="0" w:color="000000"/>
            </w:tcBorders>
            <w:shd w:val="clear" w:color="auto" w:fill="D2D2D2"/>
          </w:tcPr>
          <w:p>
            <w:pPr/>
          </w:p>
        </w:tc>
        <w:tc>
          <w:tcPr>
            <w:tcW w:w="826" w:type="dxa"/>
            <w:tcBorders>
              <w:top w:val="nil" w:sz="6" w:space="0" w:color="auto"/>
              <w:left w:val="single" w:sz="6" w:space="0" w:color="000000"/>
              <w:bottom w:val="single" w:sz="6" w:space="0" w:color="000000"/>
              <w:right w:val="single" w:sz="6" w:space="0" w:color="000000"/>
            </w:tcBorders>
            <w:shd w:val="clear" w:color="auto" w:fill="D2D2D2"/>
          </w:tcPr>
          <w:p>
            <w:pPr/>
          </w:p>
        </w:tc>
        <w:tc>
          <w:tcPr>
            <w:tcW w:w="826" w:type="dxa"/>
            <w:vMerge/>
            <w:tcBorders>
              <w:left w:val="single" w:sz="6" w:space="0" w:color="000000"/>
              <w:bottom w:val="single" w:sz="6" w:space="0" w:color="000000"/>
              <w:right w:val="single" w:sz="6" w:space="0" w:color="000000"/>
            </w:tcBorders>
            <w:shd w:val="clear" w:color="auto" w:fill="D2D2D2"/>
          </w:tcPr>
          <w:p>
            <w:pPr/>
          </w:p>
        </w:tc>
        <w:tc>
          <w:tcPr>
            <w:tcW w:w="811" w:type="dxa"/>
            <w:tcBorders>
              <w:top w:val="nil" w:sz="6" w:space="0" w:color="auto"/>
              <w:left w:val="single" w:sz="6" w:space="0" w:color="000000"/>
              <w:bottom w:val="single" w:sz="6" w:space="0" w:color="000000"/>
              <w:right w:val="single" w:sz="6" w:space="0" w:color="000000"/>
            </w:tcBorders>
            <w:shd w:val="clear" w:color="auto" w:fill="D2D2D2"/>
          </w:tcPr>
          <w:p>
            <w:pPr/>
          </w:p>
        </w:tc>
        <w:tc>
          <w:tcPr>
            <w:tcW w:w="826"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158"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819" w:type="dxa"/>
            <w:vMerge w:val="restart"/>
            <w:tcBorders>
              <w:top w:val="single" w:sz="6" w:space="0" w:color="000000"/>
              <w:left w:val="single" w:sz="12" w:space="0" w:color="D2D2D2"/>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204,777,0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84</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48.98%</w:t>
            </w: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-5,982,93</w:t>
            </w:r>
            <w:r>
              <w:rPr>
                <w:rFonts w:ascii="Times New Roman"/>
                <w:sz w:val="18"/>
              </w:rPr>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4</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-5,982,93</w:t>
            </w:r>
            <w:r>
              <w:rPr>
                <w:rFonts w:ascii="Times New Roman"/>
                <w:sz w:val="18"/>
              </w:rPr>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4</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198,794,1</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50</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47.55%</w:t>
            </w:r>
          </w:p>
        </w:tc>
      </w:tr>
      <w:tr>
        <w:trPr>
          <w:trHeight w:val="391" w:hRule="exact"/>
        </w:trPr>
        <w:tc>
          <w:tcPr>
            <w:tcW w:w="22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19"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58" w:hRule="exact"/>
        </w:trPr>
        <w:tc>
          <w:tcPr>
            <w:tcW w:w="2222" w:type="dxa"/>
            <w:tcBorders>
              <w:top w:val="nil" w:sz="6" w:space="0" w:color="auto"/>
              <w:left w:val="single" w:sz="6" w:space="0" w:color="000000"/>
              <w:bottom w:val="single" w:sz="6" w:space="0" w:color="000000"/>
              <w:right w:val="single" w:sz="6" w:space="0" w:color="000000"/>
            </w:tcBorders>
            <w:shd w:val="clear" w:color="auto" w:fill="D2D2D2"/>
          </w:tcPr>
          <w:p>
            <w:pPr/>
          </w:p>
        </w:tc>
        <w:tc>
          <w:tcPr>
            <w:tcW w:w="819"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r>
        <w:trPr>
          <w:trHeight w:val="405" w:hRule="exact"/>
        </w:trPr>
        <w:tc>
          <w:tcPr>
            <w:tcW w:w="22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1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26"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5" w:hRule="exact"/>
        </w:trPr>
        <w:tc>
          <w:tcPr>
            <w:tcW w:w="22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1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26"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158"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819" w:type="dxa"/>
            <w:vMerge w:val="restart"/>
            <w:tcBorders>
              <w:top w:val="single" w:sz="6" w:space="0" w:color="000000"/>
              <w:left w:val="single" w:sz="12" w:space="0" w:color="D2D2D2"/>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204,777,0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84</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48.98%</w:t>
            </w: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-5,982,93</w:t>
            </w:r>
            <w:r>
              <w:rPr>
                <w:rFonts w:ascii="Times New Roman"/>
                <w:sz w:val="18"/>
              </w:rPr>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4</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-5,982,93</w:t>
            </w:r>
            <w:r>
              <w:rPr>
                <w:rFonts w:ascii="Times New Roman"/>
                <w:sz w:val="18"/>
              </w:rPr>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198,794,1</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50</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47.55%</w:t>
            </w:r>
          </w:p>
        </w:tc>
      </w:tr>
      <w:tr>
        <w:trPr>
          <w:trHeight w:val="390" w:hRule="exact"/>
        </w:trPr>
        <w:tc>
          <w:tcPr>
            <w:tcW w:w="22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19"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73" w:hRule="exact"/>
        </w:trPr>
        <w:tc>
          <w:tcPr>
            <w:tcW w:w="2222" w:type="dxa"/>
            <w:tcBorders>
              <w:top w:val="nil" w:sz="6" w:space="0" w:color="auto"/>
              <w:left w:val="single" w:sz="6" w:space="0" w:color="000000"/>
              <w:bottom w:val="single" w:sz="6" w:space="0" w:color="000000"/>
              <w:right w:val="single" w:sz="6" w:space="0" w:color="000000"/>
            </w:tcBorders>
            <w:shd w:val="clear" w:color="auto" w:fill="D2D2D2"/>
          </w:tcPr>
          <w:p>
            <w:pPr/>
          </w:p>
        </w:tc>
        <w:tc>
          <w:tcPr>
            <w:tcW w:w="819"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r>
        <w:trPr>
          <w:trHeight w:val="157"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819" w:type="dxa"/>
            <w:vMerge w:val="restart"/>
            <w:tcBorders>
              <w:top w:val="single" w:sz="6" w:space="0" w:color="000000"/>
              <w:left w:val="single" w:sz="12" w:space="0" w:color="D2D2D2"/>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204,777,0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84</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48.98%</w:t>
            </w: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-5,982,93</w:t>
            </w:r>
            <w:r>
              <w:rPr>
                <w:rFonts w:ascii="Times New Roman"/>
                <w:sz w:val="18"/>
              </w:rPr>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4</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-5,982,93</w:t>
            </w:r>
            <w:r>
              <w:rPr>
                <w:rFonts w:ascii="Times New Roman"/>
                <w:sz w:val="18"/>
              </w:rPr>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4</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198,794,1</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50</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47.55%</w:t>
            </w:r>
          </w:p>
        </w:tc>
      </w:tr>
      <w:tr>
        <w:trPr>
          <w:trHeight w:val="390" w:hRule="exact"/>
        </w:trPr>
        <w:tc>
          <w:tcPr>
            <w:tcW w:w="22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19"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58" w:hRule="exact"/>
        </w:trPr>
        <w:tc>
          <w:tcPr>
            <w:tcW w:w="2222" w:type="dxa"/>
            <w:tcBorders>
              <w:top w:val="nil" w:sz="6" w:space="0" w:color="auto"/>
              <w:left w:val="single" w:sz="6" w:space="0" w:color="000000"/>
              <w:bottom w:val="single" w:sz="6" w:space="0" w:color="000000"/>
              <w:right w:val="single" w:sz="6" w:space="0" w:color="000000"/>
            </w:tcBorders>
            <w:shd w:val="clear" w:color="auto" w:fill="D2D2D2"/>
          </w:tcPr>
          <w:p>
            <w:pPr/>
          </w:p>
        </w:tc>
        <w:tc>
          <w:tcPr>
            <w:tcW w:w="819"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r>
        <w:trPr>
          <w:trHeight w:val="406" w:hRule="exact"/>
        </w:trPr>
        <w:tc>
          <w:tcPr>
            <w:tcW w:w="22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1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26"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158"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819" w:type="dxa"/>
            <w:vMerge w:val="restart"/>
            <w:tcBorders>
              <w:top w:val="single" w:sz="6" w:space="0" w:color="000000"/>
              <w:left w:val="single" w:sz="12" w:space="0" w:color="D2D2D2"/>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213,266,9</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16</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51.02%</w:t>
            </w: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5,982,934</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5,982,934</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219,249,8</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50</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52.45%</w:t>
            </w:r>
          </w:p>
        </w:tc>
      </w:tr>
      <w:tr>
        <w:trPr>
          <w:trHeight w:val="391" w:hRule="exact"/>
        </w:trPr>
        <w:tc>
          <w:tcPr>
            <w:tcW w:w="22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19"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73" w:hRule="exact"/>
        </w:trPr>
        <w:tc>
          <w:tcPr>
            <w:tcW w:w="2222" w:type="dxa"/>
            <w:tcBorders>
              <w:top w:val="nil" w:sz="6" w:space="0" w:color="auto"/>
              <w:left w:val="single" w:sz="6" w:space="0" w:color="000000"/>
              <w:bottom w:val="single" w:sz="6" w:space="0" w:color="000000"/>
              <w:right w:val="single" w:sz="6" w:space="0" w:color="000000"/>
            </w:tcBorders>
            <w:shd w:val="clear" w:color="auto" w:fill="D2D2D2"/>
          </w:tcPr>
          <w:p>
            <w:pPr/>
          </w:p>
        </w:tc>
        <w:tc>
          <w:tcPr>
            <w:tcW w:w="819"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r>
        <w:trPr>
          <w:trHeight w:val="157"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819" w:type="dxa"/>
            <w:vMerge w:val="restart"/>
            <w:tcBorders>
              <w:top w:val="single" w:sz="6" w:space="0" w:color="000000"/>
              <w:left w:val="single" w:sz="12" w:space="0" w:color="D2D2D2"/>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sz w:val="18"/>
              </w:rPr>
              <w:t>213,266,9</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16</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51.02%</w:t>
            </w: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5,982,934</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5,982,934</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86"/>
              <w:ind w:right="15"/>
              <w:jc w:val="right"/>
              <w:rPr>
                <w:rFonts w:ascii="Times New Roman" w:hAnsi="Times New Roman" w:cs="Times New Roman" w:eastAsia="Times New Roman" w:hint="default"/>
                <w:sz w:val="18"/>
                <w:szCs w:val="18"/>
              </w:rPr>
            </w:pPr>
            <w:r>
              <w:rPr>
                <w:rFonts w:ascii="Times New Roman"/>
                <w:sz w:val="18"/>
              </w:rPr>
              <w:t>219,249,8</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50</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52.45%</w:t>
            </w:r>
          </w:p>
        </w:tc>
      </w:tr>
      <w:tr>
        <w:trPr>
          <w:trHeight w:val="390" w:hRule="exact"/>
        </w:trPr>
        <w:tc>
          <w:tcPr>
            <w:tcW w:w="22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19"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58" w:hRule="exact"/>
        </w:trPr>
        <w:tc>
          <w:tcPr>
            <w:tcW w:w="2222" w:type="dxa"/>
            <w:tcBorders>
              <w:top w:val="nil" w:sz="6" w:space="0" w:color="auto"/>
              <w:left w:val="single" w:sz="6" w:space="0" w:color="000000"/>
              <w:bottom w:val="single" w:sz="6" w:space="0" w:color="000000"/>
              <w:right w:val="single" w:sz="6" w:space="0" w:color="000000"/>
            </w:tcBorders>
            <w:shd w:val="clear" w:color="auto" w:fill="D2D2D2"/>
          </w:tcPr>
          <w:p>
            <w:pPr/>
          </w:p>
        </w:tc>
        <w:tc>
          <w:tcPr>
            <w:tcW w:w="819"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r>
        <w:trPr>
          <w:trHeight w:val="406" w:hRule="exact"/>
        </w:trPr>
        <w:tc>
          <w:tcPr>
            <w:tcW w:w="22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1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26"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5" w:hRule="exact"/>
        </w:trPr>
        <w:tc>
          <w:tcPr>
            <w:tcW w:w="22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1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26"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5" w:hRule="exact"/>
        </w:trPr>
        <w:tc>
          <w:tcPr>
            <w:tcW w:w="22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1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26"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158"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819" w:type="dxa"/>
            <w:vMerge w:val="restart"/>
            <w:tcBorders>
              <w:top w:val="single" w:sz="6" w:space="0" w:color="000000"/>
              <w:left w:val="single" w:sz="12" w:space="0" w:color="D2D2D2"/>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418,044,0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100.00%</w:t>
            </w: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418,044,0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00</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100.00%</w:t>
            </w:r>
          </w:p>
        </w:tc>
      </w:tr>
      <w:tr>
        <w:trPr>
          <w:trHeight w:val="390" w:hRule="exact"/>
        </w:trPr>
        <w:tc>
          <w:tcPr>
            <w:tcW w:w="22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19"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58" w:hRule="exact"/>
        </w:trPr>
        <w:tc>
          <w:tcPr>
            <w:tcW w:w="2222" w:type="dxa"/>
            <w:tcBorders>
              <w:top w:val="nil" w:sz="6" w:space="0" w:color="auto"/>
              <w:left w:val="single" w:sz="6" w:space="0" w:color="000000"/>
              <w:bottom w:val="single" w:sz="6" w:space="0" w:color="000000"/>
              <w:right w:val="single" w:sz="6" w:space="0" w:color="000000"/>
            </w:tcBorders>
            <w:shd w:val="clear" w:color="auto" w:fill="D2D2D2"/>
          </w:tcPr>
          <w:p>
            <w:pPr/>
          </w:p>
        </w:tc>
        <w:tc>
          <w:tcPr>
            <w:tcW w:w="819"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bl>
    <w:p>
      <w:pPr>
        <w:pStyle w:val="BodyText"/>
        <w:spacing w:line="240" w:lineRule="auto" w:before="44"/>
        <w:ind w:right="1100"/>
        <w:jc w:val="left"/>
      </w:pPr>
      <w:r>
        <w:rPr/>
        <w:t>股份变动的原因</w:t>
      </w:r>
    </w:p>
    <w:p>
      <w:pPr>
        <w:pStyle w:val="BodyText"/>
        <w:spacing w:line="319" w:lineRule="auto" w:before="125"/>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26</w:t>
      </w:r>
      <w:r>
        <w:rPr>
          <w:spacing w:val="-2"/>
        </w:rPr>
        <w:t>日，公司首次公开发行股票前持股的控制股东黄煜承诺到期，解除首发前限售股份</w:t>
      </w:r>
      <w:r>
        <w:rPr>
          <w:rFonts w:ascii="Times New Roman" w:hAnsi="Times New Roman" w:cs="Times New Roman" w:eastAsia="Times New Roman" w:hint="default"/>
          <w:spacing w:val="-2"/>
        </w:rPr>
        <w:t>84,071,268</w:t>
      </w:r>
      <w:r>
        <w:rPr>
          <w:spacing w:val="-2"/>
        </w:rPr>
        <w:t>股，加上部分高管</w:t>
      </w:r>
      <w:r>
        <w:rPr>
          <w:spacing w:val="-49"/>
        </w:rPr>
        <w:t> </w:t>
      </w:r>
      <w:r>
        <w:rPr>
          <w:spacing w:val="-49"/>
        </w:rPr>
      </w:r>
      <w:r>
        <w:rPr/>
        <w:t>解除限售，本期共解除限售股</w:t>
      </w:r>
      <w:r>
        <w:rPr>
          <w:rFonts w:ascii="Times New Roman" w:hAnsi="Times New Roman" w:cs="Times New Roman" w:eastAsia="Times New Roman" w:hint="default"/>
        </w:rPr>
        <w:t>89,244,952</w:t>
      </w:r>
      <w:r>
        <w:rPr/>
        <w:t>股；本期共增加高管锁定股</w:t>
      </w:r>
      <w:r>
        <w:rPr>
          <w:rFonts w:ascii="Times New Roman" w:hAnsi="Times New Roman" w:cs="Times New Roman" w:eastAsia="Times New Roman" w:hint="default"/>
        </w:rPr>
        <w:t>83,262,018</w:t>
      </w:r>
      <w:r>
        <w:rPr/>
        <w:t>股。</w:t>
      </w:r>
    </w:p>
    <w:p>
      <w:pPr>
        <w:pStyle w:val="BodyText"/>
        <w:spacing w:line="240" w:lineRule="auto" w:before="30"/>
        <w:ind w:right="1100"/>
        <w:jc w:val="left"/>
      </w:pPr>
      <w:r>
        <w:rPr/>
        <w:t>股份变动的批准情况</w:t>
      </w:r>
    </w:p>
    <w:p>
      <w:pPr>
        <w:pStyle w:val="BodyText"/>
        <w:spacing w:line="333" w:lineRule="auto" w:before="125"/>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股份变动的过户情况</w:t>
      </w:r>
    </w:p>
    <w:p>
      <w:pPr>
        <w:pStyle w:val="BodyText"/>
        <w:spacing w:line="333" w:lineRule="auto" w:before="54"/>
        <w:ind w:right="87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股份回购的实施进展情况</w:t>
      </w:r>
    </w:p>
    <w:p>
      <w:pPr>
        <w:spacing w:after="0" w:line="333"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319" w:lineRule="auto" w:before="44"/>
        <w:ind w:right="69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采用集中竞价方式减持回购股份的实施进展情况</w:t>
      </w:r>
    </w:p>
    <w:p>
      <w:pPr>
        <w:pStyle w:val="BodyText"/>
        <w:spacing w:line="319" w:lineRule="auto" w:before="80"/>
        <w:ind w:right="13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股份变动对最近一年和最近一期基本每股收益和稀释每股收益、归属于公司普通股股东的每股净资产等财务指标的影响</w:t>
      </w:r>
    </w:p>
    <w:p>
      <w:pPr>
        <w:pStyle w:val="BodyText"/>
        <w:spacing w:line="319" w:lineRule="auto" w:before="80"/>
        <w:ind w:right="67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公司认为必要或证券监管机构要求披露的其他内容</w:t>
      </w:r>
    </w:p>
    <w:p>
      <w:pPr>
        <w:pStyle w:val="BodyText"/>
        <w:spacing w:line="240" w:lineRule="auto" w:before="80"/>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4"/>
        <w:spacing w:line="240" w:lineRule="auto"/>
        <w:ind w:right="1100"/>
        <w:jc w:val="left"/>
        <w:rPr>
          <w:b w:val="0"/>
          <w:bCs w:val="0"/>
        </w:rPr>
      </w:pPr>
      <w:bookmarkStart w:name="2、限售股份变动情况" w:id="108"/>
      <w:bookmarkEnd w:id="108"/>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96"/>
        <w:ind w:left="0" w:right="1110"/>
        <w:jc w:val="right"/>
      </w:pPr>
      <w:r>
        <w:rPr/>
        <w:t>单位：股</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202"/>
        <w:gridCol w:w="1502"/>
        <w:gridCol w:w="1487"/>
        <w:gridCol w:w="1487"/>
        <w:gridCol w:w="1487"/>
        <w:gridCol w:w="1202"/>
        <w:gridCol w:w="1216"/>
      </w:tblGrid>
      <w:tr>
        <w:trPr>
          <w:trHeight w:val="721"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5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4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630" w:right="119" w:hanging="541"/>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4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631" w:right="119" w:hanging="541"/>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4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24"/>
              <w:jc w:val="right"/>
              <w:rPr>
                <w:rFonts w:ascii="宋体" w:hAnsi="宋体" w:cs="宋体" w:eastAsia="宋体" w:hint="default"/>
                <w:sz w:val="18"/>
                <w:szCs w:val="18"/>
              </w:rPr>
            </w:pPr>
            <w:r>
              <w:rPr>
                <w:rFonts w:ascii="宋体" w:hAnsi="宋体" w:cs="宋体" w:eastAsia="宋体" w:hint="default"/>
                <w:sz w:val="18"/>
                <w:szCs w:val="18"/>
              </w:rPr>
              <w:t>限售原因</w:t>
            </w:r>
          </w:p>
        </w:tc>
        <w:tc>
          <w:tcPr>
            <w:tcW w:w="12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510" w:right="59" w:hanging="451"/>
              <w:jc w:val="left"/>
              <w:rPr>
                <w:rFonts w:ascii="宋体" w:hAnsi="宋体" w:cs="宋体" w:eastAsia="宋体" w:hint="default"/>
                <w:sz w:val="18"/>
                <w:szCs w:val="18"/>
              </w:rPr>
            </w:pPr>
            <w:r>
              <w:rPr>
                <w:rFonts w:ascii="宋体" w:hAnsi="宋体" w:cs="宋体" w:eastAsia="宋体" w:hint="default"/>
                <w:sz w:val="18"/>
                <w:szCs w:val="18"/>
              </w:rPr>
              <w:t>拟解除限售日 期</w:t>
            </w:r>
          </w:p>
        </w:tc>
      </w:tr>
      <w:tr>
        <w:trPr>
          <w:trHeight w:val="1336"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黄煜</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100,829,584</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83,261,268</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84,071,268</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100,019,584</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30" w:right="73"/>
              <w:jc w:val="both"/>
              <w:rPr>
                <w:rFonts w:ascii="宋体" w:hAnsi="宋体" w:cs="宋体" w:eastAsia="宋体" w:hint="default"/>
                <w:sz w:val="18"/>
                <w:szCs w:val="18"/>
              </w:rPr>
            </w:pPr>
            <w:r>
              <w:rPr>
                <w:rFonts w:ascii="宋体" w:hAnsi="宋体" w:cs="宋体" w:eastAsia="宋体" w:hint="default"/>
                <w:sz w:val="18"/>
                <w:szCs w:val="18"/>
              </w:rPr>
              <w:t>高管锁定股每 年按上年末持 股数的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w:t>
            </w:r>
          </w:p>
          <w:p>
            <w:pPr>
              <w:pStyle w:val="TableParagraph"/>
              <w:spacing w:line="219" w:lineRule="exact"/>
              <w:ind w:left="30" w:right="0"/>
              <w:jc w:val="both"/>
              <w:rPr>
                <w:rFonts w:ascii="宋体" w:hAnsi="宋体" w:cs="宋体" w:eastAsia="宋体" w:hint="default"/>
                <w:sz w:val="18"/>
                <w:szCs w:val="18"/>
              </w:rPr>
            </w:pPr>
            <w:r>
              <w:rPr>
                <w:rFonts w:ascii="宋体" w:hAnsi="宋体" w:cs="宋体" w:eastAsia="宋体" w:hint="default"/>
                <w:sz w:val="18"/>
                <w:szCs w:val="18"/>
              </w:rPr>
              <w:t>除限售。</w:t>
            </w:r>
          </w:p>
        </w:tc>
      </w:tr>
      <w:tr>
        <w:trPr>
          <w:trHeight w:val="1336"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李伟</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41,938,221</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41,938,221</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30" w:right="73"/>
              <w:jc w:val="both"/>
              <w:rPr>
                <w:rFonts w:ascii="宋体" w:hAnsi="宋体" w:cs="宋体" w:eastAsia="宋体" w:hint="default"/>
                <w:sz w:val="18"/>
                <w:szCs w:val="18"/>
              </w:rPr>
            </w:pPr>
            <w:r>
              <w:rPr>
                <w:rFonts w:ascii="宋体" w:hAnsi="宋体" w:cs="宋体" w:eastAsia="宋体" w:hint="default"/>
                <w:sz w:val="18"/>
                <w:szCs w:val="18"/>
              </w:rPr>
              <w:t>高管锁定股每 年按上年末持 股数的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w:t>
            </w:r>
          </w:p>
          <w:p>
            <w:pPr>
              <w:pStyle w:val="TableParagraph"/>
              <w:spacing w:line="219" w:lineRule="exact"/>
              <w:ind w:left="30" w:right="0"/>
              <w:jc w:val="both"/>
              <w:rPr>
                <w:rFonts w:ascii="宋体" w:hAnsi="宋体" w:cs="宋体" w:eastAsia="宋体" w:hint="default"/>
                <w:sz w:val="18"/>
                <w:szCs w:val="18"/>
              </w:rPr>
            </w:pPr>
            <w:r>
              <w:rPr>
                <w:rFonts w:ascii="宋体" w:hAnsi="宋体" w:cs="宋体" w:eastAsia="宋体" w:hint="default"/>
                <w:sz w:val="18"/>
                <w:szCs w:val="18"/>
              </w:rPr>
              <w:t>除限售。</w:t>
            </w:r>
          </w:p>
        </w:tc>
      </w:tr>
      <w:tr>
        <w:trPr>
          <w:trHeight w:val="1351"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陆舟</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39,476,067</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39,476,067</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44"/>
              <w:ind w:left="30" w:right="73"/>
              <w:jc w:val="both"/>
              <w:rPr>
                <w:rFonts w:ascii="宋体" w:hAnsi="宋体" w:cs="宋体" w:eastAsia="宋体" w:hint="default"/>
                <w:sz w:val="18"/>
                <w:szCs w:val="18"/>
              </w:rPr>
            </w:pPr>
            <w:r>
              <w:rPr>
                <w:rFonts w:ascii="宋体" w:hAnsi="宋体" w:cs="宋体" w:eastAsia="宋体" w:hint="default"/>
                <w:sz w:val="18"/>
                <w:szCs w:val="18"/>
              </w:rPr>
              <w:t>高管锁定股每 年按上年末持 股数的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 除限售。</w:t>
            </w:r>
          </w:p>
        </w:tc>
      </w:tr>
      <w:tr>
        <w:trPr>
          <w:trHeight w:val="1336"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韩雪峰</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20,694,734</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5,173,684</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15,521,050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73"/>
              <w:jc w:val="left"/>
              <w:rPr>
                <w:rFonts w:ascii="宋体" w:hAnsi="宋体" w:cs="宋体" w:eastAsia="宋体" w:hint="default"/>
                <w:sz w:val="18"/>
                <w:szCs w:val="18"/>
              </w:rPr>
            </w:pPr>
            <w:r>
              <w:rPr>
                <w:rFonts w:ascii="宋体" w:hAnsi="宋体" w:cs="宋体" w:eastAsia="宋体" w:hint="default"/>
                <w:sz w:val="18"/>
                <w:szCs w:val="18"/>
              </w:rPr>
              <w:t>高管锁定股每 年按上年末持</w:t>
            </w:r>
          </w:p>
          <w:p>
            <w:pPr>
              <w:pStyle w:val="TableParagraph"/>
              <w:spacing w:line="273" w:lineRule="auto" w:before="34"/>
              <w:ind w:left="30" w:right="73"/>
              <w:jc w:val="left"/>
              <w:rPr>
                <w:rFonts w:ascii="宋体" w:hAnsi="宋体" w:cs="宋体" w:eastAsia="宋体" w:hint="default"/>
                <w:sz w:val="18"/>
                <w:szCs w:val="18"/>
              </w:rPr>
            </w:pPr>
            <w:r>
              <w:rPr>
                <w:rFonts w:ascii="宋体" w:hAnsi="宋体" w:cs="宋体" w:eastAsia="宋体" w:hint="default"/>
                <w:sz w:val="18"/>
                <w:szCs w:val="18"/>
              </w:rPr>
              <w:t>股数的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 除限售。</w:t>
            </w:r>
          </w:p>
        </w:tc>
      </w:tr>
      <w:tr>
        <w:trPr>
          <w:trHeight w:val="1337"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于华章</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1,825,278</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1,825,278</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73"/>
              <w:jc w:val="left"/>
              <w:rPr>
                <w:rFonts w:ascii="宋体" w:hAnsi="宋体" w:cs="宋体" w:eastAsia="宋体" w:hint="default"/>
                <w:sz w:val="18"/>
                <w:szCs w:val="18"/>
              </w:rPr>
            </w:pPr>
            <w:r>
              <w:rPr>
                <w:rFonts w:ascii="宋体" w:hAnsi="宋体" w:cs="宋体" w:eastAsia="宋体" w:hint="default"/>
                <w:sz w:val="18"/>
                <w:szCs w:val="18"/>
              </w:rPr>
              <w:t>高管锁定股每 年按上年末持</w:t>
            </w:r>
          </w:p>
          <w:p>
            <w:pPr>
              <w:pStyle w:val="TableParagraph"/>
              <w:spacing w:line="288" w:lineRule="auto" w:before="33"/>
              <w:ind w:left="30" w:right="73"/>
              <w:jc w:val="left"/>
              <w:rPr>
                <w:rFonts w:ascii="宋体" w:hAnsi="宋体" w:cs="宋体" w:eastAsia="宋体" w:hint="default"/>
                <w:sz w:val="18"/>
                <w:szCs w:val="18"/>
              </w:rPr>
            </w:pPr>
            <w:r>
              <w:rPr>
                <w:rFonts w:ascii="宋体" w:hAnsi="宋体" w:cs="宋体" w:eastAsia="宋体" w:hint="default"/>
                <w:sz w:val="18"/>
                <w:szCs w:val="18"/>
              </w:rPr>
              <w:t>股数的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 除限售。</w:t>
            </w:r>
          </w:p>
        </w:tc>
      </w:tr>
      <w:tr>
        <w:trPr>
          <w:trHeight w:val="1336"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闫岩</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13,200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13,200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73"/>
              <w:jc w:val="left"/>
              <w:rPr>
                <w:rFonts w:ascii="宋体" w:hAnsi="宋体" w:cs="宋体" w:eastAsia="宋体" w:hint="default"/>
                <w:sz w:val="18"/>
                <w:szCs w:val="18"/>
              </w:rPr>
            </w:pPr>
            <w:r>
              <w:rPr>
                <w:rFonts w:ascii="宋体" w:hAnsi="宋体" w:cs="宋体" w:eastAsia="宋体" w:hint="default"/>
                <w:sz w:val="18"/>
                <w:szCs w:val="18"/>
              </w:rPr>
              <w:t>高管锁定股每 年按上年末持</w:t>
            </w:r>
          </w:p>
          <w:p>
            <w:pPr>
              <w:pStyle w:val="TableParagraph"/>
              <w:spacing w:line="290" w:lineRule="auto" w:before="44"/>
              <w:ind w:left="30" w:right="73"/>
              <w:jc w:val="left"/>
              <w:rPr>
                <w:rFonts w:ascii="宋体" w:hAnsi="宋体" w:cs="宋体" w:eastAsia="宋体" w:hint="default"/>
                <w:sz w:val="18"/>
                <w:szCs w:val="18"/>
              </w:rPr>
            </w:pPr>
            <w:r>
              <w:rPr>
                <w:rFonts w:ascii="宋体" w:hAnsi="宋体" w:cs="宋体" w:eastAsia="宋体" w:hint="default"/>
                <w:sz w:val="18"/>
                <w:szCs w:val="18"/>
              </w:rPr>
              <w:t>股数的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 除限售。</w:t>
            </w:r>
          </w:p>
        </w:tc>
      </w:tr>
    </w:tbl>
    <w:p>
      <w:pPr>
        <w:spacing w:after="0" w:line="29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202"/>
        <w:gridCol w:w="1502"/>
        <w:gridCol w:w="1487"/>
        <w:gridCol w:w="1487"/>
        <w:gridCol w:w="1487"/>
        <w:gridCol w:w="1202"/>
        <w:gridCol w:w="1216"/>
      </w:tblGrid>
      <w:tr>
        <w:trPr>
          <w:trHeight w:val="1336"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柴春峰</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750</w:t>
            </w:r>
          </w:p>
        </w:tc>
        <w:tc>
          <w:tcPr>
            <w:tcW w:w="1487"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750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30" w:right="73"/>
              <w:jc w:val="both"/>
              <w:rPr>
                <w:rFonts w:ascii="宋体" w:hAnsi="宋体" w:cs="宋体" w:eastAsia="宋体" w:hint="default"/>
                <w:sz w:val="18"/>
                <w:szCs w:val="18"/>
              </w:rPr>
            </w:pPr>
            <w:r>
              <w:rPr>
                <w:rFonts w:ascii="宋体" w:hAnsi="宋体" w:cs="宋体" w:eastAsia="宋体" w:hint="default"/>
                <w:sz w:val="18"/>
                <w:szCs w:val="18"/>
              </w:rPr>
              <w:t>高管锁定股每 年按上年末持 股数的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w:t>
            </w:r>
          </w:p>
          <w:p>
            <w:pPr>
              <w:pStyle w:val="TableParagraph"/>
              <w:spacing w:line="219" w:lineRule="exact"/>
              <w:ind w:left="30" w:right="0"/>
              <w:jc w:val="both"/>
              <w:rPr>
                <w:rFonts w:ascii="宋体" w:hAnsi="宋体" w:cs="宋体" w:eastAsia="宋体" w:hint="default"/>
                <w:sz w:val="18"/>
                <w:szCs w:val="18"/>
              </w:rPr>
            </w:pPr>
            <w:r>
              <w:rPr>
                <w:rFonts w:ascii="宋体" w:hAnsi="宋体" w:cs="宋体" w:eastAsia="宋体" w:hint="default"/>
                <w:sz w:val="18"/>
                <w:szCs w:val="18"/>
              </w:rPr>
              <w:t>除限售。</w:t>
            </w:r>
          </w:p>
        </w:tc>
      </w:tr>
      <w:tr>
        <w:trPr>
          <w:trHeight w:val="406"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204,777,084</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83,262,018</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31" w:right="0"/>
              <w:jc w:val="left"/>
              <w:rPr>
                <w:rFonts w:ascii="Times New Roman" w:hAnsi="Times New Roman" w:cs="Times New Roman" w:eastAsia="Times New Roman" w:hint="default"/>
                <w:sz w:val="18"/>
                <w:szCs w:val="18"/>
              </w:rPr>
            </w:pPr>
            <w:r>
              <w:rPr>
                <w:rFonts w:ascii="Times New Roman"/>
                <w:sz w:val="18"/>
              </w:rPr>
              <w:t>89,244,952</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198,794,150</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12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2"/>
        <w:rPr>
          <w:rFonts w:ascii="宋体" w:hAnsi="宋体" w:cs="宋体" w:eastAsia="宋体" w:hint="default"/>
          <w:sz w:val="17"/>
          <w:szCs w:val="17"/>
        </w:rPr>
      </w:pPr>
    </w:p>
    <w:p>
      <w:pPr>
        <w:pStyle w:val="Heading2"/>
        <w:spacing w:line="240" w:lineRule="auto" w:before="26"/>
        <w:ind w:right="1100"/>
        <w:jc w:val="left"/>
        <w:rPr>
          <w:b w:val="0"/>
          <w:bCs w:val="0"/>
        </w:rPr>
      </w:pPr>
      <w:bookmarkStart w:name="二、证券发行与上市情况" w:id="109"/>
      <w:bookmarkEnd w:id="109"/>
      <w:r>
        <w:rPr>
          <w:b w:val="0"/>
          <w:bCs w:val="0"/>
        </w:rPr>
      </w:r>
      <w:r>
        <w:rPr/>
        <w:t>二、证券发行与上市情况</w:t>
      </w:r>
      <w:r>
        <w:rPr>
          <w:b w:val="0"/>
          <w:bCs w:val="0"/>
        </w:rPr>
      </w:r>
    </w:p>
    <w:p>
      <w:pPr>
        <w:spacing w:line="240" w:lineRule="auto" w:before="9"/>
        <w:rPr>
          <w:rFonts w:ascii="宋体" w:hAnsi="宋体" w:cs="宋体" w:eastAsia="宋体" w:hint="default"/>
          <w:b/>
          <w:bCs/>
          <w:sz w:val="25"/>
          <w:szCs w:val="25"/>
        </w:rPr>
      </w:pPr>
    </w:p>
    <w:p>
      <w:pPr>
        <w:pStyle w:val="Heading4"/>
        <w:spacing w:line="240" w:lineRule="auto"/>
        <w:ind w:right="1100"/>
        <w:jc w:val="left"/>
        <w:rPr>
          <w:b w:val="0"/>
          <w:bCs w:val="0"/>
        </w:rPr>
      </w:pPr>
      <w:bookmarkStart w:name="1、报告期内证券发行（不含优先股）情况" w:id="110"/>
      <w:bookmarkEnd w:id="110"/>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4"/>
        <w:spacing w:line="240" w:lineRule="auto" w:before="126"/>
        <w:ind w:right="1100"/>
        <w:jc w:val="left"/>
        <w:rPr>
          <w:b w:val="0"/>
          <w:bCs w:val="0"/>
        </w:rPr>
      </w:pPr>
      <w:bookmarkStart w:name="2、公司股份总数及股东结构的变动、公司资产和负债结构的变动情况说明" w:id="111"/>
      <w:bookmarkEnd w:id="111"/>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4"/>
        <w:spacing w:line="240" w:lineRule="auto" w:before="125"/>
        <w:ind w:right="1100"/>
        <w:jc w:val="left"/>
        <w:rPr>
          <w:b w:val="0"/>
          <w:bCs w:val="0"/>
        </w:rPr>
      </w:pPr>
      <w:bookmarkStart w:name="3、现存的内部职工股情况" w:id="112"/>
      <w:bookmarkEnd w:id="112"/>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1100"/>
        <w:jc w:val="left"/>
        <w:rPr>
          <w:b w:val="0"/>
          <w:bCs w:val="0"/>
        </w:rPr>
      </w:pPr>
      <w:bookmarkStart w:name="三、股东和实际控制人情况" w:id="113"/>
      <w:bookmarkEnd w:id="113"/>
      <w:r>
        <w:rPr>
          <w:b w:val="0"/>
          <w:bCs w:val="0"/>
        </w:rPr>
      </w:r>
      <w:r>
        <w:rPr/>
        <w:t>三、股东和实际控制人情况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00"/>
        <w:jc w:val="left"/>
        <w:rPr>
          <w:b w:val="0"/>
          <w:bCs w:val="0"/>
        </w:rPr>
      </w:pPr>
      <w:bookmarkStart w:name="1、公司股东数量及持股情况" w:id="114"/>
      <w:bookmarkEnd w:id="114"/>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10"/>
        <w:jc w:val="right"/>
      </w:pPr>
      <w:r>
        <w:rPr/>
        <w:pict>
          <v:group style="position:absolute;margin-left:56.325001pt;margin-top:19.841705pt;width:479.85pt;height:286.8pt;mso-position-horizontal-relative:page;mso-position-vertical-relative:paragraph;z-index:-1120456" coordorigin="1127,397" coordsize="9597,5736">
            <v:group style="position:absolute;left:1142;top:420;width:1187;height:465" coordorigin="1142,420" coordsize="1187,465">
              <v:shape style="position:absolute;left:1142;top:420;width:1187;height:465" coordorigin="1142,420" coordsize="1187,465" path="m1142,885l2328,885,2328,420,1142,420,1142,885xe" filled="true" fillcolor="#d2d2d2" stroked="false">
                <v:path arrowok="t"/>
                <v:fill type="solid"/>
              </v:shape>
            </v:group>
            <v:group style="position:absolute;left:1149;top:885;width:2;height:706" coordorigin="1149,885" coordsize="2,706">
              <v:shape style="position:absolute;left:1149;top:885;width:2;height:706" coordorigin="1149,885" coordsize="0,706" path="m1149,885l1149,1591e" filled="false" stroked="true" strokeweight=".75pt" strokecolor="#d2d2d2">
                <v:path arrowok="t"/>
              </v:shape>
            </v:group>
            <v:group style="position:absolute;left:2321;top:885;width:2;height:706" coordorigin="2321,885" coordsize="2,706">
              <v:shape style="position:absolute;left:2321;top:885;width:2;height:706" coordorigin="2321,885" coordsize="0,706" path="m2321,885l2321,1591e" filled="false" stroked="true" strokeweight=".75pt" strokecolor="#d2d2d2">
                <v:path arrowok="t"/>
              </v:shape>
            </v:group>
            <v:group style="position:absolute;left:1142;top:1591;width:1187;height:465" coordorigin="1142,1591" coordsize="1187,465">
              <v:shape style="position:absolute;left:1142;top:1591;width:1187;height:465" coordorigin="1142,1591" coordsize="1187,465" path="m1142,2056l2328,2056,2328,1591,1142,1591,1142,2056xe" filled="true" fillcolor="#d2d2d2" stroked="false">
                <v:path arrowok="t"/>
                <v:fill type="solid"/>
              </v:shape>
            </v:group>
            <v:group style="position:absolute;left:1157;top:885;width:1157;height:346" coordorigin="1157,885" coordsize="1157,346">
              <v:shape style="position:absolute;left:1157;top:885;width:1157;height:346" coordorigin="1157,885" coordsize="1157,346" path="m1157,1230l2313,1230,2313,885,1157,885,1157,1230xe" filled="true" fillcolor="#d2d2d2" stroked="false">
                <v:path arrowok="t"/>
                <v:fill type="solid"/>
              </v:shape>
            </v:group>
            <v:group style="position:absolute;left:1157;top:1230;width:1157;height:361" coordorigin="1157,1230" coordsize="1157,361">
              <v:shape style="position:absolute;left:1157;top:1230;width:1157;height:361" coordorigin="1157,1230" coordsize="1157,361" path="m1157,1591l2313,1591,2313,1230,1157,1230,1157,1591xe" filled="true" fillcolor="#d2d2d2" stroked="false">
                <v:path arrowok="t"/>
                <v:fill type="solid"/>
              </v:shape>
            </v:group>
            <v:group style="position:absolute;left:1142;top:412;width:1187;height:2" coordorigin="1142,412" coordsize="1187,2">
              <v:shape style="position:absolute;left:1142;top:412;width:1187;height:2" coordorigin="1142,412" coordsize="1187,0" path="m1142,412l2328,412e" filled="false" stroked="true" strokeweight=".77502pt" strokecolor="#000000">
                <v:path arrowok="t"/>
              </v:shape>
            </v:group>
            <v:group style="position:absolute;left:2343;top:412;width:1187;height:2" coordorigin="2343,412" coordsize="1187,2">
              <v:shape style="position:absolute;left:2343;top:412;width:1187;height:2" coordorigin="2343,412" coordsize="1187,0" path="m2343,412l3530,412e" filled="false" stroked="true" strokeweight=".77502pt" strokecolor="#000000">
                <v:path arrowok="t"/>
              </v:shape>
            </v:group>
            <v:group style="position:absolute;left:3545;top:412;width:916;height:2" coordorigin="3545,412" coordsize="916,2">
              <v:shape style="position:absolute;left:3545;top:412;width:916;height:2" coordorigin="3545,412" coordsize="916,0" path="m3545,412l4461,412e" filled="false" stroked="true" strokeweight=".77502pt" strokecolor="#000000">
                <v:path arrowok="t"/>
              </v:shape>
            </v:group>
            <v:group style="position:absolute;left:4476;top:412;width:1052;height:2" coordorigin="4476,412" coordsize="1052,2">
              <v:shape style="position:absolute;left:4476;top:412;width:1052;height:2" coordorigin="4476,412" coordsize="1052,0" path="m4476,412l5527,412e" filled="false" stroked="true" strokeweight=".77502pt" strokecolor="#000000">
                <v:path arrowok="t"/>
              </v:shape>
            </v:group>
            <v:group style="position:absolute;left:6593;top:1425;width:1067;height:631" coordorigin="6593,1425" coordsize="1067,631">
              <v:shape style="position:absolute;left:6593;top:1425;width:1067;height:631" coordorigin="6593,1425" coordsize="1067,631" path="m6593,2056l7660,2056,7660,1425,6593,1425,6593,2056xe" filled="true" fillcolor="#ffffff" stroked="false">
                <v:path arrowok="t"/>
                <v:fill type="solid"/>
              </v:shape>
            </v:group>
            <v:group style="position:absolute;left:7660;top:420;width:1998;height:150" coordorigin="7660,420" coordsize="1998,150">
              <v:shape style="position:absolute;left:7660;top:420;width:1998;height:150" coordorigin="7660,420" coordsize="1998,150" path="m7660,570l9657,570,9657,420,7660,420,7660,570xe" filled="true" fillcolor="#d2d2d2" stroked="false">
                <v:path arrowok="t"/>
                <v:fill type="solid"/>
              </v:shape>
            </v:group>
            <v:group style="position:absolute;left:7675;top:570;width:2;height:1321" coordorigin="7675,570" coordsize="2,1321">
              <v:shape style="position:absolute;left:7675;top:570;width:2;height:1321" coordorigin="7675,570" coordsize="0,1321" path="m7675,570l7675,1891e" filled="false" stroked="true" strokeweight="1.5pt" strokecolor="#d2d2d2">
                <v:path arrowok="t"/>
              </v:shape>
            </v:group>
            <v:group style="position:absolute;left:9642;top:570;width:2;height:1321" coordorigin="9642,570" coordsize="2,1321">
              <v:shape style="position:absolute;left:9642;top:570;width:2;height:1321" coordorigin="9642,570" coordsize="0,1321" path="m9642,570l9642,1891e" filled="false" stroked="true" strokeweight="1.5pt" strokecolor="#d2d2d2">
                <v:path arrowok="t"/>
              </v:shape>
            </v:group>
            <v:group style="position:absolute;left:7660;top:1891;width:1998;height:165" coordorigin="7660,1891" coordsize="1998,165">
              <v:shape style="position:absolute;left:7660;top:1891;width:1998;height:165" coordorigin="7660,1891" coordsize="1998,165" path="m7660,2056l9657,2056,9657,1891,7660,1891,7660,2056xe" filled="true" fillcolor="#d2d2d2" stroked="false">
                <v:path arrowok="t"/>
                <v:fill type="solid"/>
              </v:shape>
            </v:group>
            <v:group style="position:absolute;left:7690;top:570;width:1938;height:345" coordorigin="7690,570" coordsize="1938,345">
              <v:shape style="position:absolute;left:7690;top:570;width:1938;height:345" coordorigin="7690,570" coordsize="1938,345" path="m7690,915l9627,915,9627,570,7690,570,7690,915xe" filled="true" fillcolor="#d2d2d2" stroked="false">
                <v:path arrowok="t"/>
                <v:fill type="solid"/>
              </v:shape>
            </v:group>
            <v:group style="position:absolute;left:7690;top:915;width:1938;height:316" coordorigin="7690,915" coordsize="1938,316">
              <v:shape style="position:absolute;left:7690;top:915;width:1938;height:316" coordorigin="7690,915" coordsize="1938,316" path="m7690,1230l9627,1230,9627,915,7690,915,7690,1230xe" filled="true" fillcolor="#d2d2d2" stroked="false">
                <v:path arrowok="t"/>
                <v:fill type="solid"/>
              </v:shape>
            </v:group>
            <v:group style="position:absolute;left:7690;top:1230;width:1938;height:315" coordorigin="7690,1230" coordsize="1938,315">
              <v:shape style="position:absolute;left:7690;top:1230;width:1938;height:315" coordorigin="7690,1230" coordsize="1938,315" path="m7690,1545l9627,1545,9627,1230,7690,1230,7690,1545xe" filled="true" fillcolor="#d2d2d2" stroked="false">
                <v:path arrowok="t"/>
                <v:fill type="solid"/>
              </v:shape>
            </v:group>
            <v:group style="position:absolute;left:7690;top:1545;width:1938;height:346" coordorigin="7690,1545" coordsize="1938,346">
              <v:shape style="position:absolute;left:7690;top:1545;width:1938;height:346" coordorigin="7690,1545" coordsize="1938,346" path="m7690,1891l9627,1891,9627,1545,7690,1545,7690,1891xe" filled="true" fillcolor="#d2d2d2" stroked="false">
                <v:path arrowok="t"/>
                <v:fill type="solid"/>
              </v:shape>
            </v:group>
            <v:group style="position:absolute;left:5542;top:412;width:1051;height:2" coordorigin="5542,412" coordsize="1051,2">
              <v:shape style="position:absolute;left:5542;top:412;width:1051;height:2" coordorigin="5542,412" coordsize="1051,0" path="m5542,412l6593,412e" filled="false" stroked="true" strokeweight=".77502pt" strokecolor="#000000">
                <v:path arrowok="t"/>
              </v:shape>
            </v:group>
            <v:group style="position:absolute;left:6609;top:412;width:1036;height:2" coordorigin="6609,412" coordsize="1036,2">
              <v:shape style="position:absolute;left:6609;top:412;width:1036;height:2" coordorigin="6609,412" coordsize="1036,0" path="m6609,412l7645,412e" filled="false" stroked="true" strokeweight=".77502pt" strokecolor="#000000">
                <v:path arrowok="t"/>
              </v:shape>
            </v:group>
            <v:group style="position:absolute;left:7660;top:412;width:1983;height:2" coordorigin="7660,412" coordsize="1983,2">
              <v:shape style="position:absolute;left:7660;top:412;width:1983;height:2" coordorigin="7660,412" coordsize="1983,0" path="m7660,412l9642,412e" filled="false" stroked="true" strokeweight=".77502pt" strokecolor="#000000">
                <v:path arrowok="t"/>
              </v:shape>
            </v:group>
            <v:group style="position:absolute;left:9657;top:412;width:1052;height:2" coordorigin="9657,412" coordsize="1052,2">
              <v:shape style="position:absolute;left:9657;top:412;width:1052;height:2" coordorigin="9657,412" coordsize="1052,0" path="m9657,412l10708,412e" filled="false" stroked="true" strokeweight=".77502pt" strokecolor="#000000">
                <v:path arrowok="t"/>
              </v:shape>
            </v:group>
            <v:group style="position:absolute;left:2336;top:404;width:2;height:1667" coordorigin="2336,404" coordsize="2,1667">
              <v:shape style="position:absolute;left:2336;top:404;width:2;height:1667" coordorigin="2336,404" coordsize="0,1667" path="m2336,404l2336,2071e" filled="false" stroked="true" strokeweight=".75pt" strokecolor="#000000">
                <v:path arrowok="t"/>
              </v:shape>
            </v:group>
            <v:group style="position:absolute;left:7652;top:404;width:2;height:1667" coordorigin="7652,404" coordsize="2,1667">
              <v:shape style="position:absolute;left:7652;top:404;width:2;height:1667" coordorigin="7652,404" coordsize="0,1667" path="m7652,404l7652,2071e" filled="false" stroked="true" strokeweight=".75pt" strokecolor="#000000">
                <v:path arrowok="t"/>
              </v:shape>
            </v:group>
            <v:group style="position:absolute;left:9649;top:404;width:2;height:1667" coordorigin="9649,404" coordsize="2,1667">
              <v:shape style="position:absolute;left:9649;top:404;width:2;height:1667" coordorigin="9649,404" coordsize="0,1667" path="m9649,404l9649,2071e" filled="false" stroked="true" strokeweight=".75pt" strokecolor="#000000">
                <v:path arrowok="t"/>
              </v:shape>
            </v:group>
            <v:group style="position:absolute;left:1149;top:2071;width:2;height:391" coordorigin="1149,2071" coordsize="2,391">
              <v:shape style="position:absolute;left:1149;top:2071;width:2;height:391" coordorigin="1149,2071" coordsize="0,391" path="m1149,2071l1149,2461e" filled="false" stroked="true" strokeweight=".75pt" strokecolor="#d2d2d2">
                <v:path arrowok="t"/>
              </v:shape>
            </v:group>
            <v:group style="position:absolute;left:10701;top:2071;width:2;height:391" coordorigin="10701,2071" coordsize="2,391">
              <v:shape style="position:absolute;left:10701;top:2071;width:2;height:391" coordorigin="10701,2071" coordsize="0,391" path="m10701,2071l10701,2461e" filled="false" stroked="true" strokeweight=".75pt" strokecolor="#d2d2d2">
                <v:path arrowok="t"/>
              </v:shape>
            </v:group>
            <v:group style="position:absolute;left:1157;top:2071;width:9537;height:391" coordorigin="1157,2071" coordsize="9537,391">
              <v:shape style="position:absolute;left:1157;top:2071;width:9537;height:391" coordorigin="1157,2071" coordsize="9537,391" path="m1157,2461l10694,2461,10694,2071,1157,2071,1157,2461xe" filled="true" fillcolor="#d2d2d2" stroked="false">
                <v:path arrowok="t"/>
                <v:fill type="solid"/>
              </v:shape>
            </v:group>
            <v:group style="position:absolute;left:1142;top:2063;width:1187;height:2" coordorigin="1142,2063" coordsize="1187,2">
              <v:shape style="position:absolute;left:1142;top:2063;width:1187;height:2" coordorigin="1142,2063" coordsize="1187,0" path="m1142,2063l2328,2063e" filled="false" stroked="true" strokeweight=".75pt" strokecolor="#000000">
                <v:path arrowok="t"/>
              </v:shape>
            </v:group>
            <v:group style="position:absolute;left:2343;top:2063;width:1187;height:2" coordorigin="2343,2063" coordsize="1187,2">
              <v:shape style="position:absolute;left:2343;top:2063;width:1187;height:2" coordorigin="2343,2063" coordsize="1187,0" path="m2343,2063l3530,2063e" filled="false" stroked="true" strokeweight=".75pt" strokecolor="#000000">
                <v:path arrowok="t"/>
              </v:shape>
            </v:group>
            <v:group style="position:absolute;left:3545;top:2063;width:916;height:2" coordorigin="3545,2063" coordsize="916,2">
              <v:shape style="position:absolute;left:3545;top:2063;width:916;height:2" coordorigin="3545,2063" coordsize="916,0" path="m3545,2063l4461,2063e" filled="false" stroked="true" strokeweight=".75pt" strokecolor="#000000">
                <v:path arrowok="t"/>
              </v:shape>
            </v:group>
            <v:group style="position:absolute;left:4476;top:2063;width:1052;height:2" coordorigin="4476,2063" coordsize="1052,2">
              <v:shape style="position:absolute;left:4476;top:2063;width:1052;height:2" coordorigin="4476,2063" coordsize="1052,0" path="m4476,2063l5527,2063e" filled="false" stroked="true" strokeweight=".75pt" strokecolor="#000000">
                <v:path arrowok="t"/>
              </v:shape>
            </v:group>
            <v:group style="position:absolute;left:5542;top:2063;width:1051;height:2" coordorigin="5542,2063" coordsize="1051,2">
              <v:shape style="position:absolute;left:5542;top:2063;width:1051;height:2" coordorigin="5542,2063" coordsize="1051,0" path="m5542,2063l6593,2063e" filled="false" stroked="true" strokeweight=".75pt" strokecolor="#000000">
                <v:path arrowok="t"/>
              </v:shape>
            </v:group>
            <v:group style="position:absolute;left:6609;top:2063;width:1036;height:2" coordorigin="6609,2063" coordsize="1036,2">
              <v:shape style="position:absolute;left:6609;top:2063;width:1036;height:2" coordorigin="6609,2063" coordsize="1036,0" path="m6609,2063l7645,2063e" filled="false" stroked="true" strokeweight=".75pt" strokecolor="#000000">
                <v:path arrowok="t"/>
              </v:shape>
            </v:group>
            <v:group style="position:absolute;left:7660;top:2063;width:1983;height:2" coordorigin="7660,2063" coordsize="1983,2">
              <v:shape style="position:absolute;left:7660;top:2063;width:1983;height:2" coordorigin="7660,2063" coordsize="1983,0" path="m7660,2063l9642,2063e" filled="false" stroked="true" strokeweight=".75pt" strokecolor="#000000">
                <v:path arrowok="t"/>
              </v:shape>
            </v:group>
            <v:group style="position:absolute;left:9657;top:2063;width:1052;height:2" coordorigin="9657,2063" coordsize="1052,2">
              <v:shape style="position:absolute;left:9657;top:2063;width:1052;height:2" coordorigin="9657,2063" coordsize="1052,0" path="m9657,2063l10708,2063e" filled="false" stroked="true" strokeweight=".75pt" strokecolor="#000000">
                <v:path arrowok="t"/>
              </v:shape>
            </v:group>
            <v:group style="position:absolute;left:1142;top:2461;width:1187;height:316" coordorigin="1142,2461" coordsize="1187,316">
              <v:shape style="position:absolute;left:1142;top:2461;width:1187;height:316" coordorigin="1142,2461" coordsize="1187,316" path="m1142,2777l2328,2777,2328,2461,1142,2461,1142,2777xe" filled="true" fillcolor="#d2d2d2" stroked="false">
                <v:path arrowok="t"/>
                <v:fill type="solid"/>
              </v:shape>
            </v:group>
            <v:group style="position:absolute;left:1149;top:2777;width:2;height:390" coordorigin="1149,2777" coordsize="2,390">
              <v:shape style="position:absolute;left:1149;top:2777;width:2;height:390" coordorigin="1149,2777" coordsize="0,390" path="m1149,2777l1149,3167e" filled="false" stroked="true" strokeweight=".75pt" strokecolor="#d2d2d2">
                <v:path arrowok="t"/>
              </v:shape>
            </v:group>
            <v:group style="position:absolute;left:2321;top:2777;width:2;height:390" coordorigin="2321,2777" coordsize="2,390">
              <v:shape style="position:absolute;left:2321;top:2777;width:2;height:390" coordorigin="2321,2777" coordsize="0,390" path="m2321,2777l2321,3167e" filled="false" stroked="true" strokeweight=".75pt" strokecolor="#d2d2d2">
                <v:path arrowok="t"/>
              </v:shape>
            </v:group>
            <v:group style="position:absolute;left:1142;top:3167;width:1187;height:316" coordorigin="1142,3167" coordsize="1187,316">
              <v:shape style="position:absolute;left:1142;top:3167;width:1187;height:316" coordorigin="1142,3167" coordsize="1187,316" path="m1142,3482l2328,3482,2328,3167,1142,3167,1142,3482xe" filled="true" fillcolor="#d2d2d2" stroked="false">
                <v:path arrowok="t"/>
                <v:fill type="solid"/>
              </v:shape>
            </v:group>
            <v:group style="position:absolute;left:1157;top:2777;width:1157;height:390" coordorigin="1157,2777" coordsize="1157,390">
              <v:shape style="position:absolute;left:1157;top:2777;width:1157;height:390" coordorigin="1157,2777" coordsize="1157,390" path="m1157,3167l2313,3167,2313,2777,1157,2777,1157,3167xe" filled="true" fillcolor="#d2d2d2" stroked="false">
                <v:path arrowok="t"/>
                <v:fill type="solid"/>
              </v:shape>
            </v:group>
            <v:group style="position:absolute;left:2343;top:2461;width:1187;height:316" coordorigin="2343,2461" coordsize="1187,316">
              <v:shape style="position:absolute;left:2343;top:2461;width:1187;height:316" coordorigin="2343,2461" coordsize="1187,316" path="m2343,2777l3530,2777,3530,2461,2343,2461,2343,2777xe" filled="true" fillcolor="#d2d2d2" stroked="false">
                <v:path arrowok="t"/>
                <v:fill type="solid"/>
              </v:shape>
            </v:group>
            <v:group style="position:absolute;left:2358;top:2777;width:2;height:390" coordorigin="2358,2777" coordsize="2,390">
              <v:shape style="position:absolute;left:2358;top:2777;width:2;height:390" coordorigin="2358,2777" coordsize="0,390" path="m2358,2777l2358,3167e" filled="false" stroked="true" strokeweight="1.5pt" strokecolor="#d2d2d2">
                <v:path arrowok="t"/>
              </v:shape>
            </v:group>
            <v:group style="position:absolute;left:3522;top:2777;width:2;height:390" coordorigin="3522,2777" coordsize="2,390">
              <v:shape style="position:absolute;left:3522;top:2777;width:2;height:390" coordorigin="3522,2777" coordsize="0,390" path="m3522,2777l3522,3167e" filled="false" stroked="true" strokeweight=".75pt" strokecolor="#d2d2d2">
                <v:path arrowok="t"/>
              </v:shape>
            </v:group>
            <v:group style="position:absolute;left:2343;top:3167;width:1187;height:316" coordorigin="2343,3167" coordsize="1187,316">
              <v:shape style="position:absolute;left:2343;top:3167;width:1187;height:316" coordorigin="2343,3167" coordsize="1187,316" path="m2343,3482l3530,3482,3530,3167,2343,3167,2343,3482xe" filled="true" fillcolor="#d2d2d2" stroked="false">
                <v:path arrowok="t"/>
                <v:fill type="solid"/>
              </v:shape>
            </v:group>
            <v:group style="position:absolute;left:2373;top:2777;width:1142;height:390" coordorigin="2373,2777" coordsize="1142,390">
              <v:shape style="position:absolute;left:2373;top:2777;width:1142;height:390" coordorigin="2373,2777" coordsize="1142,390" path="m2373,3167l3515,3167,3515,2777,2373,2777,2373,3167xe" filled="true" fillcolor="#d2d2d2" stroked="false">
                <v:path arrowok="t"/>
                <v:fill type="solid"/>
              </v:shape>
            </v:group>
            <v:group style="position:absolute;left:3545;top:2461;width:916;height:316" coordorigin="3545,2461" coordsize="916,316">
              <v:shape style="position:absolute;left:3545;top:2461;width:916;height:316" coordorigin="3545,2461" coordsize="916,316" path="m3545,2777l4461,2777,4461,2461,3545,2461,3545,2777xe" filled="true" fillcolor="#d2d2d2" stroked="false">
                <v:path arrowok="t"/>
                <v:fill type="solid"/>
              </v:shape>
            </v:group>
            <v:group style="position:absolute;left:3552;top:2777;width:2;height:390" coordorigin="3552,2777" coordsize="2,390">
              <v:shape style="position:absolute;left:3552;top:2777;width:2;height:390" coordorigin="3552,2777" coordsize="0,390" path="m3552,2777l3552,3167e" filled="false" stroked="true" strokeweight=".75pt" strokecolor="#d2d2d2">
                <v:path arrowok="t"/>
              </v:shape>
            </v:group>
            <v:group style="position:absolute;left:4453;top:2777;width:2;height:390" coordorigin="4453,2777" coordsize="2,390">
              <v:shape style="position:absolute;left:4453;top:2777;width:2;height:390" coordorigin="4453,2777" coordsize="0,390" path="m4453,2777l4453,3167e" filled="false" stroked="true" strokeweight=".75pt" strokecolor="#d2d2d2">
                <v:path arrowok="t"/>
              </v:shape>
            </v:group>
            <v:group style="position:absolute;left:3545;top:3167;width:916;height:316" coordorigin="3545,3167" coordsize="916,316">
              <v:shape style="position:absolute;left:3545;top:3167;width:916;height:316" coordorigin="3545,3167" coordsize="916,316" path="m3545,3482l4461,3482,4461,3167,3545,3167,3545,3482xe" filled="true" fillcolor="#d2d2d2" stroked="false">
                <v:path arrowok="t"/>
                <v:fill type="solid"/>
              </v:shape>
            </v:group>
            <v:group style="position:absolute;left:3560;top:2777;width:886;height:390" coordorigin="3560,2777" coordsize="886,390">
              <v:shape style="position:absolute;left:3560;top:2777;width:886;height:390" coordorigin="3560,2777" coordsize="886,390" path="m3560,3167l4446,3167,4446,2777,3560,2777,3560,3167xe" filled="true" fillcolor="#d2d2d2" stroked="false">
                <v:path arrowok="t"/>
                <v:fill type="solid"/>
              </v:shape>
            </v:group>
            <v:group style="position:absolute;left:4476;top:2461;width:1052;height:165" coordorigin="4476,2461" coordsize="1052,165">
              <v:shape style="position:absolute;left:4476;top:2461;width:1052;height:165" coordorigin="4476,2461" coordsize="1052,165" path="m4476,2626l5527,2626,5527,2461,4476,2461,4476,2626xe" filled="true" fillcolor="#d2d2d2" stroked="false">
                <v:path arrowok="t"/>
                <v:fill type="solid"/>
              </v:shape>
            </v:group>
            <v:group style="position:absolute;left:4483;top:2626;width:2;height:706" coordorigin="4483,2626" coordsize="2,706">
              <v:shape style="position:absolute;left:4483;top:2626;width:2;height:706" coordorigin="4483,2626" coordsize="0,706" path="m4483,2626l4483,3332e" filled="false" stroked="true" strokeweight=".75pt" strokecolor="#d2d2d2">
                <v:path arrowok="t"/>
              </v:shape>
            </v:group>
            <v:group style="position:absolute;left:5512;top:2626;width:2;height:706" coordorigin="5512,2626" coordsize="2,706">
              <v:shape style="position:absolute;left:5512;top:2626;width:2;height:706" coordorigin="5512,2626" coordsize="0,706" path="m5512,2626l5512,3332e" filled="false" stroked="true" strokeweight="1.5pt" strokecolor="#d2d2d2">
                <v:path arrowok="t"/>
              </v:shape>
            </v:group>
            <v:group style="position:absolute;left:4476;top:3332;width:1052;height:150" coordorigin="4476,3332" coordsize="1052,150">
              <v:shape style="position:absolute;left:4476;top:3332;width:1052;height:150" coordorigin="4476,3332" coordsize="1052,150" path="m4476,3482l5527,3482,5527,3332,4476,3332,4476,3482xe" filled="true" fillcolor="#d2d2d2" stroked="false">
                <v:path arrowok="t"/>
                <v:fill type="solid"/>
              </v:shape>
            </v:group>
            <v:group style="position:absolute;left:4491;top:2626;width:1007;height:346" coordorigin="4491,2626" coordsize="1007,346">
              <v:shape style="position:absolute;left:4491;top:2626;width:1007;height:346" coordorigin="4491,2626" coordsize="1007,346" path="m4491,2972l5497,2972,5497,2626,4491,2626,4491,2972xe" filled="true" fillcolor="#d2d2d2" stroked="false">
                <v:path arrowok="t"/>
                <v:fill type="solid"/>
              </v:shape>
            </v:group>
            <v:group style="position:absolute;left:4491;top:2972;width:1007;height:361" coordorigin="4491,2972" coordsize="1007,361">
              <v:shape style="position:absolute;left:4491;top:2972;width:1007;height:361" coordorigin="4491,2972" coordsize="1007,361" path="m4491,3332l5497,3332,5497,2972,4491,2972,4491,3332xe" filled="true" fillcolor="#d2d2d2" stroked="false">
                <v:path arrowok="t"/>
                <v:fill type="solid"/>
              </v:shape>
            </v:group>
            <v:group style="position:absolute;left:5542;top:2461;width:1051;height:165" coordorigin="5542,2461" coordsize="1051,165">
              <v:shape style="position:absolute;left:5542;top:2461;width:1051;height:165" coordorigin="5542,2461" coordsize="1051,165" path="m5542,2626l6593,2626,6593,2461,5542,2461,5542,2626xe" filled="true" fillcolor="#d2d2d2" stroked="false">
                <v:path arrowok="t"/>
                <v:fill type="solid"/>
              </v:shape>
            </v:group>
            <v:group style="position:absolute;left:5549;top:2626;width:2;height:706" coordorigin="5549,2626" coordsize="2,706">
              <v:shape style="position:absolute;left:5549;top:2626;width:2;height:706" coordorigin="5549,2626" coordsize="0,706" path="m5549,2626l5549,3332e" filled="false" stroked="true" strokeweight=".75pt" strokecolor="#d2d2d2">
                <v:path arrowok="t"/>
              </v:shape>
            </v:group>
            <v:group style="position:absolute;left:6578;top:2626;width:2;height:706" coordorigin="6578,2626" coordsize="2,706">
              <v:shape style="position:absolute;left:6578;top:2626;width:2;height:706" coordorigin="6578,2626" coordsize="0,706" path="m6578,2626l6578,3332e" filled="false" stroked="true" strokeweight="1.5pt" strokecolor="#d2d2d2">
                <v:path arrowok="t"/>
              </v:shape>
            </v:group>
            <v:group style="position:absolute;left:5542;top:3332;width:1051;height:150" coordorigin="5542,3332" coordsize="1051,150">
              <v:shape style="position:absolute;left:5542;top:3332;width:1051;height:150" coordorigin="5542,3332" coordsize="1051,150" path="m5542,3482l6593,3482,6593,3332,5542,3332,5542,3482xe" filled="true" fillcolor="#d2d2d2" stroked="false">
                <v:path arrowok="t"/>
                <v:fill type="solid"/>
              </v:shape>
            </v:group>
            <v:group style="position:absolute;left:5557;top:2626;width:1006;height:346" coordorigin="5557,2626" coordsize="1006,346">
              <v:shape style="position:absolute;left:5557;top:2626;width:1006;height:346" coordorigin="5557,2626" coordsize="1006,346" path="m5557,2972l6563,2972,6563,2626,5557,2626,5557,2972xe" filled="true" fillcolor="#d2d2d2" stroked="false">
                <v:path arrowok="t"/>
                <v:fill type="solid"/>
              </v:shape>
            </v:group>
            <v:group style="position:absolute;left:5557;top:2972;width:1006;height:361" coordorigin="5557,2972" coordsize="1006,361">
              <v:shape style="position:absolute;left:5557;top:2972;width:1006;height:361" coordorigin="5557,2972" coordsize="1006,361" path="m5557,3332l6563,3332,6563,2972,5557,2972,5557,3332xe" filled="true" fillcolor="#d2d2d2" stroked="false">
                <v:path arrowok="t"/>
                <v:fill type="solid"/>
              </v:shape>
            </v:group>
            <v:group style="position:absolute;left:6608;top:2461;width:2;height:1021" coordorigin="6608,2461" coordsize="2,1021">
              <v:shape style="position:absolute;left:6608;top:2461;width:2;height:1021" coordorigin="6608,2461" coordsize="0,1021" path="m6608,2461l6608,3482e" filled="false" stroked="true" strokeweight="1.525pt" strokecolor="#d2d2d2">
                <v:path arrowok="t"/>
              </v:shape>
            </v:group>
            <v:group style="position:absolute;left:7630;top:2461;width:30;height:1021" coordorigin="7630,2461" coordsize="30,1021">
              <v:shape style="position:absolute;left:7630;top:2461;width:30;height:1021" coordorigin="7630,2461" coordsize="30,1021" path="m7630,3482l7660,3482,7660,2461,7630,2461,7630,3482xe" filled="true" fillcolor="#d2d2d2" stroked="false">
                <v:path arrowok="t"/>
                <v:fill type="solid"/>
              </v:shape>
            </v:group>
            <v:group style="position:absolute;left:6624;top:2461;width:1006;height:361" coordorigin="6624,2461" coordsize="1006,361">
              <v:shape style="position:absolute;left:6624;top:2461;width:1006;height:361" coordorigin="6624,2461" coordsize="1006,361" path="m6624,2822l7630,2822,7630,2461,6624,2461,6624,2822xe" filled="true" fillcolor="#d2d2d2" stroked="false">
                <v:path arrowok="t"/>
                <v:fill type="solid"/>
              </v:shape>
            </v:group>
            <v:group style="position:absolute;left:6624;top:2822;width:1006;height:315" coordorigin="6624,2822" coordsize="1006,315">
              <v:shape style="position:absolute;left:6624;top:2822;width:1006;height:315" coordorigin="6624,2822" coordsize="1006,315" path="m6624,3137l7630,3137,7630,2822,6624,2822,6624,3137xe" filled="true" fillcolor="#d2d2d2" stroked="false">
                <v:path arrowok="t"/>
                <v:fill type="solid"/>
              </v:shape>
            </v:group>
            <v:group style="position:absolute;left:6624;top:3137;width:1006;height:346" coordorigin="6624,3137" coordsize="1006,346">
              <v:shape style="position:absolute;left:6624;top:3137;width:1006;height:346" coordorigin="6624,3137" coordsize="1006,346" path="m6624,3482l7630,3482,7630,3137,6624,3137,6624,3482xe" filled="true" fillcolor="#d2d2d2" stroked="false">
                <v:path arrowok="t"/>
                <v:fill type="solid"/>
              </v:shape>
            </v:group>
            <v:group style="position:absolute;left:7660;top:2461;width:30;height:1021" coordorigin="7660,2461" coordsize="30,1021">
              <v:shape style="position:absolute;left:7660;top:2461;width:30;height:1021" coordorigin="7660,2461" coordsize="30,1021" path="m7660,3482l7690,3482,7690,2461,7660,2461,7660,3482xe" filled="true" fillcolor="#d2d2d2" stroked="false">
                <v:path arrowok="t"/>
                <v:fill type="solid"/>
              </v:shape>
            </v:group>
            <v:group style="position:absolute;left:8568;top:2461;width:2;height:1021" coordorigin="8568,2461" coordsize="2,1021">
              <v:shape style="position:absolute;left:8568;top:2461;width:2;height:1021" coordorigin="8568,2461" coordsize="0,1021" path="m8568,2461l8568,3482e" filled="false" stroked="true" strokeweight=".75pt" strokecolor="#d2d2d2">
                <v:path arrowok="t"/>
              </v:shape>
            </v:group>
            <v:group style="position:absolute;left:7690;top:2461;width:871;height:361" coordorigin="7690,2461" coordsize="871,361">
              <v:shape style="position:absolute;left:7690;top:2461;width:871;height:361" coordorigin="7690,2461" coordsize="871,361" path="m7690,2822l8561,2822,8561,2461,7690,2461,7690,2822xe" filled="true" fillcolor="#d2d2d2" stroked="false">
                <v:path arrowok="t"/>
                <v:fill type="solid"/>
              </v:shape>
            </v:group>
            <v:group style="position:absolute;left:7690;top:2822;width:871;height:315" coordorigin="7690,2822" coordsize="871,315">
              <v:shape style="position:absolute;left:7690;top:2822;width:871;height:315" coordorigin="7690,2822" coordsize="871,315" path="m7690,3137l8561,3137,8561,2822,7690,2822,7690,3137xe" filled="true" fillcolor="#d2d2d2" stroked="false">
                <v:path arrowok="t"/>
                <v:fill type="solid"/>
              </v:shape>
            </v:group>
            <v:group style="position:absolute;left:7690;top:3137;width:871;height:346" coordorigin="7690,3137" coordsize="871,346">
              <v:shape style="position:absolute;left:7690;top:3137;width:871;height:346" coordorigin="7690,3137" coordsize="871,346" path="m7690,3482l8561,3482,8561,3137,7690,3137,7690,3482xe" filled="true" fillcolor="#d2d2d2" stroked="false">
                <v:path arrowok="t"/>
                <v:fill type="solid"/>
              </v:shape>
            </v:group>
            <v:group style="position:absolute;left:8606;top:2461;width:2;height:391" coordorigin="8606,2461" coordsize="2,391">
              <v:shape style="position:absolute;left:8606;top:2461;width:2;height:391" coordorigin="8606,2461" coordsize="0,391" path="m8606,2461l8606,2852e" filled="false" stroked="true" strokeweight="1.525pt" strokecolor="#d2d2d2">
                <v:path arrowok="t"/>
              </v:shape>
            </v:group>
            <v:group style="position:absolute;left:10701;top:2461;width:2;height:391" coordorigin="10701,2461" coordsize="2,391">
              <v:shape style="position:absolute;left:10701;top:2461;width:2;height:391" coordorigin="10701,2461" coordsize="0,391" path="m10701,2461l10701,2852e" filled="false" stroked="true" strokeweight=".75pt" strokecolor="#d2d2d2">
                <v:path arrowok="t"/>
              </v:shape>
            </v:group>
            <v:group style="position:absolute;left:8621;top:2461;width:2073;height:391" coordorigin="8621,2461" coordsize="2073,391">
              <v:shape style="position:absolute;left:8621;top:2461;width:2073;height:391" coordorigin="8621,2461" coordsize="2073,391" path="m8621,2852l10693,2852,10693,2461,8621,2461,8621,2852xe" filled="true" fillcolor="#d2d2d2" stroked="false">
                <v:path arrowok="t"/>
                <v:fill type="solid"/>
              </v:shape>
            </v:group>
            <v:group style="position:absolute;left:1142;top:2469;width:1187;height:2" coordorigin="1142,2469" coordsize="1187,2">
              <v:shape style="position:absolute;left:1142;top:2469;width:1187;height:2" coordorigin="1142,2469" coordsize="1187,0" path="m1142,2469l2328,2469e" filled="false" stroked="true" strokeweight=".75pt" strokecolor="#000000">
                <v:path arrowok="t"/>
              </v:shape>
            </v:group>
            <v:group style="position:absolute;left:2343;top:2469;width:1187;height:2" coordorigin="2343,2469" coordsize="1187,2">
              <v:shape style="position:absolute;left:2343;top:2469;width:1187;height:2" coordorigin="2343,2469" coordsize="1187,0" path="m2343,2469l3530,2469e" filled="false" stroked="true" strokeweight=".75pt" strokecolor="#000000">
                <v:path arrowok="t"/>
              </v:shape>
            </v:group>
            <v:group style="position:absolute;left:3545;top:2469;width:916;height:2" coordorigin="3545,2469" coordsize="916,2">
              <v:shape style="position:absolute;left:3545;top:2469;width:916;height:2" coordorigin="3545,2469" coordsize="916,0" path="m3545,2469l4461,2469e" filled="false" stroked="true" strokeweight=".75pt" strokecolor="#000000">
                <v:path arrowok="t"/>
              </v:shape>
            </v:group>
            <v:group style="position:absolute;left:4476;top:2469;width:1052;height:2" coordorigin="4476,2469" coordsize="1052,2">
              <v:shape style="position:absolute;left:4476;top:2469;width:1052;height:2" coordorigin="4476,2469" coordsize="1052,0" path="m4476,2469l5527,2469e" filled="false" stroked="true" strokeweight=".75pt" strokecolor="#000000">
                <v:path arrowok="t"/>
              </v:shape>
            </v:group>
            <v:group style="position:absolute;left:5542;top:2469;width:1051;height:2" coordorigin="5542,2469" coordsize="1051,2">
              <v:shape style="position:absolute;left:5542;top:2469;width:1051;height:2" coordorigin="5542,2469" coordsize="1051,0" path="m5542,2469l6593,2469e" filled="false" stroked="true" strokeweight=".75pt" strokecolor="#000000">
                <v:path arrowok="t"/>
              </v:shape>
            </v:group>
            <v:group style="position:absolute;left:6609;top:2469;width:1036;height:2" coordorigin="6609,2469" coordsize="1036,2">
              <v:shape style="position:absolute;left:6609;top:2469;width:1036;height:2" coordorigin="6609,2469" coordsize="1036,0" path="m6609,2469l7645,2469e" filled="false" stroked="true" strokeweight=".75pt" strokecolor="#000000">
                <v:path arrowok="t"/>
              </v:shape>
            </v:group>
            <v:group style="position:absolute;left:7660;top:2469;width:916;height:2" coordorigin="7660,2469" coordsize="916,2">
              <v:shape style="position:absolute;left:7660;top:2469;width:916;height:2" coordorigin="7660,2469" coordsize="916,0" path="m7660,2469l8576,2469e" filled="false" stroked="true" strokeweight=".75pt" strokecolor="#000000">
                <v:path arrowok="t"/>
              </v:shape>
            </v:group>
            <v:group style="position:absolute;left:8590;top:2469;width:2118;height:2" coordorigin="8590,2469" coordsize="2118,2">
              <v:shape style="position:absolute;left:8590;top:2469;width:2118;height:2" coordorigin="8590,2469" coordsize="2118,0" path="m8590,2469l10708,2469e" filled="false" stroked="true" strokeweight=".75pt" strokecolor="#000000">
                <v:path arrowok="t"/>
              </v:shape>
            </v:group>
            <v:group style="position:absolute;left:8590;top:2867;width:1067;height:120" coordorigin="8590,2867" coordsize="1067,120">
              <v:shape style="position:absolute;left:8590;top:2867;width:1067;height:120" coordorigin="8590,2867" coordsize="1067,120" path="m8590,2987l9657,2987,9657,2867,8590,2867,8590,2987xe" filled="true" fillcolor="#d2d2d2" stroked="false">
                <v:path arrowok="t"/>
                <v:fill type="solid"/>
              </v:shape>
            </v:group>
            <v:group style="position:absolute;left:8606;top:2987;width:2;height:391" coordorigin="8606,2987" coordsize="2,391">
              <v:shape style="position:absolute;left:8606;top:2987;width:2;height:391" coordorigin="8606,2987" coordsize="0,391" path="m8606,2987l8606,3377e" filled="false" stroked="true" strokeweight="1.525pt" strokecolor="#d2d2d2">
                <v:path arrowok="t"/>
              </v:shape>
            </v:group>
            <v:group style="position:absolute;left:9627;top:2987;width:30;height:391" coordorigin="9627,2987" coordsize="30,391">
              <v:shape style="position:absolute;left:9627;top:2987;width:30;height:391" coordorigin="9627,2987" coordsize="30,391" path="m9627,3377l9657,3377,9657,2987,9627,2987,9627,3377xe" filled="true" fillcolor="#d2d2d2" stroked="false">
                <v:path arrowok="t"/>
                <v:fill type="solid"/>
              </v:shape>
            </v:group>
            <v:group style="position:absolute;left:8590;top:3377;width:1067;height:105" coordorigin="8590,3377" coordsize="1067,105">
              <v:shape style="position:absolute;left:8590;top:3377;width:1067;height:105" coordorigin="8590,3377" coordsize="1067,105" path="m8590,3482l9657,3482,9657,3377,8590,3377,8590,3482xe" filled="true" fillcolor="#d2d2d2" stroked="false">
                <v:path arrowok="t"/>
                <v:fill type="solid"/>
              </v:shape>
            </v:group>
            <v:group style="position:absolute;left:8621;top:2987;width:1006;height:391" coordorigin="8621,2987" coordsize="1006,391">
              <v:shape style="position:absolute;left:8621;top:2987;width:1006;height:391" coordorigin="8621,2987" coordsize="1006,391" path="m8621,3377l9627,3377,9627,2987,8621,2987,8621,3377xe" filled="true" fillcolor="#d2d2d2" stroked="false">
                <v:path arrowok="t"/>
                <v:fill type="solid"/>
              </v:shape>
            </v:group>
            <v:group style="position:absolute;left:9657;top:2867;width:1052;height:120" coordorigin="9657,2867" coordsize="1052,120">
              <v:shape style="position:absolute;left:9657;top:2867;width:1052;height:120" coordorigin="9657,2867" coordsize="1052,120" path="m9657,2987l10708,2987,10708,2867,9657,2867,9657,2987xe" filled="true" fillcolor="#d2d2d2" stroked="false">
                <v:path arrowok="t"/>
                <v:fill type="solid"/>
              </v:shape>
            </v:group>
            <v:group style="position:absolute;left:9657;top:2987;width:30;height:391" coordorigin="9657,2987" coordsize="30,391">
              <v:shape style="position:absolute;left:9657;top:2987;width:30;height:391" coordorigin="9657,2987" coordsize="30,391" path="m9657,3377l9687,3377,9687,2987,9657,2987,9657,3377xe" filled="true" fillcolor="#d2d2d2" stroked="false">
                <v:path arrowok="t"/>
                <v:fill type="solid"/>
              </v:shape>
            </v:group>
            <v:group style="position:absolute;left:10701;top:2987;width:2;height:391" coordorigin="10701,2987" coordsize="2,391">
              <v:shape style="position:absolute;left:10701;top:2987;width:2;height:391" coordorigin="10701,2987" coordsize="0,391" path="m10701,2987l10701,3377e" filled="false" stroked="true" strokeweight=".75pt" strokecolor="#d2d2d2">
                <v:path arrowok="t"/>
              </v:shape>
            </v:group>
            <v:group style="position:absolute;left:9657;top:3377;width:1052;height:105" coordorigin="9657,3377" coordsize="1052,105">
              <v:shape style="position:absolute;left:9657;top:3377;width:1052;height:105" coordorigin="9657,3377" coordsize="1052,105" path="m9657,3482l10708,3482,10708,3377,9657,3377,9657,3482xe" filled="true" fillcolor="#d2d2d2" stroked="false">
                <v:path arrowok="t"/>
                <v:fill type="solid"/>
              </v:shape>
            </v:group>
            <v:group style="position:absolute;left:9687;top:2987;width:1007;height:391" coordorigin="9687,2987" coordsize="1007,391">
              <v:shape style="position:absolute;left:9687;top:2987;width:1007;height:391" coordorigin="9687,2987" coordsize="1007,391" path="m9687,3377l10693,3377,10693,2987,9687,2987,9687,3377xe" filled="true" fillcolor="#d2d2d2" stroked="false">
                <v:path arrowok="t"/>
                <v:fill type="solid"/>
              </v:shape>
            </v:group>
            <v:group style="position:absolute;left:8590;top:2859;width:1052;height:2" coordorigin="8590,2859" coordsize="1052,2">
              <v:shape style="position:absolute;left:8590;top:2859;width:1052;height:2" coordorigin="8590,2859" coordsize="1052,0" path="m8590,2859l9642,2859e" filled="false" stroked="true" strokeweight=".75pt" strokecolor="#000000">
                <v:path arrowok="t"/>
              </v:shape>
            </v:group>
            <v:group style="position:absolute;left:9657;top:2859;width:1052;height:2" coordorigin="9657,2859" coordsize="1052,2">
              <v:shape style="position:absolute;left:9657;top:2859;width:1052;height:2" coordorigin="9657,2859" coordsize="1052,0" path="m9657,2859l10708,2859e" filled="false" stroked="true" strokeweight=".75pt" strokecolor="#000000">
                <v:path arrowok="t"/>
              </v:shape>
            </v:group>
            <v:group style="position:absolute;left:1142;top:3490;width:1187;height:2" coordorigin="1142,3490" coordsize="1187,2">
              <v:shape style="position:absolute;left:1142;top:3490;width:1187;height:2" coordorigin="1142,3490" coordsize="1187,0" path="m1142,3490l2328,3490e" filled="false" stroked="true" strokeweight=".75pt" strokecolor="#000000">
                <v:path arrowok="t"/>
              </v:shape>
            </v:group>
            <v:group style="position:absolute;left:2343;top:3490;width:1187;height:2" coordorigin="2343,3490" coordsize="1187,2">
              <v:shape style="position:absolute;left:2343;top:3490;width:1187;height:2" coordorigin="2343,3490" coordsize="1187,0" path="m2343,3490l3530,3490e" filled="false" stroked="true" strokeweight=".75pt" strokecolor="#000000">
                <v:path arrowok="t"/>
              </v:shape>
            </v:group>
            <v:group style="position:absolute;left:3545;top:3490;width:916;height:2" coordorigin="3545,3490" coordsize="916,2">
              <v:shape style="position:absolute;left:3545;top:3490;width:916;height:2" coordorigin="3545,3490" coordsize="916,0" path="m3545,3490l4461,3490e" filled="false" stroked="true" strokeweight=".75pt" strokecolor="#000000">
                <v:path arrowok="t"/>
              </v:shape>
            </v:group>
            <v:group style="position:absolute;left:4476;top:3490;width:1052;height:2" coordorigin="4476,3490" coordsize="1052,2">
              <v:shape style="position:absolute;left:4476;top:3490;width:1052;height:2" coordorigin="4476,3490" coordsize="1052,0" path="m4476,3490l5527,3490e" filled="false" stroked="true" strokeweight=".75pt" strokecolor="#000000">
                <v:path arrowok="t"/>
              </v:shape>
            </v:group>
            <v:group style="position:absolute;left:5542;top:3490;width:1051;height:2" coordorigin="5542,3490" coordsize="1051,2">
              <v:shape style="position:absolute;left:5542;top:3490;width:1051;height:2" coordorigin="5542,3490" coordsize="1051,0" path="m5542,3490l6593,3490e" filled="false" stroked="true" strokeweight=".75pt" strokecolor="#000000">
                <v:path arrowok="t"/>
              </v:shape>
            </v:group>
            <v:group style="position:absolute;left:6609;top:3490;width:1036;height:2" coordorigin="6609,3490" coordsize="1036,2">
              <v:shape style="position:absolute;left:6609;top:3490;width:1036;height:2" coordorigin="6609,3490" coordsize="1036,0" path="m6609,3490l7645,3490e" filled="false" stroked="true" strokeweight=".75pt" strokecolor="#000000">
                <v:path arrowok="t"/>
              </v:shape>
            </v:group>
            <v:group style="position:absolute;left:7660;top:3490;width:916;height:2" coordorigin="7660,3490" coordsize="916,2">
              <v:shape style="position:absolute;left:7660;top:3490;width:916;height:2" coordorigin="7660,3490" coordsize="916,0" path="m7660,3490l8576,3490e" filled="false" stroked="true" strokeweight=".75pt" strokecolor="#000000">
                <v:path arrowok="t"/>
              </v:shape>
            </v:group>
            <v:group style="position:absolute;left:8590;top:3490;width:1052;height:2" coordorigin="8590,3490" coordsize="1052,2">
              <v:shape style="position:absolute;left:8590;top:3490;width:1052;height:2" coordorigin="8590,3490" coordsize="1052,0" path="m8590,3490l9642,3490e" filled="false" stroked="true" strokeweight=".75pt" strokecolor="#000000">
                <v:path arrowok="t"/>
              </v:shape>
            </v:group>
            <v:group style="position:absolute;left:9657;top:3490;width:1052;height:2" coordorigin="9657,3490" coordsize="1052,2">
              <v:shape style="position:absolute;left:9657;top:3490;width:1052;height:2" coordorigin="9657,3490" coordsize="1052,0" path="m9657,3490l10708,3490e" filled="false" stroked="true" strokeweight=".75pt" strokecolor="#000000">
                <v:path arrowok="t"/>
              </v:shape>
            </v:group>
            <v:group style="position:absolute;left:1134;top:404;width:2;height:5721" coordorigin="1134,404" coordsize="2,5721">
              <v:shape style="position:absolute;left:1134;top:404;width:2;height:5721" coordorigin="1134,404" coordsize="0,5721" path="m1134,404l1134,6125e" filled="false" stroked="true" strokeweight=".75pt" strokecolor="#000000">
                <v:path arrowok="t"/>
              </v:shape>
            </v:group>
            <v:group style="position:absolute;left:2336;top:2461;width:2;height:3664" coordorigin="2336,2461" coordsize="2,3664">
              <v:shape style="position:absolute;left:2336;top:2461;width:2;height:3664" coordorigin="2336,2461" coordsize="0,3664" path="m2336,2461l2336,6125e" filled="false" stroked="true" strokeweight=".75pt" strokecolor="#000000">
                <v:path arrowok="t"/>
              </v:shape>
            </v:group>
            <v:group style="position:absolute;left:3537;top:2461;width:2;height:3664" coordorigin="3537,2461" coordsize="2,3664">
              <v:shape style="position:absolute;left:3537;top:2461;width:2;height:3664" coordorigin="3537,2461" coordsize="0,3664" path="m3537,2461l3537,6125e" filled="false" stroked="true" strokeweight=".75pt" strokecolor="#000000">
                <v:path arrowok="t"/>
              </v:shape>
            </v:group>
            <v:group style="position:absolute;left:4468;top:2461;width:2;height:3664" coordorigin="4468,2461" coordsize="2,3664">
              <v:shape style="position:absolute;left:4468;top:2461;width:2;height:3664" coordorigin="4468,2461" coordsize="0,3664" path="m4468,2461l4468,6125e" filled="false" stroked="true" strokeweight=".75pt" strokecolor="#000000">
                <v:path arrowok="t"/>
              </v:shape>
            </v:group>
            <v:group style="position:absolute;left:5534;top:2461;width:2;height:3664" coordorigin="5534,2461" coordsize="2,3664">
              <v:shape style="position:absolute;left:5534;top:2461;width:2;height:3664" coordorigin="5534,2461" coordsize="0,3664" path="m5534,2461l5534,6125e" filled="false" stroked="true" strokeweight=".75pt" strokecolor="#000000">
                <v:path arrowok="t"/>
              </v:shape>
            </v:group>
            <v:group style="position:absolute;left:6601;top:2461;width:2;height:3664" coordorigin="6601,2461" coordsize="2,3664">
              <v:shape style="position:absolute;left:6601;top:2461;width:2;height:3664" coordorigin="6601,2461" coordsize="0,3664" path="m6601,2461l6601,6125e" filled="false" stroked="true" strokeweight=".77502pt" strokecolor="#000000">
                <v:path arrowok="t"/>
              </v:shape>
            </v:group>
            <v:group style="position:absolute;left:7652;top:2461;width:2;height:3664" coordorigin="7652,2461" coordsize="2,3664">
              <v:shape style="position:absolute;left:7652;top:2461;width:2;height:3664" coordorigin="7652,2461" coordsize="0,3664" path="m7652,2461l7652,6125e" filled="false" stroked="true" strokeweight=".75pt" strokecolor="#000000">
                <v:path arrowok="t"/>
              </v:shape>
            </v:group>
            <v:group style="position:absolute;left:8583;top:2461;width:2;height:3664" coordorigin="8583,2461" coordsize="2,3664">
              <v:shape style="position:absolute;left:8583;top:2461;width:2;height:3664" coordorigin="8583,2461" coordsize="0,3664" path="m8583,2461l8583,6125e" filled="false" stroked="true" strokeweight=".75pt" strokecolor="#000000">
                <v:path arrowok="t"/>
              </v:shape>
            </v:group>
            <v:group style="position:absolute;left:9649;top:2852;width:2;height:3273" coordorigin="9649,2852" coordsize="2,3273">
              <v:shape style="position:absolute;left:9649;top:2852;width:2;height:3273" coordorigin="9649,2852" coordsize="0,3273" path="m9649,2852l9649,6125e" filled="false" stroked="true" strokeweight=".75pt" strokecolor="#000000">
                <v:path arrowok="t"/>
              </v:shape>
            </v:group>
            <v:group style="position:absolute;left:10716;top:404;width:2;height:5721" coordorigin="10716,404" coordsize="2,5721">
              <v:shape style="position:absolute;left:10716;top:404;width:2;height:5721" coordorigin="10716,404" coordsize="0,5721" path="m10716,404l10716,6125e" filled="false" stroked="true" strokeweight=".75pt" strokecolor="#000000">
                <v:path arrowok="t"/>
              </v:shape>
            </v:group>
            <w10:wrap type="none"/>
          </v:group>
        </w:pict>
      </w:r>
      <w:r>
        <w:rPr/>
        <w:t>单位：股</w:t>
      </w:r>
    </w:p>
    <w:p>
      <w:pPr>
        <w:spacing w:line="240" w:lineRule="auto" w:before="2"/>
        <w:rPr>
          <w:rFonts w:ascii="宋体" w:hAnsi="宋体" w:cs="宋体" w:eastAsia="宋体" w:hint="default"/>
          <w:sz w:val="10"/>
          <w:szCs w:val="10"/>
        </w:rPr>
      </w:pPr>
    </w:p>
    <w:tbl>
      <w:tblPr>
        <w:tblW w:w="0" w:type="auto"/>
        <w:jc w:val="left"/>
        <w:tblInd w:w="133" w:type="dxa"/>
        <w:tblLayout w:type="fixed"/>
        <w:tblCellMar>
          <w:top w:w="0" w:type="dxa"/>
          <w:left w:w="0" w:type="dxa"/>
          <w:bottom w:w="0" w:type="dxa"/>
          <w:right w:w="0" w:type="dxa"/>
        </w:tblCellMar>
        <w:tblLook w:val="01E0"/>
      </w:tblPr>
      <w:tblGrid>
        <w:gridCol w:w="1202"/>
        <w:gridCol w:w="1205"/>
        <w:gridCol w:w="924"/>
        <w:gridCol w:w="1074"/>
        <w:gridCol w:w="1099"/>
        <w:gridCol w:w="1023"/>
        <w:gridCol w:w="923"/>
        <w:gridCol w:w="1063"/>
        <w:gridCol w:w="1070"/>
      </w:tblGrid>
      <w:tr>
        <w:trPr>
          <w:trHeight w:val="1479" w:hRule="exact"/>
        </w:trPr>
        <w:tc>
          <w:tcPr>
            <w:tcW w:w="1202"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04" w:lineRule="auto"/>
              <w:ind w:left="22" w:right="98"/>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5" w:type="dxa"/>
            <w:tcBorders>
              <w:top w:val="nil" w:sz="6" w:space="0" w:color="auto"/>
              <w:left w:val="nil" w:sz="6" w:space="0" w:color="auto"/>
              <w:bottom w:val="nil" w:sz="6" w:space="0" w:color="auto"/>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683" w:right="0"/>
              <w:jc w:val="left"/>
              <w:rPr>
                <w:rFonts w:ascii="Times New Roman" w:hAnsi="Times New Roman" w:cs="Times New Roman" w:eastAsia="Times New Roman" w:hint="default"/>
                <w:sz w:val="18"/>
                <w:szCs w:val="18"/>
              </w:rPr>
            </w:pPr>
            <w:r>
              <w:rPr>
                <w:rFonts w:ascii="Times New Roman"/>
                <w:sz w:val="18"/>
              </w:rPr>
              <w:t>36,026</w:t>
            </w:r>
          </w:p>
        </w:tc>
        <w:tc>
          <w:tcPr>
            <w:tcW w:w="92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16" w:lineRule="auto" w:before="52"/>
              <w:ind w:left="11" w:right="175"/>
              <w:jc w:val="both"/>
              <w:rPr>
                <w:rFonts w:ascii="宋体" w:hAnsi="宋体" w:cs="宋体" w:eastAsia="宋体" w:hint="default"/>
                <w:sz w:val="18"/>
                <w:szCs w:val="18"/>
              </w:rPr>
            </w:pPr>
            <w:r>
              <w:rPr>
                <w:rFonts w:ascii="宋体" w:hAnsi="宋体" w:cs="宋体" w:eastAsia="宋体" w:hint="default"/>
                <w:sz w:val="18"/>
                <w:szCs w:val="18"/>
              </w:rPr>
              <w:t>年度报告 披露日前 上一月末 普通股股</w:t>
            </w:r>
          </w:p>
          <w:p>
            <w:pPr>
              <w:pStyle w:val="TableParagraph"/>
              <w:spacing w:line="240" w:lineRule="auto" w:before="7"/>
              <w:ind w:left="11" w:right="0"/>
              <w:jc w:val="both"/>
              <w:rPr>
                <w:rFonts w:ascii="宋体" w:hAnsi="宋体" w:cs="宋体" w:eastAsia="宋体" w:hint="default"/>
                <w:sz w:val="18"/>
                <w:szCs w:val="18"/>
              </w:rPr>
            </w:pPr>
            <w:r>
              <w:rPr>
                <w:rFonts w:ascii="宋体" w:hAnsi="宋体" w:cs="宋体" w:eastAsia="宋体" w:hint="default"/>
                <w:sz w:val="18"/>
                <w:szCs w:val="18"/>
              </w:rPr>
              <w:t>东总数</w:t>
            </w:r>
          </w:p>
        </w:tc>
        <w:tc>
          <w:tcPr>
            <w:tcW w:w="1074" w:type="dxa"/>
            <w:tcBorders>
              <w:top w:val="nil" w:sz="6" w:space="0" w:color="auto"/>
              <w:left w:val="single" w:sz="12" w:space="0" w:color="000000"/>
              <w:bottom w:val="nil" w:sz="6" w:space="0" w:color="auto"/>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32,241</w:t>
            </w:r>
          </w:p>
        </w:tc>
        <w:tc>
          <w:tcPr>
            <w:tcW w:w="1099"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16" w:lineRule="auto" w:before="52"/>
              <w:ind w:left="11" w:right="-8"/>
              <w:jc w:val="left"/>
              <w:rPr>
                <w:rFonts w:ascii="宋体" w:hAnsi="宋体" w:cs="宋体" w:eastAsia="宋体" w:hint="default"/>
                <w:sz w:val="18"/>
                <w:szCs w:val="18"/>
              </w:rPr>
            </w:pPr>
            <w:r>
              <w:rPr>
                <w:rFonts w:ascii="宋体" w:hAnsi="宋体" w:cs="宋体" w:eastAsia="宋体" w:hint="default"/>
                <w:sz w:val="18"/>
                <w:szCs w:val="18"/>
              </w:rPr>
              <w:t>报告期末表 决权恢复的 优先股股东 总数（如有）</w:t>
            </w:r>
          </w:p>
          <w:p>
            <w:pPr>
              <w:pStyle w:val="TableParagraph"/>
              <w:spacing w:line="220" w:lineRule="exact" w:before="22"/>
              <w:ind w:left="11"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23" w:type="dxa"/>
            <w:tcBorders>
              <w:top w:val="nil" w:sz="6" w:space="0" w:color="auto"/>
              <w:left w:val="single" w:sz="18" w:space="0" w:color="D2D2D2"/>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1986" w:type="dxa"/>
            <w:gridSpan w:val="2"/>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21" w:lineRule="auto"/>
              <w:ind w:left="30" w:right="64"/>
              <w:jc w:val="left"/>
              <w:rPr>
                <w:rFonts w:ascii="宋体" w:hAnsi="宋体" w:cs="宋体" w:eastAsia="宋体" w:hint="default"/>
                <w:sz w:val="18"/>
                <w:szCs w:val="18"/>
              </w:rPr>
            </w:pPr>
            <w:r>
              <w:rPr>
                <w:rFonts w:ascii="宋体" w:hAnsi="宋体" w:cs="宋体" w:eastAsia="宋体" w:hint="default"/>
                <w:sz w:val="18"/>
                <w:szCs w:val="18"/>
              </w:rPr>
              <w:t>年度报告披露日前上一 月末表决权恢复的优先 </w:t>
            </w:r>
            <w:r>
              <w:rPr>
                <w:rFonts w:ascii="宋体" w:hAnsi="宋体" w:cs="宋体" w:eastAsia="宋体" w:hint="default"/>
                <w:spacing w:val="-9"/>
                <w:sz w:val="18"/>
                <w:szCs w:val="18"/>
              </w:rPr>
              <w:t>股股东总数（如有）（参</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73" w:hRule="exact"/>
        </w:trPr>
        <w:tc>
          <w:tcPr>
            <w:tcW w:w="1202" w:type="dxa"/>
            <w:tcBorders>
              <w:top w:val="nil" w:sz="6" w:space="0" w:color="auto"/>
              <w:left w:val="nil" w:sz="6" w:space="0" w:color="auto"/>
              <w:bottom w:val="nil" w:sz="6" w:space="0" w:color="auto"/>
              <w:right w:val="nil" w:sz="6" w:space="0" w:color="auto"/>
            </w:tcBorders>
            <w:shd w:val="clear" w:color="auto" w:fill="D2D2D2"/>
          </w:tcPr>
          <w:p>
            <w:pPr/>
          </w:p>
        </w:tc>
        <w:tc>
          <w:tcPr>
            <w:tcW w:w="1205" w:type="dxa"/>
            <w:tcBorders>
              <w:top w:val="nil" w:sz="6" w:space="0" w:color="auto"/>
              <w:left w:val="nil" w:sz="6" w:space="0" w:color="auto"/>
              <w:bottom w:val="nil" w:sz="6" w:space="0" w:color="auto"/>
              <w:right w:val="single" w:sz="12" w:space="0" w:color="000000"/>
            </w:tcBorders>
          </w:tcPr>
          <w:p>
            <w:pPr/>
          </w:p>
        </w:tc>
        <w:tc>
          <w:tcPr>
            <w:tcW w:w="924" w:type="dxa"/>
            <w:tcBorders>
              <w:top w:val="nil" w:sz="6" w:space="0" w:color="auto"/>
              <w:left w:val="single" w:sz="6" w:space="0" w:color="000000"/>
              <w:bottom w:val="nil" w:sz="6" w:space="0" w:color="auto"/>
              <w:right w:val="single" w:sz="6" w:space="0" w:color="000000"/>
            </w:tcBorders>
            <w:shd w:val="clear" w:color="auto" w:fill="D2D2D2"/>
          </w:tcPr>
          <w:p>
            <w:pPr/>
          </w:p>
        </w:tc>
        <w:tc>
          <w:tcPr>
            <w:tcW w:w="1074" w:type="dxa"/>
            <w:tcBorders>
              <w:top w:val="nil" w:sz="6" w:space="0" w:color="auto"/>
              <w:left w:val="single" w:sz="12" w:space="0" w:color="000000"/>
              <w:bottom w:val="nil" w:sz="6" w:space="0" w:color="auto"/>
              <w:right w:val="single" w:sz="12" w:space="0" w:color="000000"/>
            </w:tcBorders>
          </w:tcPr>
          <w:p>
            <w:pPr/>
          </w:p>
        </w:tc>
        <w:tc>
          <w:tcPr>
            <w:tcW w:w="1099" w:type="dxa"/>
            <w:tcBorders>
              <w:top w:val="nil" w:sz="6" w:space="0" w:color="auto"/>
              <w:left w:val="single" w:sz="6" w:space="0" w:color="000000"/>
              <w:bottom w:val="nil" w:sz="6" w:space="0" w:color="auto"/>
              <w:right w:val="single" w:sz="6" w:space="0" w:color="000000"/>
            </w:tcBorders>
            <w:shd w:val="clear" w:color="auto" w:fill="D2D2D2"/>
          </w:tcPr>
          <w:p>
            <w:pPr/>
          </w:p>
        </w:tc>
        <w:tc>
          <w:tcPr>
            <w:tcW w:w="1023" w:type="dxa"/>
            <w:tcBorders>
              <w:top w:val="nil" w:sz="6" w:space="0" w:color="auto"/>
              <w:left w:val="single" w:sz="18" w:space="0" w:color="D2D2D2"/>
              <w:bottom w:val="nil" w:sz="6" w:space="0" w:color="auto"/>
              <w:right w:val="nil" w:sz="6" w:space="0" w:color="auto"/>
            </w:tcBorders>
          </w:tcPr>
          <w:p>
            <w:pPr/>
          </w:p>
        </w:tc>
        <w:tc>
          <w:tcPr>
            <w:tcW w:w="1986" w:type="dxa"/>
            <w:gridSpan w:val="2"/>
            <w:tcBorders>
              <w:top w:val="nil" w:sz="6" w:space="0" w:color="auto"/>
              <w:left w:val="nil" w:sz="6" w:space="0" w:color="auto"/>
              <w:bottom w:val="nil" w:sz="6" w:space="0" w:color="auto"/>
              <w:right w:val="nil" w:sz="6" w:space="0" w:color="auto"/>
            </w:tcBorders>
            <w:shd w:val="clear" w:color="auto" w:fill="D2D2D2"/>
          </w:tcPr>
          <w:p>
            <w:pPr/>
          </w:p>
        </w:tc>
        <w:tc>
          <w:tcPr>
            <w:tcW w:w="1070" w:type="dxa"/>
            <w:tcBorders>
              <w:top w:val="nil" w:sz="6" w:space="0" w:color="auto"/>
              <w:left w:val="nil" w:sz="6" w:space="0" w:color="auto"/>
              <w:bottom w:val="nil" w:sz="6" w:space="0" w:color="auto"/>
              <w:right w:val="nil" w:sz="6" w:space="0" w:color="auto"/>
            </w:tcBorders>
          </w:tcPr>
          <w:p>
            <w:pPr/>
          </w:p>
        </w:tc>
      </w:tr>
      <w:tr>
        <w:trPr>
          <w:trHeight w:val="405" w:hRule="exact"/>
        </w:trPr>
        <w:tc>
          <w:tcPr>
            <w:tcW w:w="9582" w:type="dxa"/>
            <w:gridSpan w:val="9"/>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67"/>
              <w:ind w:left="3056"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名股东持股情况</w:t>
            </w:r>
          </w:p>
        </w:tc>
      </w:tr>
      <w:tr>
        <w:trPr>
          <w:trHeight w:val="266" w:hRule="exact"/>
        </w:trPr>
        <w:tc>
          <w:tcPr>
            <w:tcW w:w="1202" w:type="dxa"/>
            <w:tcBorders>
              <w:top w:val="nil" w:sz="6" w:space="0" w:color="auto"/>
              <w:left w:val="nil" w:sz="6" w:space="0" w:color="auto"/>
              <w:bottom w:val="nil" w:sz="6" w:space="0" w:color="auto"/>
              <w:right w:val="nil" w:sz="6" w:space="0" w:color="auto"/>
            </w:tcBorders>
            <w:shd w:val="clear" w:color="auto" w:fill="D2D2D2"/>
          </w:tcPr>
          <w:p>
            <w:pPr/>
          </w:p>
        </w:tc>
        <w:tc>
          <w:tcPr>
            <w:tcW w:w="1205" w:type="dxa"/>
            <w:tcBorders>
              <w:top w:val="nil" w:sz="6" w:space="0" w:color="auto"/>
              <w:left w:val="nil" w:sz="6" w:space="0" w:color="auto"/>
              <w:bottom w:val="nil" w:sz="6" w:space="0" w:color="auto"/>
              <w:right w:val="nil" w:sz="6" w:space="0" w:color="auto"/>
            </w:tcBorders>
            <w:shd w:val="clear" w:color="auto" w:fill="D2D2D2"/>
          </w:tcPr>
          <w:p>
            <w:pPr/>
          </w:p>
        </w:tc>
        <w:tc>
          <w:tcPr>
            <w:tcW w:w="924" w:type="dxa"/>
            <w:tcBorders>
              <w:top w:val="nil" w:sz="6" w:space="0" w:color="auto"/>
              <w:left w:val="nil" w:sz="6" w:space="0" w:color="auto"/>
              <w:bottom w:val="nil" w:sz="6" w:space="0" w:color="auto"/>
              <w:right w:val="nil" w:sz="6" w:space="0" w:color="auto"/>
            </w:tcBorders>
            <w:shd w:val="clear" w:color="auto" w:fill="D2D2D2"/>
          </w:tcPr>
          <w:p>
            <w:pPr/>
          </w:p>
        </w:tc>
        <w:tc>
          <w:tcPr>
            <w:tcW w:w="1074" w:type="dxa"/>
            <w:tcBorders>
              <w:top w:val="nil" w:sz="6" w:space="0" w:color="auto"/>
              <w:left w:val="nil" w:sz="6" w:space="0" w:color="auto"/>
              <w:bottom w:val="nil" w:sz="6" w:space="0" w:color="auto"/>
              <w:right w:val="nil" w:sz="6" w:space="0" w:color="auto"/>
            </w:tcBorders>
            <w:shd w:val="clear" w:color="auto" w:fill="D2D2D2"/>
          </w:tcPr>
          <w:p>
            <w:pPr/>
          </w:p>
        </w:tc>
        <w:tc>
          <w:tcPr>
            <w:tcW w:w="1099" w:type="dxa"/>
            <w:tcBorders>
              <w:top w:val="nil" w:sz="6" w:space="0" w:color="auto"/>
              <w:left w:val="nil" w:sz="6" w:space="0" w:color="auto"/>
              <w:bottom w:val="nil" w:sz="6" w:space="0" w:color="auto"/>
              <w:right w:val="nil" w:sz="6" w:space="0" w:color="auto"/>
            </w:tcBorders>
            <w:shd w:val="clear" w:color="auto" w:fill="D2D2D2"/>
          </w:tcPr>
          <w:p>
            <w:pPr/>
          </w:p>
        </w:tc>
        <w:tc>
          <w:tcPr>
            <w:tcW w:w="1023" w:type="dxa"/>
            <w:vMerge w:val="restart"/>
            <w:tcBorders>
              <w:top w:val="nil" w:sz="6" w:space="0" w:color="auto"/>
              <w:left w:val="nil" w:sz="6" w:space="0" w:color="auto"/>
              <w:right w:val="nil" w:sz="6" w:space="0" w:color="auto"/>
            </w:tcBorders>
            <w:shd w:val="clear" w:color="auto" w:fill="D2D2D2"/>
          </w:tcPr>
          <w:p>
            <w:pPr>
              <w:pStyle w:val="TableParagraph"/>
              <w:spacing w:line="321" w:lineRule="auto" w:before="38"/>
              <w:ind w:left="31" w:right="89"/>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23" w:type="dxa"/>
            <w:vMerge w:val="restart"/>
            <w:tcBorders>
              <w:top w:val="nil" w:sz="6" w:space="0" w:color="auto"/>
              <w:left w:val="nil" w:sz="6" w:space="0" w:color="auto"/>
              <w:right w:val="nil" w:sz="6" w:space="0" w:color="auto"/>
            </w:tcBorders>
            <w:shd w:val="clear" w:color="auto" w:fill="D2D2D2"/>
          </w:tcPr>
          <w:p>
            <w:pPr>
              <w:pStyle w:val="TableParagraph"/>
              <w:spacing w:line="321" w:lineRule="auto" w:before="38"/>
              <w:ind w:left="105" w:right="96"/>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133" w:type="dxa"/>
            <w:gridSpan w:val="2"/>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38"/>
              <w:ind w:left="44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338" w:hRule="exact"/>
        </w:trPr>
        <w:tc>
          <w:tcPr>
            <w:tcW w:w="1202"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87"/>
              <w:ind w:left="23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05"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87"/>
              <w:ind w:left="24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24"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87"/>
              <w:ind w:left="93"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74" w:type="dxa"/>
            <w:vMerge w:val="restart"/>
            <w:tcBorders>
              <w:top w:val="nil" w:sz="6" w:space="0" w:color="auto"/>
              <w:left w:val="nil" w:sz="6" w:space="0" w:color="auto"/>
              <w:right w:val="nil" w:sz="6" w:space="0" w:color="auto"/>
            </w:tcBorders>
            <w:shd w:val="clear" w:color="auto" w:fill="D2D2D2"/>
          </w:tcPr>
          <w:p>
            <w:pPr>
              <w:pStyle w:val="TableParagraph"/>
              <w:spacing w:line="172" w:lineRule="exact"/>
              <w:ind w:right="29"/>
              <w:jc w:val="center"/>
              <w:rPr>
                <w:rFonts w:ascii="宋体" w:hAnsi="宋体" w:cs="宋体" w:eastAsia="宋体" w:hint="default"/>
                <w:sz w:val="18"/>
                <w:szCs w:val="18"/>
              </w:rPr>
            </w:pPr>
            <w:r>
              <w:rPr>
                <w:rFonts w:ascii="宋体" w:hAnsi="宋体" w:cs="宋体" w:eastAsia="宋体" w:hint="default"/>
                <w:sz w:val="18"/>
                <w:szCs w:val="18"/>
              </w:rPr>
              <w:t>报告期末持</w:t>
            </w:r>
          </w:p>
          <w:p>
            <w:pPr>
              <w:pStyle w:val="TableParagraph"/>
              <w:spacing w:line="240" w:lineRule="auto" w:before="64"/>
              <w:ind w:right="28"/>
              <w:jc w:val="center"/>
              <w:rPr>
                <w:rFonts w:ascii="宋体" w:hAnsi="宋体" w:cs="宋体" w:eastAsia="宋体" w:hint="default"/>
                <w:sz w:val="18"/>
                <w:szCs w:val="18"/>
              </w:rPr>
            </w:pPr>
            <w:r>
              <w:rPr>
                <w:rFonts w:ascii="宋体" w:hAnsi="宋体" w:cs="宋体" w:eastAsia="宋体" w:hint="default"/>
                <w:sz w:val="18"/>
                <w:szCs w:val="18"/>
              </w:rPr>
              <w:t>股数量</w:t>
            </w:r>
          </w:p>
        </w:tc>
        <w:tc>
          <w:tcPr>
            <w:tcW w:w="1099" w:type="dxa"/>
            <w:vMerge w:val="restart"/>
            <w:tcBorders>
              <w:top w:val="nil" w:sz="6" w:space="0" w:color="auto"/>
              <w:left w:val="nil" w:sz="6" w:space="0" w:color="auto"/>
              <w:right w:val="nil" w:sz="6" w:space="0" w:color="auto"/>
            </w:tcBorders>
            <w:shd w:val="clear" w:color="auto" w:fill="D2D2D2"/>
          </w:tcPr>
          <w:p>
            <w:pPr>
              <w:pStyle w:val="TableParagraph"/>
              <w:spacing w:line="172" w:lineRule="exact"/>
              <w:ind w:left="63" w:right="0"/>
              <w:jc w:val="left"/>
              <w:rPr>
                <w:rFonts w:ascii="宋体" w:hAnsi="宋体" w:cs="宋体" w:eastAsia="宋体" w:hint="default"/>
                <w:sz w:val="18"/>
                <w:szCs w:val="18"/>
              </w:rPr>
            </w:pPr>
            <w:r>
              <w:rPr>
                <w:rFonts w:ascii="宋体" w:hAnsi="宋体" w:cs="宋体" w:eastAsia="宋体" w:hint="default"/>
                <w:sz w:val="18"/>
                <w:szCs w:val="18"/>
              </w:rPr>
              <w:t>报告期内增</w:t>
            </w:r>
          </w:p>
          <w:p>
            <w:pPr>
              <w:pStyle w:val="TableParagraph"/>
              <w:spacing w:line="240" w:lineRule="auto" w:before="64"/>
              <w:ind w:left="63" w:right="0"/>
              <w:jc w:val="left"/>
              <w:rPr>
                <w:rFonts w:ascii="宋体" w:hAnsi="宋体" w:cs="宋体" w:eastAsia="宋体" w:hint="default"/>
                <w:sz w:val="18"/>
                <w:szCs w:val="18"/>
              </w:rPr>
            </w:pPr>
            <w:r>
              <w:rPr>
                <w:rFonts w:ascii="宋体" w:hAnsi="宋体" w:cs="宋体" w:eastAsia="宋体" w:hint="default"/>
                <w:sz w:val="18"/>
                <w:szCs w:val="18"/>
              </w:rPr>
              <w:t>减变动情况</w:t>
            </w:r>
          </w:p>
        </w:tc>
        <w:tc>
          <w:tcPr>
            <w:tcW w:w="1023" w:type="dxa"/>
            <w:vMerge/>
            <w:tcBorders>
              <w:left w:val="nil" w:sz="6" w:space="0" w:color="auto"/>
              <w:right w:val="nil" w:sz="6" w:space="0" w:color="auto"/>
            </w:tcBorders>
            <w:shd w:val="clear" w:color="auto" w:fill="D2D2D2"/>
          </w:tcPr>
          <w:p>
            <w:pPr/>
          </w:p>
        </w:tc>
        <w:tc>
          <w:tcPr>
            <w:tcW w:w="923" w:type="dxa"/>
            <w:vMerge/>
            <w:tcBorders>
              <w:left w:val="nil" w:sz="6" w:space="0" w:color="auto"/>
              <w:right w:val="nil" w:sz="6" w:space="0" w:color="auto"/>
            </w:tcBorders>
            <w:shd w:val="clear" w:color="auto" w:fill="D2D2D2"/>
          </w:tcPr>
          <w:p>
            <w:pPr/>
          </w:p>
        </w:tc>
        <w:tc>
          <w:tcPr>
            <w:tcW w:w="1063" w:type="dxa"/>
            <w:tcBorders>
              <w:top w:val="nil" w:sz="6" w:space="0" w:color="auto"/>
              <w:left w:val="nil" w:sz="6" w:space="0" w:color="auto"/>
              <w:bottom w:val="nil" w:sz="6" w:space="0" w:color="auto"/>
              <w:right w:val="nil" w:sz="6" w:space="0" w:color="auto"/>
            </w:tcBorders>
            <w:shd w:val="clear" w:color="auto" w:fill="D2D2D2"/>
          </w:tcPr>
          <w:p>
            <w:pPr/>
          </w:p>
        </w:tc>
        <w:tc>
          <w:tcPr>
            <w:tcW w:w="1070" w:type="dxa"/>
            <w:tcBorders>
              <w:top w:val="nil" w:sz="6" w:space="0" w:color="auto"/>
              <w:left w:val="nil" w:sz="6" w:space="0" w:color="auto"/>
              <w:bottom w:val="nil" w:sz="6" w:space="0" w:color="auto"/>
              <w:right w:val="nil" w:sz="6" w:space="0" w:color="auto"/>
            </w:tcBorders>
            <w:shd w:val="clear" w:color="auto" w:fill="D2D2D2"/>
          </w:tcPr>
          <w:p>
            <w:pPr/>
          </w:p>
        </w:tc>
      </w:tr>
      <w:tr>
        <w:trPr>
          <w:trHeight w:val="260" w:hRule="exact"/>
        </w:trPr>
        <w:tc>
          <w:tcPr>
            <w:tcW w:w="1202" w:type="dxa"/>
            <w:tcBorders>
              <w:top w:val="nil" w:sz="6" w:space="0" w:color="auto"/>
              <w:left w:val="nil" w:sz="6" w:space="0" w:color="auto"/>
              <w:bottom w:val="nil" w:sz="6" w:space="0" w:color="auto"/>
              <w:right w:val="nil" w:sz="6" w:space="0" w:color="auto"/>
            </w:tcBorders>
            <w:shd w:val="clear" w:color="auto" w:fill="D2D2D2"/>
          </w:tcPr>
          <w:p>
            <w:pPr/>
          </w:p>
        </w:tc>
        <w:tc>
          <w:tcPr>
            <w:tcW w:w="1205" w:type="dxa"/>
            <w:tcBorders>
              <w:top w:val="nil" w:sz="6" w:space="0" w:color="auto"/>
              <w:left w:val="nil" w:sz="6" w:space="0" w:color="auto"/>
              <w:bottom w:val="nil" w:sz="6" w:space="0" w:color="auto"/>
              <w:right w:val="nil" w:sz="6" w:space="0" w:color="auto"/>
            </w:tcBorders>
            <w:shd w:val="clear" w:color="auto" w:fill="D2D2D2"/>
          </w:tcPr>
          <w:p>
            <w:pPr/>
          </w:p>
        </w:tc>
        <w:tc>
          <w:tcPr>
            <w:tcW w:w="924" w:type="dxa"/>
            <w:tcBorders>
              <w:top w:val="nil" w:sz="6" w:space="0" w:color="auto"/>
              <w:left w:val="nil" w:sz="6" w:space="0" w:color="auto"/>
              <w:bottom w:val="nil" w:sz="6" w:space="0" w:color="auto"/>
              <w:right w:val="nil" w:sz="6" w:space="0" w:color="auto"/>
            </w:tcBorders>
            <w:shd w:val="clear" w:color="auto" w:fill="D2D2D2"/>
          </w:tcPr>
          <w:p>
            <w:pPr/>
          </w:p>
        </w:tc>
        <w:tc>
          <w:tcPr>
            <w:tcW w:w="1074" w:type="dxa"/>
            <w:vMerge/>
            <w:tcBorders>
              <w:left w:val="nil" w:sz="6" w:space="0" w:color="auto"/>
              <w:right w:val="nil" w:sz="6" w:space="0" w:color="auto"/>
            </w:tcBorders>
            <w:shd w:val="clear" w:color="auto" w:fill="D2D2D2"/>
          </w:tcPr>
          <w:p>
            <w:pPr/>
          </w:p>
        </w:tc>
        <w:tc>
          <w:tcPr>
            <w:tcW w:w="1099" w:type="dxa"/>
            <w:vMerge/>
            <w:tcBorders>
              <w:left w:val="nil" w:sz="6" w:space="0" w:color="auto"/>
              <w:right w:val="nil" w:sz="6" w:space="0" w:color="auto"/>
            </w:tcBorders>
            <w:shd w:val="clear" w:color="auto" w:fill="D2D2D2"/>
          </w:tcPr>
          <w:p>
            <w:pPr/>
          </w:p>
        </w:tc>
        <w:tc>
          <w:tcPr>
            <w:tcW w:w="1023" w:type="dxa"/>
            <w:vMerge/>
            <w:tcBorders>
              <w:left w:val="nil" w:sz="6" w:space="0" w:color="auto"/>
              <w:right w:val="nil" w:sz="6" w:space="0" w:color="auto"/>
            </w:tcBorders>
            <w:shd w:val="clear" w:color="auto" w:fill="D2D2D2"/>
          </w:tcPr>
          <w:p>
            <w:pPr/>
          </w:p>
        </w:tc>
        <w:tc>
          <w:tcPr>
            <w:tcW w:w="923" w:type="dxa"/>
            <w:vMerge/>
            <w:tcBorders>
              <w:left w:val="nil" w:sz="6" w:space="0" w:color="auto"/>
              <w:right w:val="nil" w:sz="6" w:space="0" w:color="auto"/>
            </w:tcBorders>
            <w:shd w:val="clear" w:color="auto" w:fill="D2D2D2"/>
          </w:tcPr>
          <w:p>
            <w:pPr/>
          </w:p>
        </w:tc>
        <w:tc>
          <w:tcPr>
            <w:tcW w:w="1063" w:type="dxa"/>
            <w:tcBorders>
              <w:top w:val="nil" w:sz="6" w:space="0" w:color="auto"/>
              <w:left w:val="nil" w:sz="6" w:space="0" w:color="auto"/>
              <w:bottom w:val="nil" w:sz="6" w:space="0" w:color="auto"/>
              <w:right w:val="nil" w:sz="6" w:space="0" w:color="auto"/>
            </w:tcBorders>
            <w:shd w:val="clear" w:color="auto" w:fill="D2D2D2"/>
          </w:tcPr>
          <w:p>
            <w:pPr>
              <w:pStyle w:val="TableParagraph"/>
              <w:spacing w:line="195" w:lineRule="exact"/>
              <w:ind w:left="173"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70" w:type="dxa"/>
            <w:tcBorders>
              <w:top w:val="nil" w:sz="6" w:space="0" w:color="auto"/>
              <w:left w:val="nil" w:sz="6" w:space="0" w:color="auto"/>
              <w:bottom w:val="nil" w:sz="6" w:space="0" w:color="auto"/>
              <w:right w:val="nil" w:sz="6" w:space="0" w:color="auto"/>
            </w:tcBorders>
            <w:shd w:val="clear" w:color="auto" w:fill="D2D2D2"/>
          </w:tcPr>
          <w:p>
            <w:pPr>
              <w:pStyle w:val="TableParagraph"/>
              <w:spacing w:line="195" w:lineRule="exact"/>
              <w:ind w:left="356"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8" w:hRule="exact"/>
        </w:trPr>
        <w:tc>
          <w:tcPr>
            <w:tcW w:w="1202" w:type="dxa"/>
            <w:tcBorders>
              <w:top w:val="nil" w:sz="6" w:space="0" w:color="auto"/>
              <w:left w:val="nil" w:sz="6" w:space="0" w:color="auto"/>
              <w:bottom w:val="nil" w:sz="6" w:space="0" w:color="auto"/>
              <w:right w:val="nil" w:sz="6" w:space="0" w:color="auto"/>
            </w:tcBorders>
            <w:shd w:val="clear" w:color="auto" w:fill="D2D2D2"/>
          </w:tcPr>
          <w:p>
            <w:pPr/>
          </w:p>
        </w:tc>
        <w:tc>
          <w:tcPr>
            <w:tcW w:w="1205" w:type="dxa"/>
            <w:tcBorders>
              <w:top w:val="nil" w:sz="6" w:space="0" w:color="auto"/>
              <w:left w:val="nil" w:sz="6" w:space="0" w:color="auto"/>
              <w:bottom w:val="nil" w:sz="6" w:space="0" w:color="auto"/>
              <w:right w:val="nil" w:sz="6" w:space="0" w:color="auto"/>
            </w:tcBorders>
            <w:shd w:val="clear" w:color="auto" w:fill="D2D2D2"/>
          </w:tcPr>
          <w:p>
            <w:pPr/>
          </w:p>
        </w:tc>
        <w:tc>
          <w:tcPr>
            <w:tcW w:w="924" w:type="dxa"/>
            <w:tcBorders>
              <w:top w:val="nil" w:sz="6" w:space="0" w:color="auto"/>
              <w:left w:val="nil" w:sz="6" w:space="0" w:color="auto"/>
              <w:bottom w:val="nil" w:sz="6" w:space="0" w:color="auto"/>
              <w:right w:val="nil" w:sz="6" w:space="0" w:color="auto"/>
            </w:tcBorders>
            <w:shd w:val="clear" w:color="auto" w:fill="D2D2D2"/>
          </w:tcPr>
          <w:p>
            <w:pPr/>
          </w:p>
        </w:tc>
        <w:tc>
          <w:tcPr>
            <w:tcW w:w="1074" w:type="dxa"/>
            <w:vMerge/>
            <w:tcBorders>
              <w:left w:val="nil" w:sz="6" w:space="0" w:color="auto"/>
              <w:bottom w:val="nil" w:sz="6" w:space="0" w:color="auto"/>
              <w:right w:val="nil" w:sz="6" w:space="0" w:color="auto"/>
            </w:tcBorders>
            <w:shd w:val="clear" w:color="auto" w:fill="D2D2D2"/>
          </w:tcPr>
          <w:p>
            <w:pPr/>
          </w:p>
        </w:tc>
        <w:tc>
          <w:tcPr>
            <w:tcW w:w="1099" w:type="dxa"/>
            <w:vMerge/>
            <w:tcBorders>
              <w:left w:val="nil" w:sz="6" w:space="0" w:color="auto"/>
              <w:bottom w:val="nil" w:sz="6" w:space="0" w:color="auto"/>
              <w:right w:val="nil" w:sz="6" w:space="0" w:color="auto"/>
            </w:tcBorders>
            <w:shd w:val="clear" w:color="auto" w:fill="D2D2D2"/>
          </w:tcPr>
          <w:p>
            <w:pPr/>
          </w:p>
        </w:tc>
        <w:tc>
          <w:tcPr>
            <w:tcW w:w="1023" w:type="dxa"/>
            <w:vMerge/>
            <w:tcBorders>
              <w:left w:val="nil" w:sz="6" w:space="0" w:color="auto"/>
              <w:bottom w:val="nil" w:sz="6" w:space="0" w:color="auto"/>
              <w:right w:val="nil" w:sz="6" w:space="0" w:color="auto"/>
            </w:tcBorders>
            <w:shd w:val="clear" w:color="auto" w:fill="D2D2D2"/>
          </w:tcPr>
          <w:p>
            <w:pPr/>
          </w:p>
        </w:tc>
        <w:tc>
          <w:tcPr>
            <w:tcW w:w="923" w:type="dxa"/>
            <w:vMerge/>
            <w:tcBorders>
              <w:left w:val="nil" w:sz="6" w:space="0" w:color="auto"/>
              <w:bottom w:val="nil" w:sz="6" w:space="0" w:color="auto"/>
              <w:right w:val="nil" w:sz="6" w:space="0" w:color="auto"/>
            </w:tcBorders>
            <w:shd w:val="clear" w:color="auto" w:fill="D2D2D2"/>
          </w:tcPr>
          <w:p>
            <w:pPr/>
          </w:p>
        </w:tc>
        <w:tc>
          <w:tcPr>
            <w:tcW w:w="1063" w:type="dxa"/>
            <w:tcBorders>
              <w:top w:val="nil" w:sz="6" w:space="0" w:color="auto"/>
              <w:left w:val="nil" w:sz="6" w:space="0" w:color="auto"/>
              <w:bottom w:val="nil" w:sz="6" w:space="0" w:color="auto"/>
              <w:right w:val="nil" w:sz="6" w:space="0" w:color="auto"/>
            </w:tcBorders>
            <w:shd w:val="clear" w:color="auto" w:fill="D2D2D2"/>
          </w:tcPr>
          <w:p>
            <w:pPr/>
          </w:p>
        </w:tc>
        <w:tc>
          <w:tcPr>
            <w:tcW w:w="1070" w:type="dxa"/>
            <w:tcBorders>
              <w:top w:val="nil" w:sz="6" w:space="0" w:color="auto"/>
              <w:left w:val="nil" w:sz="6" w:space="0" w:color="auto"/>
              <w:bottom w:val="nil" w:sz="6" w:space="0" w:color="auto"/>
              <w:right w:val="nil" w:sz="6" w:space="0" w:color="auto"/>
            </w:tcBorders>
            <w:shd w:val="clear" w:color="auto" w:fill="D2D2D2"/>
          </w:tcPr>
          <w:p>
            <w:pPr/>
          </w:p>
        </w:tc>
      </w:tr>
      <w:tr>
        <w:trPr>
          <w:trHeight w:val="406" w:hRule="exact"/>
        </w:trPr>
        <w:tc>
          <w:tcPr>
            <w:tcW w:w="1202" w:type="dxa"/>
            <w:tcBorders>
              <w:top w:val="nil" w:sz="6" w:space="0" w:color="auto"/>
              <w:left w:val="nil" w:sz="6" w:space="0" w:color="auto"/>
              <w:bottom w:val="single" w:sz="6"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黄煜</w:t>
            </w:r>
          </w:p>
        </w:tc>
        <w:tc>
          <w:tcPr>
            <w:tcW w:w="1205" w:type="dxa"/>
            <w:tcBorders>
              <w:top w:val="nil" w:sz="6" w:space="0" w:color="auto"/>
              <w:left w:val="nil" w:sz="6" w:space="0" w:color="auto"/>
              <w:bottom w:val="single" w:sz="6" w:space="0" w:color="000000"/>
              <w:right w:val="nil" w:sz="6" w:space="0" w:color="auto"/>
            </w:tcBorders>
          </w:tcPr>
          <w:p>
            <w:pPr>
              <w:pStyle w:val="TableParagraph"/>
              <w:spacing w:line="240" w:lineRule="auto" w:before="52"/>
              <w:ind w:left="37"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4" w:type="dxa"/>
            <w:tcBorders>
              <w:top w:val="nil" w:sz="6" w:space="0" w:color="auto"/>
              <w:left w:val="nil" w:sz="6" w:space="0" w:color="auto"/>
              <w:bottom w:val="single" w:sz="6" w:space="0" w:color="000000"/>
              <w:right w:val="nil" w:sz="6" w:space="0" w:color="auto"/>
            </w:tcBorders>
          </w:tcPr>
          <w:p>
            <w:pPr>
              <w:pStyle w:val="TableParagraph"/>
              <w:spacing w:line="240" w:lineRule="auto" w:before="109"/>
              <w:ind w:right="32"/>
              <w:jc w:val="right"/>
              <w:rPr>
                <w:rFonts w:ascii="Times New Roman" w:hAnsi="Times New Roman" w:cs="Times New Roman" w:eastAsia="Times New Roman" w:hint="default"/>
                <w:sz w:val="18"/>
                <w:szCs w:val="18"/>
              </w:rPr>
            </w:pPr>
            <w:r>
              <w:rPr>
                <w:rFonts w:ascii="Times New Roman"/>
                <w:sz w:val="18"/>
              </w:rPr>
              <w:t>30.94%</w:t>
            </w:r>
          </w:p>
        </w:tc>
        <w:tc>
          <w:tcPr>
            <w:tcW w:w="1074" w:type="dxa"/>
            <w:tcBorders>
              <w:top w:val="nil" w:sz="6" w:space="0" w:color="auto"/>
              <w:left w:val="nil" w:sz="6" w:space="0" w:color="auto"/>
              <w:bottom w:val="single" w:sz="6" w:space="0" w:color="000000"/>
              <w:right w:val="nil" w:sz="6" w:space="0" w:color="auto"/>
            </w:tcBorders>
          </w:tcPr>
          <w:p>
            <w:pPr>
              <w:pStyle w:val="TableParagraph"/>
              <w:spacing w:line="240" w:lineRule="auto" w:before="109"/>
              <w:ind w:right="40"/>
              <w:jc w:val="right"/>
              <w:rPr>
                <w:rFonts w:ascii="Times New Roman" w:hAnsi="Times New Roman" w:cs="Times New Roman" w:eastAsia="Times New Roman" w:hint="default"/>
                <w:sz w:val="18"/>
                <w:szCs w:val="18"/>
              </w:rPr>
            </w:pPr>
            <w:r>
              <w:rPr>
                <w:rFonts w:ascii="Times New Roman"/>
                <w:sz w:val="18"/>
              </w:rPr>
              <w:t>129,359,446</w:t>
            </w:r>
          </w:p>
        </w:tc>
        <w:tc>
          <w:tcPr>
            <w:tcW w:w="1099" w:type="dxa"/>
            <w:tcBorders>
              <w:top w:val="nil" w:sz="6" w:space="0" w:color="auto"/>
              <w:left w:val="nil" w:sz="6" w:space="0" w:color="auto"/>
              <w:bottom w:val="single" w:sz="6" w:space="0" w:color="000000"/>
              <w:right w:val="nil" w:sz="6" w:space="0" w:color="auto"/>
            </w:tcBorders>
          </w:tcPr>
          <w:p>
            <w:pPr/>
          </w:p>
        </w:tc>
        <w:tc>
          <w:tcPr>
            <w:tcW w:w="1023" w:type="dxa"/>
            <w:tcBorders>
              <w:top w:val="nil" w:sz="6" w:space="0" w:color="auto"/>
              <w:left w:val="nil" w:sz="6" w:space="0" w:color="auto"/>
              <w:bottom w:val="single" w:sz="6" w:space="0" w:color="000000"/>
              <w:right w:val="nil" w:sz="6" w:space="0" w:color="auto"/>
            </w:tcBorders>
          </w:tcPr>
          <w:p>
            <w:pPr>
              <w:pStyle w:val="TableParagraph"/>
              <w:spacing w:line="240" w:lineRule="auto" w:before="109"/>
              <w:ind w:right="29"/>
              <w:jc w:val="right"/>
              <w:rPr>
                <w:rFonts w:ascii="Times New Roman" w:hAnsi="Times New Roman" w:cs="Times New Roman" w:eastAsia="Times New Roman" w:hint="default"/>
                <w:sz w:val="18"/>
                <w:szCs w:val="18"/>
              </w:rPr>
            </w:pPr>
            <w:r>
              <w:rPr>
                <w:rFonts w:ascii="Times New Roman"/>
                <w:sz w:val="18"/>
              </w:rPr>
              <w:t>100,019,584</w:t>
            </w:r>
          </w:p>
        </w:tc>
        <w:tc>
          <w:tcPr>
            <w:tcW w:w="923" w:type="dxa"/>
            <w:tcBorders>
              <w:top w:val="nil" w:sz="6" w:space="0" w:color="auto"/>
              <w:left w:val="nil" w:sz="6" w:space="0" w:color="auto"/>
              <w:bottom w:val="single" w:sz="6" w:space="0" w:color="000000"/>
              <w:right w:val="nil" w:sz="6" w:space="0" w:color="auto"/>
            </w:tcBorders>
          </w:tcPr>
          <w:p>
            <w:pPr>
              <w:pStyle w:val="TableParagraph"/>
              <w:spacing w:line="240" w:lineRule="auto" w:before="109"/>
              <w:ind w:right="21"/>
              <w:jc w:val="right"/>
              <w:rPr>
                <w:rFonts w:ascii="Times New Roman" w:hAnsi="Times New Roman" w:cs="Times New Roman" w:eastAsia="Times New Roman" w:hint="default"/>
                <w:sz w:val="18"/>
                <w:szCs w:val="18"/>
              </w:rPr>
            </w:pPr>
            <w:r>
              <w:rPr>
                <w:rFonts w:ascii="Times New Roman"/>
                <w:sz w:val="18"/>
              </w:rPr>
              <w:t>29,339,862</w:t>
            </w:r>
          </w:p>
        </w:tc>
        <w:tc>
          <w:tcPr>
            <w:tcW w:w="1063" w:type="dxa"/>
            <w:tcBorders>
              <w:top w:val="nil" w:sz="6" w:space="0" w:color="auto"/>
              <w:left w:val="nil" w:sz="6" w:space="0" w:color="auto"/>
              <w:bottom w:val="single" w:sz="6" w:space="0" w:color="000000"/>
              <w:right w:val="nil" w:sz="6" w:space="0" w:color="auto"/>
            </w:tcBorders>
          </w:tcPr>
          <w:p>
            <w:pPr/>
          </w:p>
        </w:tc>
        <w:tc>
          <w:tcPr>
            <w:tcW w:w="1070" w:type="dxa"/>
            <w:tcBorders>
              <w:top w:val="nil" w:sz="6" w:space="0" w:color="auto"/>
              <w:left w:val="nil" w:sz="6" w:space="0" w:color="auto"/>
              <w:bottom w:val="single" w:sz="6" w:space="0" w:color="000000"/>
              <w:right w:val="nil" w:sz="6" w:space="0" w:color="auto"/>
            </w:tcBorders>
          </w:tcPr>
          <w:p>
            <w:pPr/>
          </w:p>
        </w:tc>
      </w:tr>
      <w:tr>
        <w:trPr>
          <w:trHeight w:val="405" w:hRule="exact"/>
        </w:trPr>
        <w:tc>
          <w:tcPr>
            <w:tcW w:w="1202" w:type="dxa"/>
            <w:tcBorders>
              <w:top w:val="single" w:sz="6" w:space="0" w:color="000000"/>
              <w:left w:val="nil" w:sz="6" w:space="0" w:color="auto"/>
              <w:bottom w:val="single" w:sz="6" w:space="0" w:color="000000"/>
              <w:right w:val="nil" w:sz="6" w:space="0" w:color="auto"/>
            </w:tcBorders>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李伟</w:t>
            </w:r>
          </w:p>
        </w:tc>
        <w:tc>
          <w:tcPr>
            <w:tcW w:w="1205" w:type="dxa"/>
            <w:tcBorders>
              <w:top w:val="single" w:sz="6" w:space="0" w:color="000000"/>
              <w:left w:val="nil" w:sz="6" w:space="0" w:color="auto"/>
              <w:bottom w:val="single" w:sz="6" w:space="0" w:color="000000"/>
              <w:right w:val="nil" w:sz="6" w:space="0" w:color="auto"/>
            </w:tcBorders>
          </w:tcPr>
          <w:p>
            <w:pPr>
              <w:pStyle w:val="TableParagraph"/>
              <w:spacing w:line="240" w:lineRule="auto" w:before="44"/>
              <w:ind w:left="37"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4"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32"/>
              <w:jc w:val="right"/>
              <w:rPr>
                <w:rFonts w:ascii="Times New Roman" w:hAnsi="Times New Roman" w:cs="Times New Roman" w:eastAsia="Times New Roman" w:hint="default"/>
                <w:sz w:val="18"/>
                <w:szCs w:val="18"/>
              </w:rPr>
            </w:pPr>
            <w:r>
              <w:rPr>
                <w:rFonts w:ascii="Times New Roman"/>
                <w:sz w:val="18"/>
              </w:rPr>
              <w:t>13.38%</w:t>
            </w:r>
          </w:p>
        </w:tc>
        <w:tc>
          <w:tcPr>
            <w:tcW w:w="1074"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40"/>
              <w:jc w:val="right"/>
              <w:rPr>
                <w:rFonts w:ascii="Times New Roman" w:hAnsi="Times New Roman" w:cs="Times New Roman" w:eastAsia="Times New Roman" w:hint="default"/>
                <w:sz w:val="18"/>
                <w:szCs w:val="18"/>
              </w:rPr>
            </w:pPr>
            <w:r>
              <w:rPr>
                <w:rFonts w:ascii="Times New Roman"/>
                <w:sz w:val="18"/>
              </w:rPr>
              <w:t>55,917,628</w:t>
            </w:r>
          </w:p>
        </w:tc>
        <w:tc>
          <w:tcPr>
            <w:tcW w:w="1099" w:type="dxa"/>
            <w:tcBorders>
              <w:top w:val="single" w:sz="6" w:space="0" w:color="000000"/>
              <w:left w:val="nil" w:sz="6" w:space="0" w:color="auto"/>
              <w:bottom w:val="single" w:sz="6" w:space="0" w:color="000000"/>
              <w:right w:val="nil" w:sz="6" w:space="0" w:color="auto"/>
            </w:tcBorders>
          </w:tcPr>
          <w:p>
            <w:pPr/>
          </w:p>
        </w:tc>
        <w:tc>
          <w:tcPr>
            <w:tcW w:w="1023"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41,938,221</w:t>
            </w:r>
          </w:p>
        </w:tc>
        <w:tc>
          <w:tcPr>
            <w:tcW w:w="923"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13,979,407</w:t>
            </w:r>
          </w:p>
        </w:tc>
        <w:tc>
          <w:tcPr>
            <w:tcW w:w="1063" w:type="dxa"/>
            <w:tcBorders>
              <w:top w:val="single" w:sz="6" w:space="0" w:color="000000"/>
              <w:left w:val="nil" w:sz="6" w:space="0" w:color="auto"/>
              <w:bottom w:val="single" w:sz="6" w:space="0" w:color="000000"/>
              <w:right w:val="nil" w:sz="6" w:space="0" w:color="auto"/>
            </w:tcBorders>
          </w:tcPr>
          <w:p>
            <w:pPr/>
          </w:p>
        </w:tc>
        <w:tc>
          <w:tcPr>
            <w:tcW w:w="1070" w:type="dxa"/>
            <w:tcBorders>
              <w:top w:val="single" w:sz="6" w:space="0" w:color="000000"/>
              <w:left w:val="nil" w:sz="6" w:space="0" w:color="auto"/>
              <w:bottom w:val="single" w:sz="6" w:space="0" w:color="000000"/>
              <w:right w:val="nil" w:sz="6" w:space="0" w:color="auto"/>
            </w:tcBorders>
          </w:tcPr>
          <w:p>
            <w:pPr/>
          </w:p>
        </w:tc>
      </w:tr>
      <w:tr>
        <w:trPr>
          <w:trHeight w:val="390" w:hRule="exact"/>
        </w:trPr>
        <w:tc>
          <w:tcPr>
            <w:tcW w:w="1202" w:type="dxa"/>
            <w:tcBorders>
              <w:top w:val="single" w:sz="6" w:space="0" w:color="000000"/>
              <w:left w:val="nil" w:sz="6" w:space="0" w:color="auto"/>
              <w:bottom w:val="single" w:sz="6" w:space="0" w:color="000000"/>
              <w:right w:val="nil" w:sz="6" w:space="0" w:color="auto"/>
            </w:tcBorders>
          </w:tcPr>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z w:val="18"/>
                <w:szCs w:val="18"/>
              </w:rPr>
              <w:t>陆舟</w:t>
            </w:r>
          </w:p>
        </w:tc>
        <w:tc>
          <w:tcPr>
            <w:tcW w:w="1205" w:type="dxa"/>
            <w:tcBorders>
              <w:top w:val="single" w:sz="6" w:space="0" w:color="000000"/>
              <w:left w:val="nil" w:sz="6" w:space="0" w:color="auto"/>
              <w:bottom w:val="single" w:sz="6" w:space="0" w:color="000000"/>
              <w:right w:val="nil" w:sz="6" w:space="0" w:color="auto"/>
            </w:tcBorders>
          </w:tcPr>
          <w:p>
            <w:pPr>
              <w:pStyle w:val="TableParagraph"/>
              <w:spacing w:line="240" w:lineRule="auto" w:before="30"/>
              <w:ind w:left="37"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4" w:type="dxa"/>
            <w:tcBorders>
              <w:top w:val="single" w:sz="6" w:space="0" w:color="000000"/>
              <w:left w:val="nil" w:sz="6" w:space="0" w:color="auto"/>
              <w:bottom w:val="single" w:sz="6" w:space="0" w:color="000000"/>
              <w:right w:val="nil" w:sz="6" w:space="0" w:color="auto"/>
            </w:tcBorders>
          </w:tcPr>
          <w:p>
            <w:pPr>
              <w:pStyle w:val="TableParagraph"/>
              <w:spacing w:line="240" w:lineRule="auto" w:before="87"/>
              <w:ind w:right="32"/>
              <w:jc w:val="right"/>
              <w:rPr>
                <w:rFonts w:ascii="Times New Roman" w:hAnsi="Times New Roman" w:cs="Times New Roman" w:eastAsia="Times New Roman" w:hint="default"/>
                <w:sz w:val="18"/>
                <w:szCs w:val="18"/>
              </w:rPr>
            </w:pPr>
            <w:r>
              <w:rPr>
                <w:rFonts w:ascii="Times New Roman"/>
                <w:sz w:val="18"/>
              </w:rPr>
              <w:t>12.59%</w:t>
            </w:r>
          </w:p>
        </w:tc>
        <w:tc>
          <w:tcPr>
            <w:tcW w:w="1074" w:type="dxa"/>
            <w:tcBorders>
              <w:top w:val="single" w:sz="6" w:space="0" w:color="000000"/>
              <w:left w:val="nil" w:sz="6" w:space="0" w:color="auto"/>
              <w:bottom w:val="single" w:sz="6" w:space="0" w:color="000000"/>
              <w:right w:val="nil" w:sz="6" w:space="0" w:color="auto"/>
            </w:tcBorders>
          </w:tcPr>
          <w:p>
            <w:pPr>
              <w:pStyle w:val="TableParagraph"/>
              <w:spacing w:line="240" w:lineRule="auto" w:before="87"/>
              <w:ind w:right="40"/>
              <w:jc w:val="right"/>
              <w:rPr>
                <w:rFonts w:ascii="Times New Roman" w:hAnsi="Times New Roman" w:cs="Times New Roman" w:eastAsia="Times New Roman" w:hint="default"/>
                <w:sz w:val="18"/>
                <w:szCs w:val="18"/>
              </w:rPr>
            </w:pPr>
            <w:r>
              <w:rPr>
                <w:rFonts w:ascii="Times New Roman"/>
                <w:sz w:val="18"/>
              </w:rPr>
              <w:t>52,634,756</w:t>
            </w:r>
          </w:p>
        </w:tc>
        <w:tc>
          <w:tcPr>
            <w:tcW w:w="1099" w:type="dxa"/>
            <w:tcBorders>
              <w:top w:val="single" w:sz="6" w:space="0" w:color="000000"/>
              <w:left w:val="nil" w:sz="6" w:space="0" w:color="auto"/>
              <w:bottom w:val="single" w:sz="6" w:space="0" w:color="000000"/>
              <w:right w:val="nil" w:sz="6" w:space="0" w:color="auto"/>
            </w:tcBorders>
          </w:tcPr>
          <w:p>
            <w:pPr/>
          </w:p>
        </w:tc>
        <w:tc>
          <w:tcPr>
            <w:tcW w:w="1023" w:type="dxa"/>
            <w:tcBorders>
              <w:top w:val="single" w:sz="6" w:space="0" w:color="000000"/>
              <w:left w:val="nil" w:sz="6" w:space="0" w:color="auto"/>
              <w:bottom w:val="single" w:sz="6" w:space="0" w:color="000000"/>
              <w:right w:val="nil" w:sz="6" w:space="0" w:color="auto"/>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39,476,067</w:t>
            </w:r>
          </w:p>
        </w:tc>
        <w:tc>
          <w:tcPr>
            <w:tcW w:w="923" w:type="dxa"/>
            <w:tcBorders>
              <w:top w:val="single" w:sz="6" w:space="0" w:color="000000"/>
              <w:left w:val="nil" w:sz="6" w:space="0" w:color="auto"/>
              <w:bottom w:val="single" w:sz="6" w:space="0" w:color="000000"/>
              <w:right w:val="nil" w:sz="6" w:space="0" w:color="auto"/>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z w:val="18"/>
              </w:rPr>
              <w:t>13,158,689</w:t>
            </w:r>
          </w:p>
        </w:tc>
        <w:tc>
          <w:tcPr>
            <w:tcW w:w="1063" w:type="dxa"/>
            <w:tcBorders>
              <w:top w:val="single" w:sz="6" w:space="0" w:color="000000"/>
              <w:left w:val="nil" w:sz="6" w:space="0" w:color="auto"/>
              <w:bottom w:val="single" w:sz="6" w:space="0" w:color="000000"/>
              <w:right w:val="nil" w:sz="6" w:space="0" w:color="auto"/>
            </w:tcBorders>
          </w:tcPr>
          <w:p>
            <w:pPr/>
          </w:p>
        </w:tc>
        <w:tc>
          <w:tcPr>
            <w:tcW w:w="1070" w:type="dxa"/>
            <w:tcBorders>
              <w:top w:val="single" w:sz="6" w:space="0" w:color="000000"/>
              <w:left w:val="nil" w:sz="6" w:space="0" w:color="auto"/>
              <w:bottom w:val="single" w:sz="6" w:space="0" w:color="000000"/>
              <w:right w:val="nil" w:sz="6" w:space="0" w:color="auto"/>
            </w:tcBorders>
          </w:tcPr>
          <w:p>
            <w:pPr/>
          </w:p>
        </w:tc>
      </w:tr>
      <w:tr>
        <w:trPr>
          <w:trHeight w:val="405" w:hRule="exact"/>
        </w:trPr>
        <w:tc>
          <w:tcPr>
            <w:tcW w:w="1202" w:type="dxa"/>
            <w:tcBorders>
              <w:top w:val="single" w:sz="6" w:space="0" w:color="000000"/>
              <w:left w:val="nil" w:sz="6" w:space="0" w:color="auto"/>
              <w:bottom w:val="single" w:sz="6" w:space="0" w:color="000000"/>
              <w:right w:val="nil" w:sz="6" w:space="0" w:color="auto"/>
            </w:tcBorders>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韩雪峰</w:t>
            </w:r>
          </w:p>
        </w:tc>
        <w:tc>
          <w:tcPr>
            <w:tcW w:w="1205" w:type="dxa"/>
            <w:tcBorders>
              <w:top w:val="single" w:sz="6" w:space="0" w:color="000000"/>
              <w:left w:val="nil" w:sz="6" w:space="0" w:color="auto"/>
              <w:bottom w:val="single" w:sz="6" w:space="0" w:color="000000"/>
              <w:right w:val="nil" w:sz="6" w:space="0" w:color="auto"/>
            </w:tcBorders>
          </w:tcPr>
          <w:p>
            <w:pPr>
              <w:pStyle w:val="TableParagraph"/>
              <w:spacing w:line="240" w:lineRule="auto" w:before="44"/>
              <w:ind w:left="37"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4"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32"/>
              <w:jc w:val="right"/>
              <w:rPr>
                <w:rFonts w:ascii="Times New Roman" w:hAnsi="Times New Roman" w:cs="Times New Roman" w:eastAsia="Times New Roman" w:hint="default"/>
                <w:sz w:val="18"/>
                <w:szCs w:val="18"/>
              </w:rPr>
            </w:pPr>
            <w:r>
              <w:rPr>
                <w:rFonts w:ascii="Times New Roman"/>
                <w:w w:val="95"/>
                <w:sz w:val="18"/>
              </w:rPr>
              <w:t>3.71%</w:t>
            </w:r>
            <w:r>
              <w:rPr>
                <w:rFonts w:ascii="Times New Roman"/>
                <w:sz w:val="18"/>
              </w:rPr>
            </w:r>
          </w:p>
        </w:tc>
        <w:tc>
          <w:tcPr>
            <w:tcW w:w="1074"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40"/>
              <w:jc w:val="right"/>
              <w:rPr>
                <w:rFonts w:ascii="Times New Roman" w:hAnsi="Times New Roman" w:cs="Times New Roman" w:eastAsia="Times New Roman" w:hint="default"/>
                <w:sz w:val="18"/>
                <w:szCs w:val="18"/>
              </w:rPr>
            </w:pPr>
            <w:r>
              <w:rPr>
                <w:rFonts w:ascii="Times New Roman"/>
                <w:sz w:val="18"/>
              </w:rPr>
              <w:t>15,524,734</w:t>
            </w:r>
          </w:p>
        </w:tc>
        <w:tc>
          <w:tcPr>
            <w:tcW w:w="1099" w:type="dxa"/>
            <w:tcBorders>
              <w:top w:val="single" w:sz="6" w:space="0" w:color="000000"/>
              <w:left w:val="nil" w:sz="6" w:space="0" w:color="auto"/>
              <w:bottom w:val="single" w:sz="6" w:space="0" w:color="000000"/>
              <w:right w:val="nil" w:sz="6" w:space="0" w:color="auto"/>
            </w:tcBorders>
          </w:tcPr>
          <w:p>
            <w:pPr/>
          </w:p>
        </w:tc>
        <w:tc>
          <w:tcPr>
            <w:tcW w:w="1023"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15,521,050</w:t>
            </w:r>
          </w:p>
        </w:tc>
        <w:tc>
          <w:tcPr>
            <w:tcW w:w="923"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3,684</w:t>
            </w:r>
          </w:p>
        </w:tc>
        <w:tc>
          <w:tcPr>
            <w:tcW w:w="1063" w:type="dxa"/>
            <w:tcBorders>
              <w:top w:val="single" w:sz="6" w:space="0" w:color="000000"/>
              <w:left w:val="nil" w:sz="6" w:space="0" w:color="auto"/>
              <w:bottom w:val="single" w:sz="6" w:space="0" w:color="000000"/>
              <w:right w:val="nil" w:sz="6" w:space="0" w:color="auto"/>
            </w:tcBorders>
          </w:tcPr>
          <w:p>
            <w:pPr/>
          </w:p>
        </w:tc>
        <w:tc>
          <w:tcPr>
            <w:tcW w:w="1070" w:type="dxa"/>
            <w:tcBorders>
              <w:top w:val="single" w:sz="6" w:space="0" w:color="000000"/>
              <w:left w:val="nil" w:sz="6" w:space="0" w:color="auto"/>
              <w:bottom w:val="single" w:sz="6" w:space="0" w:color="000000"/>
              <w:right w:val="nil" w:sz="6" w:space="0" w:color="auto"/>
            </w:tcBorders>
          </w:tcPr>
          <w:p>
            <w:pPr/>
          </w:p>
        </w:tc>
      </w:tr>
      <w:tr>
        <w:trPr>
          <w:trHeight w:val="1021" w:hRule="exact"/>
        </w:trPr>
        <w:tc>
          <w:tcPr>
            <w:tcW w:w="1202" w:type="dxa"/>
            <w:tcBorders>
              <w:top w:val="single" w:sz="6" w:space="0" w:color="000000"/>
              <w:left w:val="nil" w:sz="6" w:space="0" w:color="auto"/>
              <w:bottom w:val="single" w:sz="6" w:space="0" w:color="000000"/>
              <w:right w:val="nil" w:sz="6" w:space="0" w:color="auto"/>
            </w:tcBorders>
          </w:tcPr>
          <w:p>
            <w:pPr>
              <w:pStyle w:val="TableParagraph"/>
              <w:spacing w:line="314" w:lineRule="auto" w:before="45"/>
              <w:ind w:left="22" w:right="98"/>
              <w:jc w:val="both"/>
              <w:rPr>
                <w:rFonts w:ascii="宋体" w:hAnsi="宋体" w:cs="宋体" w:eastAsia="宋体" w:hint="default"/>
                <w:sz w:val="18"/>
                <w:szCs w:val="18"/>
              </w:rPr>
            </w:pPr>
            <w:r>
              <w:rPr>
                <w:rFonts w:ascii="宋体" w:hAnsi="宋体" w:cs="宋体" w:eastAsia="宋体" w:hint="default"/>
                <w:sz w:val="18"/>
                <w:szCs w:val="18"/>
              </w:rPr>
              <w:t>中央汇金资产 管理有限责任 公司</w:t>
            </w:r>
          </w:p>
        </w:tc>
        <w:tc>
          <w:tcPr>
            <w:tcW w:w="1205" w:type="dxa"/>
            <w:tcBorders>
              <w:top w:val="single" w:sz="6" w:space="0" w:color="000000"/>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7"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24" w:type="dxa"/>
            <w:tcBorders>
              <w:top w:val="single" w:sz="6" w:space="0" w:color="000000"/>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w w:val="95"/>
                <w:sz w:val="18"/>
              </w:rPr>
              <w:t>1.33%</w:t>
            </w:r>
            <w:r>
              <w:rPr>
                <w:rFonts w:ascii="Times New Roman"/>
                <w:sz w:val="18"/>
              </w:rPr>
            </w:r>
          </w:p>
        </w:tc>
        <w:tc>
          <w:tcPr>
            <w:tcW w:w="1074" w:type="dxa"/>
            <w:tcBorders>
              <w:top w:val="single" w:sz="6" w:space="0" w:color="000000"/>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40"/>
              <w:jc w:val="right"/>
              <w:rPr>
                <w:rFonts w:ascii="Times New Roman" w:hAnsi="Times New Roman" w:cs="Times New Roman" w:eastAsia="Times New Roman" w:hint="default"/>
                <w:sz w:val="18"/>
                <w:szCs w:val="18"/>
              </w:rPr>
            </w:pPr>
            <w:r>
              <w:rPr>
                <w:rFonts w:ascii="Times New Roman"/>
                <w:sz w:val="18"/>
              </w:rPr>
              <w:t>5,545,400</w:t>
            </w:r>
          </w:p>
        </w:tc>
        <w:tc>
          <w:tcPr>
            <w:tcW w:w="1099" w:type="dxa"/>
            <w:tcBorders>
              <w:top w:val="single" w:sz="6" w:space="0" w:color="000000"/>
              <w:left w:val="nil" w:sz="6" w:space="0" w:color="auto"/>
              <w:bottom w:val="single" w:sz="6" w:space="0" w:color="000000"/>
              <w:right w:val="nil" w:sz="6" w:space="0" w:color="auto"/>
            </w:tcBorders>
          </w:tcPr>
          <w:p>
            <w:pPr/>
          </w:p>
        </w:tc>
        <w:tc>
          <w:tcPr>
            <w:tcW w:w="1023" w:type="dxa"/>
            <w:tcBorders>
              <w:top w:val="single" w:sz="6" w:space="0" w:color="000000"/>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923" w:type="dxa"/>
            <w:tcBorders>
              <w:top w:val="single" w:sz="6" w:space="0" w:color="000000"/>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5,545,400</w:t>
            </w:r>
          </w:p>
        </w:tc>
        <w:tc>
          <w:tcPr>
            <w:tcW w:w="1063" w:type="dxa"/>
            <w:tcBorders>
              <w:top w:val="single" w:sz="6" w:space="0" w:color="000000"/>
              <w:left w:val="nil" w:sz="6" w:space="0" w:color="auto"/>
              <w:bottom w:val="single" w:sz="6" w:space="0" w:color="000000"/>
              <w:right w:val="nil" w:sz="6" w:space="0" w:color="auto"/>
            </w:tcBorders>
          </w:tcPr>
          <w:p>
            <w:pPr/>
          </w:p>
        </w:tc>
        <w:tc>
          <w:tcPr>
            <w:tcW w:w="1070" w:type="dxa"/>
            <w:tcBorders>
              <w:top w:val="single" w:sz="6" w:space="0" w:color="000000"/>
              <w:left w:val="nil" w:sz="6" w:space="0" w:color="auto"/>
              <w:bottom w:val="single" w:sz="6" w:space="0" w:color="000000"/>
              <w:right w:val="nil" w:sz="6" w:space="0" w:color="auto"/>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02"/>
        <w:gridCol w:w="1202"/>
        <w:gridCol w:w="931"/>
        <w:gridCol w:w="1066"/>
        <w:gridCol w:w="1066"/>
        <w:gridCol w:w="1051"/>
        <w:gridCol w:w="931"/>
        <w:gridCol w:w="1067"/>
        <w:gridCol w:w="1066"/>
      </w:tblGrid>
      <w:tr>
        <w:trPr>
          <w:trHeight w:val="405"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于华章</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0.58%</w:t>
            </w:r>
            <w:r>
              <w:rPr>
                <w:rFonts w:ascii="Times New Roman"/>
                <w:sz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2,433,704</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1,825,278</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608,426</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李春生</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0.43%</w:t>
            </w:r>
            <w:r>
              <w:rPr>
                <w:rFonts w:ascii="Times New Roman"/>
                <w:sz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1,809,172</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1,809,172</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1336"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5" w:right="89"/>
              <w:jc w:val="both"/>
              <w:rPr>
                <w:rFonts w:ascii="宋体" w:hAnsi="宋体" w:cs="宋体" w:eastAsia="宋体" w:hint="default"/>
                <w:sz w:val="18"/>
                <w:szCs w:val="18"/>
              </w:rPr>
            </w:pPr>
            <w:r>
              <w:rPr>
                <w:rFonts w:ascii="宋体" w:hAnsi="宋体" w:cs="宋体" w:eastAsia="宋体" w:hint="default"/>
                <w:sz w:val="18"/>
                <w:szCs w:val="18"/>
              </w:rPr>
              <w:t>常州高新技术 产业开发区常 能电器有限公 司</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38"/>
              <w:ind w:left="30" w:right="74"/>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28"/>
              <w:jc w:val="right"/>
              <w:rPr>
                <w:rFonts w:ascii="Times New Roman" w:hAnsi="Times New Roman" w:cs="Times New Roman" w:eastAsia="Times New Roman" w:hint="default"/>
                <w:sz w:val="18"/>
                <w:szCs w:val="18"/>
              </w:rPr>
            </w:pPr>
            <w:r>
              <w:rPr>
                <w:rFonts w:ascii="Times New Roman"/>
                <w:w w:val="95"/>
                <w:sz w:val="18"/>
              </w:rPr>
              <w:t>0.31%</w:t>
            </w:r>
            <w:r>
              <w:rPr>
                <w:rFonts w:ascii="Times New Roman"/>
                <w:sz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30"/>
              <w:jc w:val="right"/>
              <w:rPr>
                <w:rFonts w:ascii="Times New Roman" w:hAnsi="Times New Roman" w:cs="Times New Roman" w:eastAsia="Times New Roman" w:hint="default"/>
                <w:sz w:val="18"/>
                <w:szCs w:val="18"/>
              </w:rPr>
            </w:pPr>
            <w:r>
              <w:rPr>
                <w:rFonts w:ascii="Times New Roman"/>
                <w:sz w:val="18"/>
              </w:rPr>
              <w:t>1,300,000</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4"/>
              <w:jc w:val="right"/>
              <w:rPr>
                <w:rFonts w:ascii="Times New Roman" w:hAnsi="Times New Roman" w:cs="Times New Roman" w:eastAsia="Times New Roman" w:hint="default"/>
                <w:sz w:val="18"/>
                <w:szCs w:val="18"/>
              </w:rPr>
            </w:pPr>
            <w:r>
              <w:rPr>
                <w:rFonts w:ascii="Times New Roman"/>
                <w:sz w:val="18"/>
              </w:rPr>
              <w:t>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3"/>
              <w:jc w:val="right"/>
              <w:rPr>
                <w:rFonts w:ascii="Times New Roman" w:hAnsi="Times New Roman" w:cs="Times New Roman" w:eastAsia="Times New Roman" w:hint="default"/>
                <w:sz w:val="18"/>
                <w:szCs w:val="18"/>
              </w:rPr>
            </w:pPr>
            <w:r>
              <w:rPr>
                <w:rFonts w:ascii="Times New Roman"/>
                <w:sz w:val="18"/>
              </w:rPr>
              <w:t>1,300,000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刘佳玉</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0.28%</w:t>
            </w:r>
            <w:r>
              <w:rPr>
                <w:rFonts w:ascii="Times New Roman"/>
                <w:sz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1,178,968</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1,178,968</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沈同兵</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0.28%</w:t>
            </w:r>
            <w:r>
              <w:rPr>
                <w:rFonts w:ascii="Times New Roman"/>
                <w:sz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1,175,000</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1,175,000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240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before="44"/>
              <w:ind w:left="15" w:right="31"/>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名股东的情况</w:t>
            </w:r>
          </w:p>
          <w:p>
            <w:pPr>
              <w:pStyle w:val="TableParagraph"/>
              <w:spacing w:line="220" w:lineRule="exact"/>
              <w:ind w:left="15"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179" w:type="dxa"/>
            <w:gridSpan w:val="7"/>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06" w:hRule="exact"/>
        </w:trPr>
        <w:tc>
          <w:tcPr>
            <w:tcW w:w="240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31"/>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179" w:type="dxa"/>
            <w:gridSpan w:val="7"/>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公司未知前十名股东之间是否存在关联关系，也未知是否属于一致行动人。</w:t>
            </w:r>
          </w:p>
        </w:tc>
      </w:tr>
      <w:tr>
        <w:trPr>
          <w:trHeight w:val="405" w:hRule="exact"/>
        </w:trPr>
        <w:tc>
          <w:tcPr>
            <w:tcW w:w="9582"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 w:right="15"/>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398" w:hRule="exact"/>
        </w:trPr>
        <w:tc>
          <w:tcPr>
            <w:tcW w:w="2403"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046" w:type="dxa"/>
            <w:gridSpan w:val="5"/>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156"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1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06"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413" w:hRule="exact"/>
        </w:trPr>
        <w:tc>
          <w:tcPr>
            <w:tcW w:w="2403" w:type="dxa"/>
            <w:gridSpan w:val="2"/>
            <w:vMerge/>
            <w:tcBorders>
              <w:left w:val="single" w:sz="6" w:space="0" w:color="000000"/>
              <w:bottom w:val="single" w:sz="6" w:space="0" w:color="000000"/>
              <w:right w:val="single" w:sz="6" w:space="0" w:color="000000"/>
            </w:tcBorders>
            <w:shd w:val="clear" w:color="auto" w:fill="D2D2D2"/>
          </w:tcPr>
          <w:p>
            <w:pPr/>
          </w:p>
        </w:tc>
        <w:tc>
          <w:tcPr>
            <w:tcW w:w="5046" w:type="dxa"/>
            <w:gridSpan w:val="5"/>
            <w:vMerge/>
            <w:tcBorders>
              <w:left w:val="single" w:sz="6" w:space="0" w:color="000000"/>
              <w:bottom w:val="single" w:sz="6" w:space="0" w:color="000000"/>
              <w:right w:val="single" w:sz="6" w:space="0" w:color="000000"/>
            </w:tcBorders>
            <w:shd w:val="clear" w:color="auto" w:fill="D2D2D2"/>
          </w:tcPr>
          <w:p>
            <w:pP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165"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705" w:hRule="exact"/>
        </w:trPr>
        <w:tc>
          <w:tcPr>
            <w:tcW w:w="240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黄煜</w:t>
            </w:r>
          </w:p>
        </w:tc>
        <w:tc>
          <w:tcPr>
            <w:tcW w:w="5046"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29,339,862</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12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40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李伟</w:t>
            </w:r>
          </w:p>
        </w:tc>
        <w:tc>
          <w:tcPr>
            <w:tcW w:w="5046"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13,979,407</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30" w:right="12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40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陆舟</w:t>
            </w:r>
          </w:p>
        </w:tc>
        <w:tc>
          <w:tcPr>
            <w:tcW w:w="5046"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13,158,689</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12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403" w:type="dxa"/>
            <w:gridSpan w:val="2"/>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31"/>
              <w:jc w:val="left"/>
              <w:rPr>
                <w:rFonts w:ascii="宋体" w:hAnsi="宋体" w:cs="宋体" w:eastAsia="宋体" w:hint="default"/>
                <w:sz w:val="18"/>
                <w:szCs w:val="18"/>
              </w:rPr>
            </w:pPr>
            <w:r>
              <w:rPr>
                <w:rFonts w:ascii="宋体" w:hAnsi="宋体" w:cs="宋体" w:eastAsia="宋体" w:hint="default"/>
                <w:sz w:val="18"/>
                <w:szCs w:val="18"/>
              </w:rPr>
              <w:t>中央汇金资产管理有限责任公 司</w:t>
            </w:r>
          </w:p>
        </w:tc>
        <w:tc>
          <w:tcPr>
            <w:tcW w:w="5046"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5,545,400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12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40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李春生</w:t>
            </w:r>
          </w:p>
        </w:tc>
        <w:tc>
          <w:tcPr>
            <w:tcW w:w="5046"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1,809,172</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12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403" w:type="dxa"/>
            <w:gridSpan w:val="2"/>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31"/>
              <w:jc w:val="left"/>
              <w:rPr>
                <w:rFonts w:ascii="宋体" w:hAnsi="宋体" w:cs="宋体" w:eastAsia="宋体" w:hint="default"/>
                <w:sz w:val="18"/>
                <w:szCs w:val="18"/>
              </w:rPr>
            </w:pPr>
            <w:r>
              <w:rPr>
                <w:rFonts w:ascii="宋体" w:hAnsi="宋体" w:cs="宋体" w:eastAsia="宋体" w:hint="default"/>
                <w:sz w:val="18"/>
                <w:szCs w:val="18"/>
              </w:rPr>
              <w:t>常州高新技术产业开发区常能 电器有限公司</w:t>
            </w:r>
          </w:p>
        </w:tc>
        <w:tc>
          <w:tcPr>
            <w:tcW w:w="5046"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1,300,000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12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40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刘佳玉</w:t>
            </w:r>
          </w:p>
        </w:tc>
        <w:tc>
          <w:tcPr>
            <w:tcW w:w="5046"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1,178,968</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30" w:right="12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40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沈同兵</w:t>
            </w:r>
          </w:p>
        </w:tc>
        <w:tc>
          <w:tcPr>
            <w:tcW w:w="5046"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1,175,000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12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40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许方庆</w:t>
            </w:r>
          </w:p>
        </w:tc>
        <w:tc>
          <w:tcPr>
            <w:tcW w:w="5046"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1,130,000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12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40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张继松</w:t>
            </w:r>
          </w:p>
        </w:tc>
        <w:tc>
          <w:tcPr>
            <w:tcW w:w="5046"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928,117</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12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6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396"/>
        <w:gridCol w:w="7186"/>
      </w:tblGrid>
      <w:tr>
        <w:trPr>
          <w:trHeight w:val="1336" w:hRule="exact"/>
        </w:trPr>
        <w:tc>
          <w:tcPr>
            <w:tcW w:w="23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间</w:t>
            </w:r>
            <w:r>
              <w:rPr>
                <w:rFonts w:ascii="宋体" w:hAnsi="宋体" w:cs="宋体" w:eastAsia="宋体" w:hint="default"/>
                <w:spacing w:val="-90"/>
                <w:sz w:val="18"/>
                <w:szCs w:val="18"/>
              </w:rPr>
              <w:t>，</w:t>
            </w: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w:t>
            </w:r>
          </w:p>
          <w:p>
            <w:pPr>
              <w:pStyle w:val="TableParagraph"/>
              <w:spacing w:line="290" w:lineRule="auto" w:before="66"/>
              <w:ind w:left="15" w:right="112"/>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 关系或一致行动的说明</w:t>
            </w:r>
          </w:p>
        </w:tc>
        <w:tc>
          <w:tcPr>
            <w:tcW w:w="7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公司未知前十名股东之间是否存在关联关系，也未知是否属于一致行动人。</w:t>
            </w:r>
          </w:p>
        </w:tc>
      </w:tr>
      <w:tr>
        <w:trPr>
          <w:trHeight w:val="706" w:hRule="exact"/>
        </w:trPr>
        <w:tc>
          <w:tcPr>
            <w:tcW w:w="23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23"/>
              <w:jc w:val="left"/>
              <w:rPr>
                <w:rFonts w:ascii="宋体" w:hAnsi="宋体" w:cs="宋体" w:eastAsia="宋体" w:hint="default"/>
                <w:sz w:val="18"/>
                <w:szCs w:val="18"/>
              </w:rPr>
            </w:pPr>
            <w:r>
              <w:rPr>
                <w:rFonts w:ascii="宋体" w:hAnsi="宋体" w:cs="宋体" w:eastAsia="宋体" w:hint="default"/>
                <w:sz w:val="18"/>
                <w:szCs w:val="18"/>
              </w:rPr>
              <w:t>参与融资融券业务股东情况说 </w:t>
            </w:r>
            <w:r>
              <w:rPr>
                <w:rFonts w:ascii="宋体" w:hAnsi="宋体" w:cs="宋体" w:eastAsia="宋体" w:hint="default"/>
                <w:spacing w:val="-10"/>
                <w:sz w:val="18"/>
                <w:szCs w:val="18"/>
              </w:rPr>
              <w:t>明（如有）（参见注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7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沈同兵通过投资者信用证券账户持有公司公司股份</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1,175,000 </w:t>
            </w:r>
            <w:r>
              <w:rPr>
                <w:rFonts w:ascii="宋体" w:hAnsi="宋体" w:cs="宋体" w:eastAsia="宋体" w:hint="default"/>
                <w:sz w:val="18"/>
                <w:szCs w:val="18"/>
              </w:rPr>
              <w:t>股；许方庆通过投资者信用证</w:t>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券账户持有公司公司股份</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1,130,000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60"/>
        <w:ind w:right="1100"/>
        <w:jc w:val="left"/>
      </w:pPr>
      <w:r>
        <w:rPr/>
        <w:t>公司前</w:t>
      </w:r>
      <w:r>
        <w:rPr>
          <w:spacing w:val="-45"/>
        </w:rPr>
        <w:t> </w:t>
      </w:r>
      <w:r>
        <w:rPr>
          <w:rFonts w:ascii="Times New Roman" w:hAnsi="Times New Roman" w:cs="Times New Roman" w:eastAsia="Times New Roman" w:hint="default"/>
        </w:rPr>
        <w:t>10 </w:t>
      </w:r>
      <w:r>
        <w:rPr/>
        <w:t>名普通股股东、前</w:t>
      </w:r>
      <w:r>
        <w:rPr>
          <w:spacing w:val="-43"/>
        </w:rPr>
        <w:t> </w:t>
      </w:r>
      <w:r>
        <w:rPr>
          <w:rFonts w:ascii="Times New Roman" w:hAnsi="Times New Roman" w:cs="Times New Roman" w:eastAsia="Times New Roman" w:hint="default"/>
        </w:rPr>
        <w:t>10 </w:t>
      </w:r>
      <w:r>
        <w:rPr/>
        <w:t>名无限售条件普通股股东在报告期内是否进行约定购回交易</w:t>
      </w:r>
    </w:p>
    <w:p>
      <w:pPr>
        <w:pStyle w:val="BodyText"/>
        <w:spacing w:line="240" w:lineRule="auto" w:before="111"/>
        <w:ind w:right="110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pStyle w:val="BodyText"/>
        <w:spacing w:line="240" w:lineRule="auto" w:before="96"/>
        <w:ind w:right="1100"/>
        <w:jc w:val="left"/>
      </w:pPr>
      <w:r>
        <w:rPr/>
        <w:t>公司前</w:t>
      </w:r>
      <w:r>
        <w:rPr>
          <w:spacing w:val="-45"/>
        </w:rPr>
        <w:t> </w:t>
      </w:r>
      <w:r>
        <w:rPr>
          <w:rFonts w:ascii="Times New Roman" w:hAnsi="Times New Roman" w:cs="Times New Roman" w:eastAsia="Times New Roman" w:hint="default"/>
        </w:rPr>
        <w:t>10 </w:t>
      </w:r>
      <w:r>
        <w:rPr/>
        <w:t>名普通股股东、前</w:t>
      </w:r>
      <w:r>
        <w:rPr>
          <w:spacing w:val="-43"/>
        </w:rPr>
        <w:t> </w:t>
      </w:r>
      <w:r>
        <w:rPr>
          <w:rFonts w:ascii="Times New Roman" w:hAnsi="Times New Roman" w:cs="Times New Roman" w:eastAsia="Times New Roman" w:hint="default"/>
        </w:rPr>
        <w:t>10 </w:t>
      </w:r>
      <w:r>
        <w:rPr/>
        <w:t>名无限售条件普通股股东在报告期内未进行约定购回交易。</w:t>
      </w:r>
    </w:p>
    <w:p>
      <w:pPr>
        <w:spacing w:line="240" w:lineRule="auto" w:before="0"/>
        <w:rPr>
          <w:rFonts w:ascii="宋体" w:hAnsi="宋体" w:cs="宋体" w:eastAsia="宋体" w:hint="default"/>
          <w:sz w:val="18"/>
          <w:szCs w:val="18"/>
        </w:rPr>
      </w:pPr>
    </w:p>
    <w:p>
      <w:pPr>
        <w:pStyle w:val="Heading4"/>
        <w:spacing w:line="240" w:lineRule="auto" w:before="125"/>
        <w:ind w:right="1100"/>
        <w:jc w:val="left"/>
        <w:rPr>
          <w:b w:val="0"/>
          <w:bCs w:val="0"/>
        </w:rPr>
      </w:pPr>
      <w:bookmarkStart w:name="2、公司控股股东情况" w:id="115"/>
      <w:bookmarkEnd w:id="115"/>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1"/>
        <w:rPr>
          <w:rFonts w:ascii="宋体" w:hAnsi="宋体" w:cs="宋体" w:eastAsia="宋体" w:hint="default"/>
          <w:b/>
          <w:bCs/>
          <w:sz w:val="24"/>
          <w:szCs w:val="24"/>
        </w:rPr>
      </w:pPr>
    </w:p>
    <w:p>
      <w:pPr>
        <w:pStyle w:val="BodyText"/>
        <w:spacing w:line="352" w:lineRule="auto"/>
        <w:ind w:right="8589"/>
        <w:jc w:val="left"/>
      </w:pPr>
      <w:r>
        <w:rPr/>
        <w:t>控股股东性质：自然人控股 控股股东类型：自然人</w:t>
      </w:r>
    </w:p>
    <w:p>
      <w:pPr>
        <w:spacing w:line="240" w:lineRule="auto" w:before="1"/>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3424"/>
        <w:gridCol w:w="2027"/>
        <w:gridCol w:w="4130"/>
      </w:tblGrid>
      <w:tr>
        <w:trPr>
          <w:trHeight w:val="390" w:hRule="exact"/>
        </w:trPr>
        <w:tc>
          <w:tcPr>
            <w:tcW w:w="34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96"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5" w:hRule="exact"/>
        </w:trPr>
        <w:tc>
          <w:tcPr>
            <w:tcW w:w="3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黄煜</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34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月至今任公司董事长。</w:t>
            </w:r>
          </w:p>
        </w:tc>
      </w:tr>
      <w:tr>
        <w:trPr>
          <w:trHeight w:val="705" w:hRule="exact"/>
        </w:trPr>
        <w:tc>
          <w:tcPr>
            <w:tcW w:w="34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152"/>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5"/>
        <w:ind w:right="1100"/>
        <w:jc w:val="left"/>
      </w:pPr>
      <w:r>
        <w:rPr/>
        <w:t>控股股东报告期内变更</w:t>
      </w:r>
    </w:p>
    <w:p>
      <w:pPr>
        <w:pStyle w:val="BodyText"/>
        <w:spacing w:line="333" w:lineRule="auto" w:before="124"/>
        <w:ind w:right="67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公司报告期控股股东未发生变更。</w:t>
      </w:r>
    </w:p>
    <w:p>
      <w:pPr>
        <w:spacing w:line="240" w:lineRule="auto" w:before="4"/>
        <w:rPr>
          <w:rFonts w:ascii="宋体" w:hAnsi="宋体" w:cs="宋体" w:eastAsia="宋体" w:hint="default"/>
          <w:sz w:val="23"/>
          <w:szCs w:val="23"/>
        </w:rPr>
      </w:pPr>
    </w:p>
    <w:p>
      <w:pPr>
        <w:pStyle w:val="Heading4"/>
        <w:spacing w:line="240" w:lineRule="auto"/>
        <w:ind w:right="1100"/>
        <w:jc w:val="left"/>
        <w:rPr>
          <w:b w:val="0"/>
          <w:bCs w:val="0"/>
        </w:rPr>
      </w:pPr>
      <w:bookmarkStart w:name="3、公司实际控制人及其一致行动人" w:id="116"/>
      <w:bookmarkEnd w:id="116"/>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3"/>
        <w:rPr>
          <w:rFonts w:ascii="宋体" w:hAnsi="宋体" w:cs="宋体" w:eastAsia="宋体" w:hint="default"/>
          <w:b/>
          <w:bCs/>
          <w:sz w:val="25"/>
          <w:szCs w:val="25"/>
        </w:rPr>
      </w:pPr>
    </w:p>
    <w:p>
      <w:pPr>
        <w:pStyle w:val="BodyText"/>
        <w:spacing w:line="352" w:lineRule="auto"/>
        <w:ind w:right="8409"/>
        <w:jc w:val="left"/>
      </w:pPr>
      <w:r>
        <w:rPr/>
        <w:t>实际控制人性质：境内自然人 实际控制人类型：自然人</w:t>
      </w:r>
    </w:p>
    <w:p>
      <w:pPr>
        <w:spacing w:line="240" w:lineRule="auto" w:before="1"/>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7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021" w:right="107" w:hanging="902"/>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黄煜</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94"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月至今任公司董事长。</w:t>
            </w:r>
          </w:p>
        </w:tc>
      </w:tr>
      <w:tr>
        <w:trPr>
          <w:trHeight w:val="706"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15" w:right="105"/>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 市公司情况</w:t>
            </w:r>
          </w:p>
        </w:tc>
        <w:tc>
          <w:tcPr>
            <w:tcW w:w="7194"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4"/>
        <w:ind w:right="1100"/>
        <w:jc w:val="left"/>
      </w:pPr>
      <w:r>
        <w:rPr/>
        <w:t>实际控制人报告期内变更</w:t>
      </w:r>
    </w:p>
    <w:p>
      <w:pPr>
        <w:pStyle w:val="BodyText"/>
        <w:spacing w:line="343" w:lineRule="auto" w:before="125"/>
        <w:ind w:right="67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公司报告期实际控制人未发生变更。 公司与实际控制人之间的产权及控制关系的方框图</w:t>
      </w:r>
    </w:p>
    <w:p>
      <w:pPr>
        <w:spacing w:after="0" w:line="343"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line="4185" w:lineRule="exact"/>
        <w:ind w:left="1355" w:right="0" w:firstLine="0"/>
        <w:rPr>
          <w:rFonts w:ascii="宋体" w:hAnsi="宋体" w:cs="宋体" w:eastAsia="宋体" w:hint="default"/>
          <w:sz w:val="20"/>
          <w:szCs w:val="20"/>
        </w:rPr>
      </w:pPr>
      <w:r>
        <w:rPr>
          <w:rFonts w:ascii="宋体" w:hAnsi="宋体" w:cs="宋体" w:eastAsia="宋体" w:hint="default"/>
          <w:position w:val="-83"/>
          <w:sz w:val="20"/>
          <w:szCs w:val="20"/>
        </w:rPr>
        <w:drawing>
          <wp:inline distT="0" distB="0" distL="0" distR="0">
            <wp:extent cx="4588446" cy="265747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4588446" cy="2657475"/>
                    </a:xfrm>
                    <a:prstGeom prst="rect">
                      <a:avLst/>
                    </a:prstGeom>
                  </pic:spPr>
                </pic:pic>
              </a:graphicData>
            </a:graphic>
          </wp:inline>
        </w:drawing>
      </w:r>
      <w:r>
        <w:rPr>
          <w:rFonts w:ascii="宋体" w:hAnsi="宋体" w:cs="宋体" w:eastAsia="宋体" w:hint="default"/>
          <w:position w:val="-83"/>
          <w:sz w:val="20"/>
          <w:szCs w:val="20"/>
        </w:rPr>
      </w:r>
    </w:p>
    <w:p>
      <w:pPr>
        <w:spacing w:line="240" w:lineRule="auto" w:before="4"/>
        <w:rPr>
          <w:rFonts w:ascii="宋体" w:hAnsi="宋体" w:cs="宋体" w:eastAsia="宋体" w:hint="default"/>
          <w:sz w:val="18"/>
          <w:szCs w:val="18"/>
        </w:rPr>
      </w:pPr>
    </w:p>
    <w:p>
      <w:pPr>
        <w:spacing w:before="26"/>
        <w:ind w:left="141" w:right="110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
        <w:rPr>
          <w:rFonts w:ascii="宋体" w:hAnsi="宋体" w:cs="宋体" w:eastAsia="宋体" w:hint="default"/>
          <w:sz w:val="18"/>
          <w:szCs w:val="18"/>
        </w:rPr>
      </w:pPr>
    </w:p>
    <w:p>
      <w:pPr>
        <w:pStyle w:val="BodyText"/>
        <w:spacing w:line="240" w:lineRule="auto"/>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4"/>
        <w:spacing w:line="240" w:lineRule="auto"/>
        <w:ind w:right="1100"/>
        <w:jc w:val="left"/>
        <w:rPr>
          <w:b w:val="0"/>
          <w:bCs w:val="0"/>
        </w:rPr>
      </w:pPr>
      <w:bookmarkStart w:name="4、其他持股在10%以上的法人股东" w:id="117"/>
      <w:bookmarkEnd w:id="117"/>
      <w:r>
        <w:rPr>
          <w:b w:val="0"/>
          <w:bCs w:val="0"/>
        </w:rPr>
      </w:r>
      <w:r>
        <w:rPr>
          <w:rFonts w:ascii="Times New Roman" w:hAnsi="Times New Roman" w:cs="Times New Roman" w:eastAsia="Times New Roman" w:hint="default"/>
        </w:rPr>
        <w:t>4</w:t>
      </w:r>
      <w:r>
        <w:rPr/>
        <w:t>、其他持股在</w:t>
      </w:r>
      <w:r>
        <w:rPr>
          <w:spacing w:val="-58"/>
        </w:rPr>
        <w:t> </w:t>
      </w:r>
      <w:r>
        <w:rPr>
          <w:rFonts w:ascii="Times New Roman" w:hAnsi="Times New Roman" w:cs="Times New Roman" w:eastAsia="Times New Roman" w:hint="default"/>
        </w:rPr>
        <w:t>10%</w:t>
      </w:r>
      <w:r>
        <w:rPr/>
        <w:t>以上的法人股东</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4"/>
        <w:spacing w:line="240" w:lineRule="auto" w:before="125"/>
        <w:ind w:right="1100"/>
        <w:jc w:val="left"/>
        <w:rPr>
          <w:b w:val="0"/>
          <w:bCs w:val="0"/>
        </w:rPr>
      </w:pPr>
      <w:bookmarkStart w:name="5、控股股东、实际控制人、重组方及其他承诺主体股份限制减持情况" w:id="118"/>
      <w:bookmarkEnd w:id="118"/>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3355" w:right="1100"/>
        <w:jc w:val="left"/>
        <w:rPr>
          <w:b w:val="0"/>
          <w:bCs w:val="0"/>
        </w:rPr>
      </w:pPr>
      <w:bookmarkStart w:name="第七节优先股相关情况" w:id="119"/>
      <w:bookmarkEnd w:id="119"/>
      <w:r>
        <w:rPr>
          <w:b w:val="0"/>
          <w:bCs w:val="0"/>
        </w:rPr>
      </w:r>
      <w:bookmarkStart w:name="_bookmark6" w:id="120"/>
      <w:bookmarkEnd w:id="120"/>
      <w:r>
        <w:rPr>
          <w:b w:val="0"/>
          <w:bCs w:val="0"/>
        </w:rPr>
      </w:r>
      <w:r>
        <w:rPr>
          <w:spacing w:val="5"/>
        </w:rPr>
        <w:t>第七节优先股相关情况</w:t>
      </w:r>
      <w:r>
        <w:rPr>
          <w:b w:val="0"/>
          <w:bCs w:val="0"/>
          <w:spacing w:val="5"/>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pStyle w:val="BodyText"/>
        <w:spacing w:line="333" w:lineRule="auto" w:before="44"/>
        <w:ind w:right="85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报告期公司不存在优先股。</w:t>
      </w:r>
    </w:p>
    <w:p>
      <w:pPr>
        <w:spacing w:after="0" w:line="333"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2709" w:right="1100"/>
        <w:jc w:val="left"/>
        <w:rPr>
          <w:b w:val="0"/>
          <w:bCs w:val="0"/>
        </w:rPr>
      </w:pPr>
      <w:bookmarkStart w:name="第八节可转换公司债券相关情况" w:id="121"/>
      <w:bookmarkEnd w:id="121"/>
      <w:r>
        <w:rPr>
          <w:b w:val="0"/>
          <w:bCs w:val="0"/>
        </w:rPr>
      </w:r>
      <w:bookmarkStart w:name="_bookmark7" w:id="122"/>
      <w:bookmarkEnd w:id="122"/>
      <w:r>
        <w:rPr>
          <w:b w:val="0"/>
          <w:bCs w:val="0"/>
        </w:rPr>
      </w:r>
      <w:r>
        <w:rPr>
          <w:spacing w:val="5"/>
        </w:rPr>
        <w:t>第八节可转换公司债券相关情况</w:t>
      </w:r>
      <w:r>
        <w:rPr>
          <w:b w:val="0"/>
          <w:bCs w:val="0"/>
          <w:spacing w:val="5"/>
        </w:rPr>
      </w:r>
    </w:p>
    <w:p>
      <w:pPr>
        <w:spacing w:line="240" w:lineRule="auto" w:before="7"/>
        <w:rPr>
          <w:rFonts w:ascii="宋体" w:hAnsi="宋体" w:cs="宋体" w:eastAsia="宋体" w:hint="default"/>
          <w:b/>
          <w:bCs/>
          <w:sz w:val="42"/>
          <w:szCs w:val="42"/>
        </w:rPr>
      </w:pPr>
    </w:p>
    <w:p>
      <w:pPr>
        <w:pStyle w:val="BodyText"/>
        <w:spacing w:line="333" w:lineRule="auto"/>
        <w:ind w:right="78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报告期公司不存在可转换公司债券。</w:t>
      </w:r>
    </w:p>
    <w:p>
      <w:pPr>
        <w:spacing w:after="0" w:line="333"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1748" w:right="1100"/>
        <w:jc w:val="left"/>
        <w:rPr>
          <w:b w:val="0"/>
          <w:bCs w:val="0"/>
        </w:rPr>
      </w:pPr>
      <w:bookmarkStart w:name="第九节董事、监事、高级管理人员和员工情况" w:id="123"/>
      <w:bookmarkEnd w:id="123"/>
      <w:r>
        <w:rPr>
          <w:b w:val="0"/>
          <w:bCs w:val="0"/>
        </w:rPr>
      </w:r>
      <w:bookmarkStart w:name="_bookmark8" w:id="124"/>
      <w:bookmarkEnd w:id="124"/>
      <w:r>
        <w:rPr>
          <w:b w:val="0"/>
          <w:bCs w:val="0"/>
        </w:rPr>
      </w:r>
      <w:r>
        <w:rPr>
          <w:spacing w:val="5"/>
        </w:rPr>
        <w:t>第九节董事、监事、高级管理人员和员工情况</w:t>
      </w:r>
      <w:r>
        <w:rPr>
          <w:b w:val="0"/>
          <w:bCs w:val="0"/>
          <w:spacing w:val="5"/>
        </w:rPr>
      </w:r>
    </w:p>
    <w:p>
      <w:pPr>
        <w:spacing w:line="240" w:lineRule="auto" w:before="4"/>
        <w:rPr>
          <w:rFonts w:ascii="宋体" w:hAnsi="宋体" w:cs="宋体" w:eastAsia="宋体" w:hint="default"/>
          <w:b/>
          <w:bCs/>
          <w:sz w:val="38"/>
          <w:szCs w:val="38"/>
        </w:rPr>
      </w:pPr>
    </w:p>
    <w:p>
      <w:pPr>
        <w:pStyle w:val="Heading2"/>
        <w:spacing w:line="240" w:lineRule="auto"/>
        <w:ind w:right="1100"/>
        <w:jc w:val="left"/>
        <w:rPr>
          <w:b w:val="0"/>
          <w:bCs w:val="0"/>
        </w:rPr>
      </w:pPr>
      <w:bookmarkStart w:name="一、董事、监事和高级管理人员持股变动" w:id="125"/>
      <w:bookmarkEnd w:id="125"/>
      <w:r>
        <w:rPr>
          <w:b w:val="0"/>
          <w:bCs w:val="0"/>
        </w:rPr>
      </w:r>
      <w:r>
        <w:rPr/>
        <w:t>一、董事、监事和高级管理人员持股变动</w:t>
      </w:r>
      <w:r>
        <w:rPr>
          <w:b w:val="0"/>
          <w:bCs w:val="0"/>
        </w:rPr>
      </w:r>
    </w:p>
    <w:p>
      <w:pPr>
        <w:spacing w:line="240" w:lineRule="auto" w:before="2"/>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96"/>
        <w:gridCol w:w="796"/>
        <w:gridCol w:w="796"/>
      </w:tblGrid>
      <w:tr>
        <w:trPr>
          <w:trHeight w:val="1021"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20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195" w:right="45"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195" w:right="45"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29" w:right="29"/>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30" w:right="4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31"/>
              <w:ind w:left="12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44"/>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31"/>
              <w:ind w:left="10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15" w:right="-3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21"/>
                <w:sz w:val="18"/>
                <w:szCs w:val="18"/>
              </w:rPr>
              <w:t>变动（股）</w:t>
            </w:r>
            <w:r>
              <w:rPr>
                <w:rFonts w:ascii="宋体" w:hAnsi="宋体" w:cs="宋体" w:eastAsia="宋体" w:hint="default"/>
                <w:sz w:val="18"/>
                <w:szCs w:val="18"/>
              </w:rPr>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15" w:right="43"/>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黄煜</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133,359,4</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46</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4,000,000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129,359,4</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46</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李伟</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7" w:lineRule="auto"/>
              <w:ind w:left="30" w:right="29"/>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55,917,62</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8</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55,917,62</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8</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陆舟</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30" w:right="29"/>
              <w:jc w:val="both"/>
              <w:rPr>
                <w:rFonts w:ascii="宋体" w:hAnsi="宋体" w:cs="宋体" w:eastAsia="宋体" w:hint="default"/>
                <w:sz w:val="18"/>
                <w:szCs w:val="18"/>
              </w:rPr>
            </w:pPr>
            <w:r>
              <w:rPr>
                <w:rFonts w:ascii="宋体" w:hAnsi="宋体" w:cs="宋体" w:eastAsia="宋体" w:hint="default"/>
                <w:sz w:val="18"/>
                <w:szCs w:val="18"/>
              </w:rPr>
              <w:t>董事、副 总经理、 总工程师</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52,634,75</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6</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52,634,75</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6</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李琪</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黄涛</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田端</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30" w:right="29"/>
              <w:jc w:val="both"/>
              <w:rPr>
                <w:rFonts w:ascii="宋体" w:hAnsi="宋体" w:cs="宋体" w:eastAsia="宋体" w:hint="default"/>
                <w:sz w:val="18"/>
                <w:szCs w:val="18"/>
              </w:rPr>
            </w:pPr>
            <w:r>
              <w:rPr>
                <w:rFonts w:ascii="宋体" w:hAnsi="宋体" w:cs="宋体" w:eastAsia="宋体" w:hint="default"/>
                <w:sz w:val="18"/>
                <w:szCs w:val="18"/>
              </w:rPr>
              <w:t>监事会主 席，人力 资源总监</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张英魁</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29"/>
              <w:jc w:val="left"/>
              <w:rPr>
                <w:rFonts w:ascii="宋体" w:hAnsi="宋体" w:cs="宋体" w:eastAsia="宋体" w:hint="default"/>
                <w:sz w:val="18"/>
                <w:szCs w:val="18"/>
              </w:rPr>
            </w:pPr>
            <w:r>
              <w:rPr>
                <w:rFonts w:ascii="宋体" w:hAnsi="宋体" w:cs="宋体" w:eastAsia="宋体" w:hint="default"/>
                <w:sz w:val="18"/>
                <w:szCs w:val="18"/>
              </w:rPr>
              <w:t>职工监 事，读卡 器部经理</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35"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孙晓东</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30" w:right="29"/>
              <w:jc w:val="left"/>
              <w:rPr>
                <w:rFonts w:ascii="宋体" w:hAnsi="宋体" w:cs="宋体" w:eastAsia="宋体" w:hint="default"/>
                <w:sz w:val="18"/>
                <w:szCs w:val="18"/>
              </w:rPr>
            </w:pPr>
            <w:r>
              <w:rPr>
                <w:rFonts w:ascii="宋体" w:hAnsi="宋体" w:cs="宋体" w:eastAsia="宋体" w:hint="default"/>
                <w:sz w:val="18"/>
                <w:szCs w:val="18"/>
              </w:rPr>
              <w:t>监事，销 售经理</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于华章</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2,433,704</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2,433,704</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郑相启</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b/>
          <w:bCs/>
          <w:sz w:val="29"/>
          <w:szCs w:val="29"/>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96"/>
        <w:gridCol w:w="796"/>
        <w:gridCol w:w="796"/>
      </w:tblGrid>
      <w:tr>
        <w:trPr>
          <w:trHeight w:val="1020"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谢梁</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390"/>
              <w:jc w:val="righ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闫岩</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390"/>
              <w:jc w:val="righ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17,600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17,600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李懋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390"/>
              <w:jc w:val="righ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郁群慧</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390"/>
              <w:jc w:val="righ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朱宝祥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390"/>
              <w:jc w:val="righ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吴彼</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30" w:right="29"/>
              <w:jc w:val="both"/>
              <w:rPr>
                <w:rFonts w:ascii="宋体" w:hAnsi="宋体" w:cs="宋体" w:eastAsia="宋体" w:hint="default"/>
                <w:sz w:val="18"/>
                <w:szCs w:val="18"/>
              </w:rPr>
            </w:pPr>
            <w:r>
              <w:rPr>
                <w:rFonts w:ascii="宋体" w:hAnsi="宋体" w:cs="宋体" w:eastAsia="宋体" w:hint="default"/>
                <w:sz w:val="18"/>
                <w:szCs w:val="18"/>
              </w:rPr>
              <w:t>董事会秘 书、市场 总监</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390"/>
              <w:jc w:val="righ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721"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328"/>
              <w:jc w:val="right"/>
              <w:rPr>
                <w:rFonts w:ascii="Times New Roman" w:hAnsi="Times New Roman" w:cs="Times New Roman" w:eastAsia="Times New Roman" w:hint="default"/>
                <w:sz w:val="18"/>
                <w:szCs w:val="18"/>
              </w:rPr>
            </w:pPr>
            <w:r>
              <w:rPr>
                <w:rFonts w:ascii="Times New Roman"/>
                <w:sz w:val="18"/>
              </w:rPr>
              <w:t>--</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244,363,1</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34</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4,000,000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240,363,1</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34</w:t>
            </w:r>
          </w:p>
        </w:tc>
      </w:tr>
    </w:tbl>
    <w:p>
      <w:pPr>
        <w:spacing w:line="240" w:lineRule="auto" w:before="12"/>
        <w:rPr>
          <w:rFonts w:ascii="宋体" w:hAnsi="宋体" w:cs="宋体" w:eastAsia="宋体" w:hint="default"/>
          <w:b/>
          <w:bCs/>
          <w:sz w:val="17"/>
          <w:szCs w:val="17"/>
        </w:rPr>
      </w:pPr>
    </w:p>
    <w:p>
      <w:pPr>
        <w:pStyle w:val="Heading2"/>
        <w:spacing w:line="240" w:lineRule="auto" w:before="26"/>
        <w:ind w:right="1100"/>
        <w:jc w:val="left"/>
        <w:rPr>
          <w:b w:val="0"/>
          <w:bCs w:val="0"/>
        </w:rPr>
      </w:pPr>
      <w:bookmarkStart w:name="二、公司董事、监事、高级管理人员变动情况" w:id="126"/>
      <w:bookmarkEnd w:id="126"/>
      <w:r>
        <w:rPr>
          <w:b w:val="0"/>
          <w:bCs w:val="0"/>
        </w:rPr>
      </w:r>
      <w:r>
        <w:rPr/>
        <w:t>二、公司董事、监事、高级管理人员变动情况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1100"/>
        <w:jc w:val="left"/>
        <w:rPr>
          <w:b w:val="0"/>
          <w:bCs w:val="0"/>
        </w:rPr>
      </w:pPr>
      <w:bookmarkStart w:name="三、任职情况" w:id="127"/>
      <w:bookmarkEnd w:id="127"/>
      <w:r>
        <w:rPr>
          <w:b w:val="0"/>
          <w:bCs w:val="0"/>
        </w:rPr>
      </w:r>
      <w:r>
        <w:rPr/>
        <w:t>三、任职情况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1100"/>
        <w:jc w:val="left"/>
      </w:pPr>
      <w:r>
        <w:rPr/>
        <w:t>公司现任董事、监事、高级管理人员专业背景、主要工作经历以及目前在公司的主要职责</w:t>
      </w:r>
    </w:p>
    <w:p>
      <w:pPr>
        <w:pStyle w:val="Heading6"/>
        <w:spacing w:line="240" w:lineRule="auto" w:before="139"/>
        <w:ind w:left="441" w:right="1100"/>
        <w:jc w:val="left"/>
        <w:rPr>
          <w:b w:val="0"/>
          <w:bCs w:val="0"/>
        </w:rPr>
      </w:pPr>
      <w:r>
        <w:rPr/>
        <w:t>（一）董事会成员（共</w:t>
      </w:r>
      <w:r>
        <w:rPr>
          <w:spacing w:val="-69"/>
        </w:rPr>
        <w:t> </w:t>
      </w:r>
      <w:r>
        <w:rPr>
          <w:rFonts w:ascii="Times New Roman" w:hAnsi="Times New Roman" w:cs="Times New Roman" w:eastAsia="Times New Roman" w:hint="default"/>
          <w:spacing w:val="-5"/>
        </w:rPr>
        <w:t>5</w:t>
      </w:r>
      <w:r>
        <w:rPr>
          <w:spacing w:val="-5"/>
        </w:rPr>
        <w:t>人）</w:t>
      </w:r>
      <w:r>
        <w:rPr>
          <w:b w:val="0"/>
          <w:bCs w:val="0"/>
          <w:spacing w:val="-5"/>
        </w:rPr>
      </w:r>
    </w:p>
    <w:p>
      <w:pPr>
        <w:pStyle w:val="BodyText"/>
        <w:spacing w:line="297" w:lineRule="auto" w:before="66"/>
        <w:ind w:right="1095" w:firstLine="360"/>
        <w:jc w:val="both"/>
      </w:pPr>
      <w:r>
        <w:rPr/>
        <w:t>黄</w:t>
      </w:r>
      <w:r>
        <w:rPr>
          <w:spacing w:val="65"/>
        </w:rPr>
        <w:t> </w:t>
      </w:r>
      <w:r>
        <w:rPr/>
        <w:t>煜先生，</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7</w:t>
      </w:r>
      <w:r>
        <w:rPr/>
        <w:t>月出生，</w:t>
      </w:r>
      <w:r>
        <w:rPr>
          <w:rFonts w:ascii="Times New Roman" w:hAnsi="Times New Roman" w:cs="Times New Roman" w:eastAsia="Times New Roman" w:hint="default"/>
        </w:rPr>
        <w:t>1992</w:t>
      </w:r>
      <w:r>
        <w:rPr/>
        <w:t>年毕业于北方交通大学计算机技术与应用专业，本科学历。</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-1994</w:t>
      </w:r>
      <w:r>
        <w:rPr/>
        <w:t>年就职于北 </w:t>
      </w:r>
      <w:r>
        <w:rPr>
          <w:spacing w:val="-1"/>
        </w:rPr>
        <w:t>京科星电子技术有限公司，</w:t>
      </w:r>
      <w:r>
        <w:rPr>
          <w:rFonts w:ascii="Times New Roman" w:hAnsi="Times New Roman" w:cs="Times New Roman" w:eastAsia="Times New Roman" w:hint="default"/>
          <w:spacing w:val="-1"/>
        </w:rPr>
        <w:t>1994</w:t>
      </w:r>
      <w:r>
        <w:rPr>
          <w:spacing w:val="-1"/>
        </w:rPr>
        <w:t>年</w:t>
      </w:r>
      <w:r>
        <w:rPr>
          <w:rFonts w:ascii="Times New Roman" w:hAnsi="Times New Roman" w:cs="Times New Roman" w:eastAsia="Times New Roman" w:hint="default"/>
          <w:spacing w:val="-1"/>
        </w:rPr>
        <w:t>-1998</w:t>
      </w:r>
      <w:r>
        <w:rPr>
          <w:spacing w:val="-1"/>
        </w:rPr>
        <w:t>年在北京市中关村从事个体经营，</w:t>
      </w:r>
      <w:r>
        <w:rPr>
          <w:rFonts w:ascii="Times New Roman" w:hAnsi="Times New Roman" w:cs="Times New Roman" w:eastAsia="Times New Roman" w:hint="default"/>
          <w:spacing w:val="-1"/>
        </w:rPr>
        <w:t>1998</w:t>
      </w:r>
      <w:r>
        <w:rPr>
          <w:spacing w:val="-1"/>
        </w:rPr>
        <w:t>年</w:t>
      </w:r>
      <w:r>
        <w:rPr>
          <w:rFonts w:ascii="Times New Roman" w:hAnsi="Times New Roman" w:cs="Times New Roman" w:eastAsia="Times New Roman" w:hint="default"/>
          <w:spacing w:val="-1"/>
        </w:rPr>
        <w:t>6</w:t>
      </w:r>
      <w:r>
        <w:rPr>
          <w:spacing w:val="-1"/>
        </w:rPr>
        <w:t>月创立北京飞天诚信科技有限公司，</w:t>
      </w:r>
      <w:r>
        <w:rPr>
          <w:rFonts w:ascii="Times New Roman" w:hAnsi="Times New Roman" w:cs="Times New Roman" w:eastAsia="Times New Roman" w:hint="default"/>
          <w:spacing w:val="-1"/>
        </w:rPr>
        <w:t>1998</w:t>
      </w:r>
      <w:r>
        <w:rPr>
          <w:rFonts w:ascii="Times New Roman" w:hAnsi="Times New Roman" w:cs="Times New Roman" w:eastAsia="Times New Roman" w:hint="default"/>
          <w:spacing w:val="-19"/>
        </w:rPr>
        <w:t>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11</w:t>
      </w:r>
      <w:r>
        <w:rPr/>
        <w:t>月任公司董事长、总经理，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月至今任公司董事长。</w:t>
      </w:r>
    </w:p>
    <w:p>
      <w:pPr>
        <w:pStyle w:val="BodyText"/>
        <w:spacing w:line="300" w:lineRule="auto" w:before="18"/>
        <w:ind w:right="1070" w:firstLine="360"/>
        <w:jc w:val="left"/>
      </w:pPr>
      <w:r>
        <w:rPr/>
        <w:t>李</w:t>
      </w:r>
      <w:r>
        <w:rPr>
          <w:spacing w:val="62"/>
        </w:rPr>
        <w:t> </w:t>
      </w:r>
      <w:r>
        <w:rPr/>
        <w:t>伟先生，</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7</w:t>
      </w:r>
      <w:r>
        <w:rPr/>
        <w:t>月出生，教授级高级工程师。</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7</w:t>
      </w:r>
      <w:r>
        <w:rPr/>
        <w:t>月，北京交通大学计算机及应用专业本科毕业，学士学位。 </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6</w:t>
      </w:r>
      <w:r>
        <w:rPr/>
        <w:t>月作为创始人之一，创办飞天诚信科技股份有限公司，</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11</w:t>
      </w:r>
      <w:r>
        <w:rPr/>
        <w:t>月任公司董事、副总经理，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spacing w:val="-82"/>
        </w:rPr>
        <w:t> </w:t>
      </w:r>
      <w:r>
        <w:rPr>
          <w:spacing w:val="-2"/>
        </w:rPr>
        <w:t>至今任公司董事、总经理；同时，兼任海淀区政协委员、全国金融标准化技术委员会专家、中国计算机学会信息保密专委会</w:t>
      </w:r>
      <w:r>
        <w:rPr>
          <w:spacing w:val="-57"/>
        </w:rPr>
        <w:t> </w:t>
      </w:r>
      <w:r>
        <w:rPr>
          <w:spacing w:val="-57"/>
        </w:rPr>
      </w:r>
      <w:r>
        <w:rPr/>
        <w:t>委员、中国保密协会产业分会委员、密码行业标准化技术委员会委员等职务。</w:t>
      </w:r>
    </w:p>
    <w:p>
      <w:pPr>
        <w:pStyle w:val="BodyText"/>
        <w:spacing w:line="302" w:lineRule="auto" w:before="50"/>
        <w:ind w:right="1095" w:firstLine="360"/>
        <w:jc w:val="both"/>
      </w:pPr>
      <w:r>
        <w:rPr/>
        <w:t>陆</w:t>
      </w:r>
      <w:r>
        <w:rPr>
          <w:spacing w:val="65"/>
        </w:rPr>
        <w:t> </w:t>
      </w:r>
      <w:r>
        <w:rPr/>
        <w:t>舟先生，</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3</w:t>
      </w:r>
      <w:r>
        <w:rPr/>
        <w:t>月出生，</w:t>
      </w:r>
      <w:r>
        <w:rPr>
          <w:rFonts w:ascii="Times New Roman" w:hAnsi="Times New Roman" w:cs="Times New Roman" w:eastAsia="Times New Roman" w:hint="default"/>
        </w:rPr>
        <w:t>1992</w:t>
      </w:r>
      <w:r>
        <w:rPr/>
        <w:t>年毕业于北方交通大学计算机技术与应用专业，本科学历。</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-1997</w:t>
      </w:r>
      <w:r>
        <w:rPr/>
        <w:t>年担任铁道 部直属通信处技术工程师，</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6</w:t>
      </w:r>
      <w:r>
        <w:rPr/>
        <w:t>月至今任公司董事、副总经理、总工程师。</w:t>
      </w:r>
    </w:p>
    <w:p>
      <w:pPr>
        <w:pStyle w:val="BodyText"/>
        <w:spacing w:line="297" w:lineRule="auto" w:before="14"/>
        <w:ind w:right="1111" w:firstLine="360"/>
        <w:jc w:val="both"/>
      </w:pPr>
      <w:r>
        <w:rPr/>
        <w:t>李</w:t>
      </w:r>
      <w:r>
        <w:rPr>
          <w:spacing w:val="60"/>
        </w:rPr>
        <w:t> </w:t>
      </w:r>
      <w:r>
        <w:rPr/>
        <w:t>琪女士，</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8</w:t>
      </w:r>
      <w:r>
        <w:rPr/>
        <w:t>月出生，中国国籍，无境外永久居留权，毕业于北京师范大学，中国注册会计师、注册资产评估 </w:t>
      </w:r>
      <w:r>
        <w:rPr>
          <w:spacing w:val="-2"/>
        </w:rPr>
        <w:t>师。</w:t>
      </w:r>
      <w:r>
        <w:rPr>
          <w:rFonts w:ascii="Times New Roman" w:hAnsi="Times New Roman" w:cs="Times New Roman" w:eastAsia="Times New Roman" w:hint="default"/>
          <w:spacing w:val="-2"/>
        </w:rPr>
        <w:t>2005</w:t>
      </w:r>
      <w:r>
        <w:rPr>
          <w:spacing w:val="-2"/>
        </w:rPr>
        <w:t>年至</w:t>
      </w:r>
      <w:r>
        <w:rPr>
          <w:rFonts w:ascii="Times New Roman" w:hAnsi="Times New Roman" w:cs="Times New Roman" w:eastAsia="Times New Roman" w:hint="default"/>
          <w:spacing w:val="-2"/>
        </w:rPr>
        <w:t>2012</w:t>
      </w:r>
      <w:r>
        <w:rPr>
          <w:spacing w:val="-2"/>
        </w:rPr>
        <w:t>年任汉华评值有限公司中国业务部总经理、董事，现任中发国际资产评估有限公司董事、总经理。于</w:t>
      </w:r>
      <w:r>
        <w:rPr>
          <w:rFonts w:ascii="Times New Roman" w:hAnsi="Times New Roman" w:cs="Times New Roman" w:eastAsia="Times New Roman" w:hint="default"/>
          <w:spacing w:val="-2"/>
        </w:rPr>
        <w:t>2015</w:t>
      </w:r>
      <w:r>
        <w:rPr>
          <w:rFonts w:ascii="Times New Roman" w:hAnsi="Times New Roman" w:cs="Times New Roman" w:eastAsia="Times New Roman" w:hint="default"/>
          <w:spacing w:val="9"/>
        </w:rPr>
        <w:t> </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7</w:t>
      </w:r>
      <w:r>
        <w:rPr/>
        <w:t>日起担任公司独立董事。</w:t>
      </w:r>
    </w:p>
    <w:p>
      <w:pPr>
        <w:pStyle w:val="BodyText"/>
        <w:spacing w:line="240" w:lineRule="auto" w:before="18"/>
        <w:ind w:left="501" w:right="1100"/>
        <w:jc w:val="left"/>
      </w:pPr>
      <w:r>
        <w:rPr/>
        <w:t>黄</w:t>
      </w:r>
      <w:r>
        <w:rPr>
          <w:spacing w:val="69"/>
        </w:rPr>
        <w:t> </w:t>
      </w:r>
      <w:r>
        <w:rPr/>
        <w:t>涛先生，</w:t>
      </w:r>
      <w:r>
        <w:rPr>
          <w:rFonts w:ascii="Times New Roman" w:hAnsi="Times New Roman" w:cs="Times New Roman" w:eastAsia="Times New Roman" w:hint="default"/>
        </w:rPr>
        <w:t>1965</w:t>
      </w:r>
      <w:r>
        <w:rPr/>
        <w:t>年</w:t>
      </w:r>
      <w:r>
        <w:rPr>
          <w:rFonts w:ascii="Times New Roman" w:hAnsi="Times New Roman" w:cs="Times New Roman" w:eastAsia="Times New Roman" w:hint="default"/>
        </w:rPr>
        <w:t>6</w:t>
      </w:r>
      <w:r>
        <w:rPr/>
        <w:t>月出生，中国国籍，无境外永久居留权，毕业于中国科学技术大学，软件专业博士学位。</w:t>
      </w:r>
      <w:r>
        <w:rPr>
          <w:rFonts w:ascii="Times New Roman" w:hAnsi="Times New Roman" w:cs="Times New Roman" w:eastAsia="Times New Roman" w:hint="default"/>
        </w:rPr>
        <w:t>1994</w:t>
      </w:r>
      <w:r>
        <w:rPr/>
        <w:t>年</w:t>
      </w:r>
    </w:p>
    <w:p>
      <w:pPr>
        <w:spacing w:after="0" w:line="240"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240" w:lineRule="auto" w:before="44"/>
        <w:ind w:right="1100"/>
        <w:jc w:val="left"/>
      </w:pPr>
      <w:r>
        <w:rPr/>
        <w:t>至今中科院软件所工作，先后任副主任、主任、研究员、副所长等职。</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日起担任公司独立董事。</w:t>
      </w:r>
    </w:p>
    <w:p>
      <w:pPr>
        <w:pStyle w:val="Heading6"/>
        <w:spacing w:line="240" w:lineRule="auto" w:before="66"/>
        <w:ind w:right="1100"/>
        <w:jc w:val="left"/>
        <w:rPr>
          <w:b w:val="0"/>
          <w:bCs w:val="0"/>
        </w:rPr>
      </w:pPr>
      <w:r>
        <w:rPr/>
        <w:t>（二）监事会成员（共</w:t>
      </w:r>
      <w:r>
        <w:rPr>
          <w:spacing w:val="-69"/>
        </w:rPr>
        <w:t> </w:t>
      </w:r>
      <w:r>
        <w:rPr>
          <w:rFonts w:ascii="Times New Roman" w:hAnsi="Times New Roman" w:cs="Times New Roman" w:eastAsia="Times New Roman" w:hint="default"/>
          <w:spacing w:val="-5"/>
        </w:rPr>
        <w:t>3</w:t>
      </w:r>
      <w:r>
        <w:rPr>
          <w:spacing w:val="-5"/>
        </w:rPr>
        <w:t>人）</w:t>
      </w:r>
      <w:r>
        <w:rPr>
          <w:b w:val="0"/>
          <w:bCs w:val="0"/>
          <w:spacing w:val="-5"/>
        </w:rPr>
      </w:r>
    </w:p>
    <w:p>
      <w:pPr>
        <w:pStyle w:val="BodyText"/>
        <w:spacing w:line="290" w:lineRule="auto" w:before="66"/>
        <w:ind w:right="1096" w:firstLine="360"/>
        <w:jc w:val="both"/>
      </w:pPr>
      <w:r>
        <w:rPr/>
        <w:t>田</w:t>
      </w:r>
      <w:r>
        <w:rPr>
          <w:spacing w:val="66"/>
        </w:rPr>
        <w:t> </w:t>
      </w:r>
      <w:r>
        <w:rPr/>
        <w:t>端先生，男，出生于</w:t>
      </w:r>
      <w:r>
        <w:rPr>
          <w:rFonts w:ascii="Times New Roman" w:hAnsi="Times New Roman" w:cs="Times New Roman" w:eastAsia="Times New Roman" w:hint="default"/>
        </w:rPr>
        <w:t>1981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1998.9-2002.6</w:t>
      </w:r>
      <w:r>
        <w:rPr/>
        <w:t>，中国人民大学人力资源管理专业学习；</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12</w:t>
      </w:r>
      <w:r>
        <w:rPr/>
        <w:t>月在 广州攀达国际集团公司人力资源部任职人力专员；</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7</w:t>
      </w:r>
      <w:r>
        <w:rPr/>
        <w:t>月至今在飞天诚信科技股份有限公司人力资源部任经理。</w:t>
      </w:r>
    </w:p>
    <w:p>
      <w:pPr>
        <w:pStyle w:val="BodyText"/>
        <w:spacing w:line="304" w:lineRule="auto" w:before="24"/>
        <w:ind w:right="1109" w:firstLine="360"/>
        <w:jc w:val="both"/>
      </w:pPr>
      <w:r>
        <w:rPr>
          <w:spacing w:val="-3"/>
        </w:rPr>
        <w:t>孙晓东先生，男，</w:t>
      </w:r>
      <w:r>
        <w:rPr>
          <w:rFonts w:ascii="Times New Roman" w:hAnsi="Times New Roman" w:cs="Times New Roman" w:eastAsia="Times New Roman" w:hint="default"/>
          <w:spacing w:val="-3"/>
        </w:rPr>
        <w:t>1974</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20</w:t>
      </w:r>
      <w:r>
        <w:rPr>
          <w:spacing w:val="-3"/>
        </w:rPr>
        <w:t>日出生</w:t>
      </w:r>
      <w:r>
        <w:rPr>
          <w:rFonts w:ascii="Times New Roman" w:hAnsi="Times New Roman" w:cs="Times New Roman" w:eastAsia="Times New Roman" w:hint="default"/>
          <w:spacing w:val="-3"/>
        </w:rPr>
        <w:t>,1998</w:t>
      </w:r>
      <w:r>
        <w:rPr>
          <w:spacing w:val="-3"/>
        </w:rPr>
        <w:t>年毕业于沈阳工业大学计算机及应用专业</w:t>
      </w:r>
      <w:r>
        <w:rPr>
          <w:rFonts w:ascii="Times New Roman" w:hAnsi="Times New Roman" w:cs="Times New Roman" w:eastAsia="Times New Roman" w:hint="default"/>
          <w:spacing w:val="-3"/>
        </w:rPr>
        <w:t>,</w:t>
      </w:r>
      <w:r>
        <w:rPr>
          <w:spacing w:val="-3"/>
        </w:rPr>
        <w:t>专科学历，中级经济师职称。</w:t>
      </w:r>
      <w:r>
        <w:rPr>
          <w:rFonts w:ascii="Times New Roman" w:hAnsi="Times New Roman" w:cs="Times New Roman" w:eastAsia="Times New Roman" w:hint="default"/>
          <w:spacing w:val="-3"/>
        </w:rPr>
        <w:t>1998</w:t>
      </w:r>
      <w:r>
        <w:rPr>
          <w:rFonts w:ascii="Times New Roman" w:hAnsi="Times New Roman" w:cs="Times New Roman" w:eastAsia="Times New Roman" w:hint="default"/>
        </w:rPr>
        <w:t> </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12</w:t>
      </w:r>
      <w:r>
        <w:rPr>
          <w:spacing w:val="-1"/>
        </w:rPr>
        <w:t>月在沈阳恒新电脑有限责任公司从事销售工作；</w:t>
      </w: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-2002</w:t>
      </w:r>
      <w:r>
        <w:rPr>
          <w:spacing w:val="-1"/>
        </w:rPr>
        <w:t>年</w:t>
      </w:r>
      <w:r>
        <w:rPr>
          <w:rFonts w:ascii="Times New Roman" w:hAnsi="Times New Roman" w:cs="Times New Roman" w:eastAsia="Times New Roman" w:hint="default"/>
          <w:spacing w:val="-1"/>
        </w:rPr>
        <w:t>2</w:t>
      </w:r>
      <w:r>
        <w:rPr>
          <w:spacing w:val="-1"/>
        </w:rPr>
        <w:t>月在北京昌霖电脑从事销售工作</w:t>
      </w:r>
      <w:r>
        <w:rPr>
          <w:rFonts w:ascii="Times New Roman" w:hAnsi="Times New Roman" w:cs="Times New Roman" w:eastAsia="Times New Roman" w:hint="default"/>
          <w:spacing w:val="-1"/>
        </w:rPr>
        <w:t>,2002</w:t>
      </w:r>
      <w:r>
        <w:rPr>
          <w:spacing w:val="-1"/>
        </w:rPr>
        <w:t>年</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32"/>
        </w:rPr>
        <w:t> </w:t>
      </w:r>
      <w:r>
        <w:rPr/>
        <w:t>月加入飞天诚信</w:t>
      </w:r>
      <w:r>
        <w:rPr>
          <w:rFonts w:ascii="Times New Roman" w:hAnsi="Times New Roman" w:cs="Times New Roman" w:eastAsia="Times New Roman" w:hint="default"/>
        </w:rPr>
        <w:t>,</w:t>
      </w:r>
      <w:r>
        <w:rPr/>
        <w:t>历任</w:t>
      </w:r>
      <w:r>
        <w:rPr>
          <w:rFonts w:ascii="Times New Roman" w:hAnsi="Times New Roman" w:cs="Times New Roman" w:eastAsia="Times New Roman" w:hint="default"/>
        </w:rPr>
        <w:t>epass</w:t>
      </w:r>
      <w:r>
        <w:rPr/>
        <w:t>销售经理、加密锁销售部经理、销售总监助理，</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9</w:t>
      </w:r>
      <w:r>
        <w:rPr/>
        <w:t>月至今任飞天诚信销售经理。</w:t>
      </w:r>
    </w:p>
    <w:p>
      <w:pPr>
        <w:pStyle w:val="BodyText"/>
        <w:spacing w:line="297" w:lineRule="auto" w:before="12"/>
        <w:ind w:right="1111" w:firstLine="360"/>
        <w:jc w:val="both"/>
      </w:pPr>
      <w:r>
        <w:rPr>
          <w:spacing w:val="-1"/>
        </w:rPr>
        <w:t>张英魁先生，</w:t>
      </w:r>
      <w:r>
        <w:rPr>
          <w:rFonts w:ascii="Times New Roman" w:hAnsi="Times New Roman" w:cs="Times New Roman" w:eastAsia="Times New Roman" w:hint="default"/>
          <w:spacing w:val="-1"/>
        </w:rPr>
        <w:t>1981</w:t>
      </w:r>
      <w:r>
        <w:rPr>
          <w:spacing w:val="-1"/>
        </w:rPr>
        <w:t>年</w:t>
      </w:r>
      <w:r>
        <w:rPr>
          <w:rFonts w:ascii="Times New Roman" w:hAnsi="Times New Roman" w:cs="Times New Roman" w:eastAsia="Times New Roman" w:hint="default"/>
          <w:spacing w:val="-1"/>
        </w:rPr>
        <w:t>7</w:t>
      </w:r>
      <w:r>
        <w:rPr>
          <w:spacing w:val="-1"/>
        </w:rPr>
        <w:t>月出生，</w:t>
      </w:r>
      <w:r>
        <w:rPr>
          <w:rFonts w:ascii="Times New Roman" w:hAnsi="Times New Roman" w:cs="Times New Roman" w:eastAsia="Times New Roman" w:hint="default"/>
          <w:spacing w:val="-1"/>
        </w:rPr>
        <w:t>2003</w:t>
      </w:r>
      <w:r>
        <w:rPr>
          <w:spacing w:val="-1"/>
        </w:rPr>
        <w:t>年毕业于中央民族大学电子信息工程专业，本科学历。</w:t>
      </w:r>
      <w:r>
        <w:rPr>
          <w:rFonts w:ascii="Times New Roman" w:hAnsi="Times New Roman" w:cs="Times New Roman" w:eastAsia="Times New Roman" w:hint="default"/>
          <w:spacing w:val="-1"/>
        </w:rPr>
        <w:t>2003</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4</w:t>
      </w:r>
      <w:r>
        <w:rPr>
          <w:spacing w:val="-1"/>
        </w:rPr>
        <w:t>月在北京</w:t>
      </w:r>
      <w:r>
        <w:rPr/>
        <w:t> </w:t>
      </w:r>
      <w:r>
        <w:rPr>
          <w:spacing w:val="-1"/>
        </w:rPr>
        <w:t>黑眼睛数据设备有限公司工作，</w:t>
      </w: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2</w:t>
      </w:r>
      <w:r>
        <w:rPr>
          <w:spacing w:val="-1"/>
        </w:rPr>
        <w:t>月在北京恒嘉电子技术研究所工作，</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3</w:t>
      </w:r>
      <w:r>
        <w:rPr>
          <w:spacing w:val="-1"/>
        </w:rPr>
        <w:t>月加入公司，历任硬件部经</w:t>
      </w:r>
      <w:r>
        <w:rPr>
          <w:spacing w:val="-67"/>
        </w:rPr>
        <w:t> </w:t>
      </w:r>
      <w:r>
        <w:rPr>
          <w:spacing w:val="-67"/>
        </w:rPr>
      </w:r>
      <w:r>
        <w:rPr/>
        <w:t>理、读卡器部经理。</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月至今任公司职工监事、读卡器部经理。</w:t>
      </w:r>
    </w:p>
    <w:p>
      <w:pPr>
        <w:pStyle w:val="Heading6"/>
        <w:spacing w:line="240" w:lineRule="auto" w:before="18"/>
        <w:ind w:right="1100"/>
        <w:jc w:val="left"/>
        <w:rPr>
          <w:b w:val="0"/>
          <w:bCs w:val="0"/>
        </w:rPr>
      </w:pPr>
      <w:r>
        <w:rPr/>
        <w:t>（三）高级管理人员（共</w:t>
      </w:r>
      <w:r>
        <w:rPr>
          <w:spacing w:val="-68"/>
        </w:rPr>
        <w:t> </w:t>
      </w:r>
      <w:r>
        <w:rPr>
          <w:rFonts w:ascii="Times New Roman" w:hAnsi="Times New Roman" w:cs="Times New Roman" w:eastAsia="Times New Roman" w:hint="default"/>
          <w:spacing w:val="-4"/>
        </w:rPr>
        <w:t>10</w:t>
      </w:r>
      <w:r>
        <w:rPr>
          <w:spacing w:val="-4"/>
        </w:rPr>
        <w:t>人）</w:t>
      </w:r>
      <w:r>
        <w:rPr>
          <w:b w:val="0"/>
          <w:bCs w:val="0"/>
          <w:spacing w:val="-4"/>
        </w:rPr>
      </w:r>
    </w:p>
    <w:p>
      <w:pPr>
        <w:pStyle w:val="BodyText"/>
        <w:spacing w:line="240" w:lineRule="auto" w:before="66"/>
        <w:ind w:left="501" w:right="1100"/>
        <w:jc w:val="left"/>
      </w:pPr>
      <w:r>
        <w:rPr/>
        <w:t>李</w:t>
      </w:r>
      <w:r>
        <w:rPr>
          <w:spacing w:val="70"/>
        </w:rPr>
        <w:t> </w:t>
      </w:r>
      <w:r>
        <w:rPr/>
        <w:t>伟先生，公司总经理，参见本节内容之</w:t>
      </w:r>
      <w:r>
        <w:rPr>
          <w:rFonts w:ascii="Times New Roman" w:hAnsi="Times New Roman" w:cs="Times New Roman" w:eastAsia="Times New Roman" w:hint="default"/>
        </w:rPr>
        <w:t>“</w:t>
      </w:r>
      <w:r>
        <w:rPr/>
        <w:t>（一）董事会成员</w:t>
      </w:r>
      <w:r>
        <w:rPr>
          <w:rFonts w:ascii="Times New Roman" w:hAnsi="Times New Roman" w:cs="Times New Roman" w:eastAsia="Times New Roman" w:hint="default"/>
        </w:rPr>
        <w:t>”</w:t>
      </w:r>
      <w:r>
        <w:rPr/>
        <w:t>介绍。</w:t>
      </w:r>
    </w:p>
    <w:p>
      <w:pPr>
        <w:pStyle w:val="BodyText"/>
        <w:spacing w:line="288" w:lineRule="auto" w:before="66"/>
        <w:ind w:left="501" w:right="1100"/>
        <w:jc w:val="left"/>
      </w:pPr>
      <w:r>
        <w:rPr/>
        <w:t>陆</w:t>
      </w:r>
      <w:r>
        <w:rPr>
          <w:spacing w:val="60"/>
        </w:rPr>
        <w:t> </w:t>
      </w:r>
      <w:r>
        <w:rPr/>
        <w:t>舟先生，公司副总经理、总工程师，参见本节内容之</w:t>
      </w:r>
      <w:r>
        <w:rPr>
          <w:rFonts w:ascii="Times New Roman" w:hAnsi="Times New Roman" w:cs="Times New Roman" w:eastAsia="Times New Roman" w:hint="default"/>
        </w:rPr>
        <w:t>“</w:t>
      </w:r>
      <w:r>
        <w:rPr/>
        <w:t>（一）董事会成员</w:t>
      </w:r>
      <w:r>
        <w:rPr>
          <w:rFonts w:ascii="Times New Roman" w:hAnsi="Times New Roman" w:cs="Times New Roman" w:eastAsia="Times New Roman" w:hint="default"/>
        </w:rPr>
        <w:t>”</w:t>
      </w:r>
      <w:r>
        <w:rPr/>
        <w:t>介绍。</w:t>
      </w:r>
      <w:r>
        <w:rPr>
          <w:spacing w:val="-79"/>
        </w:rPr>
        <w:t> </w:t>
      </w:r>
      <w:r>
        <w:rPr>
          <w:spacing w:val="-2"/>
        </w:rPr>
        <w:t>于华章先生，</w:t>
      </w:r>
      <w:r>
        <w:rPr>
          <w:rFonts w:ascii="Times New Roman" w:hAnsi="Times New Roman" w:cs="Times New Roman" w:eastAsia="Times New Roman" w:hint="default"/>
          <w:spacing w:val="-2"/>
        </w:rPr>
        <w:t>1971</w:t>
      </w:r>
      <w:r>
        <w:rPr>
          <w:spacing w:val="-2"/>
        </w:rPr>
        <w:t>年</w:t>
      </w:r>
      <w:r>
        <w:rPr>
          <w:rFonts w:ascii="Times New Roman" w:hAnsi="Times New Roman" w:cs="Times New Roman" w:eastAsia="Times New Roman" w:hint="default"/>
          <w:spacing w:val="-2"/>
        </w:rPr>
        <w:t>4</w:t>
      </w:r>
      <w:r>
        <w:rPr>
          <w:spacing w:val="-2"/>
        </w:rPr>
        <w:t>月出生，</w:t>
      </w:r>
      <w:r>
        <w:rPr>
          <w:rFonts w:ascii="Times New Roman" w:hAnsi="Times New Roman" w:cs="Times New Roman" w:eastAsia="Times New Roman" w:hint="default"/>
          <w:spacing w:val="-2"/>
        </w:rPr>
        <w:t>1993</w:t>
      </w:r>
      <w:r>
        <w:rPr>
          <w:spacing w:val="-2"/>
        </w:rPr>
        <w:t>年毕业于解放军信息工程大学应用数学本科专业，</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w:t>
      </w:r>
      <w:r>
        <w:rPr>
          <w:spacing w:val="-2"/>
        </w:rPr>
        <w:t>月获中国科学院研究生院</w:t>
      </w:r>
    </w:p>
    <w:p>
      <w:pPr>
        <w:pStyle w:val="BodyText"/>
        <w:spacing w:line="302" w:lineRule="auto" w:before="26"/>
        <w:ind w:right="1127"/>
        <w:jc w:val="left"/>
      </w:pPr>
      <w:r>
        <w:rPr>
          <w:spacing w:val="-1"/>
        </w:rPr>
        <w:t>计算机技术领域工程硕士学位。</w:t>
      </w:r>
      <w:r>
        <w:rPr>
          <w:rFonts w:ascii="Times New Roman" w:hAnsi="Times New Roman" w:cs="Times New Roman" w:eastAsia="Times New Roman" w:hint="default"/>
          <w:spacing w:val="-1"/>
        </w:rPr>
        <w:t>1993</w:t>
      </w:r>
      <w:r>
        <w:rPr>
          <w:spacing w:val="-1"/>
        </w:rPr>
        <w:t>年</w:t>
      </w:r>
      <w:r>
        <w:rPr>
          <w:rFonts w:ascii="Times New Roman" w:hAnsi="Times New Roman" w:cs="Times New Roman" w:eastAsia="Times New Roman" w:hint="default"/>
          <w:spacing w:val="-1"/>
        </w:rPr>
        <w:t>-2000</w:t>
      </w:r>
      <w:r>
        <w:rPr>
          <w:spacing w:val="-1"/>
        </w:rPr>
        <w:t>年担任解放军总参谋部助理研究员，</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-2002</w:t>
      </w:r>
      <w:r>
        <w:rPr>
          <w:spacing w:val="-1"/>
        </w:rPr>
        <w:t>年担任北大青鸟科技股份有限</w:t>
      </w:r>
      <w:r>
        <w:rPr>
          <w:spacing w:val="-51"/>
        </w:rPr>
        <w:t> </w:t>
      </w:r>
      <w:r>
        <w:rPr/>
        <w:t>公司部门经理，</w:t>
      </w:r>
      <w:r>
        <w:rPr>
          <w:rFonts w:ascii="Times New Roman" w:hAnsi="Times New Roman" w:cs="Times New Roman" w:eastAsia="Times New Roman" w:hint="default"/>
        </w:rPr>
        <w:t>2002</w:t>
      </w:r>
      <w:r>
        <w:rPr/>
        <w:t>年至今任公司副总经理。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月兼任北京坚石信安科技有限公司执行董事、经理。</w:t>
      </w:r>
    </w:p>
    <w:p>
      <w:pPr>
        <w:pStyle w:val="BodyText"/>
        <w:spacing w:line="297" w:lineRule="auto" w:before="14"/>
        <w:ind w:right="1021" w:firstLine="360"/>
        <w:jc w:val="left"/>
      </w:pPr>
      <w:r>
        <w:rPr>
          <w:spacing w:val="-1"/>
        </w:rPr>
        <w:t>郑相启先生，</w:t>
      </w:r>
      <w:r>
        <w:rPr>
          <w:rFonts w:ascii="Times New Roman" w:hAnsi="Times New Roman" w:cs="Times New Roman" w:eastAsia="Times New Roman" w:hint="default"/>
          <w:spacing w:val="-1"/>
        </w:rPr>
        <w:t>1971</w:t>
      </w:r>
      <w:r>
        <w:rPr>
          <w:spacing w:val="-1"/>
        </w:rPr>
        <w:t>年</w:t>
      </w:r>
      <w:r>
        <w:rPr>
          <w:rFonts w:ascii="Times New Roman" w:hAnsi="Times New Roman" w:cs="Times New Roman" w:eastAsia="Times New Roman" w:hint="default"/>
          <w:spacing w:val="-1"/>
        </w:rPr>
        <w:t>1</w:t>
      </w:r>
      <w:r>
        <w:rPr>
          <w:spacing w:val="-1"/>
        </w:rPr>
        <w:t>月出生，</w:t>
      </w:r>
      <w:r>
        <w:rPr>
          <w:rFonts w:ascii="Times New Roman" w:hAnsi="Times New Roman" w:cs="Times New Roman" w:eastAsia="Times New Roman" w:hint="default"/>
          <w:spacing w:val="-1"/>
        </w:rPr>
        <w:t>1992</w:t>
      </w:r>
      <w:r>
        <w:rPr>
          <w:spacing w:val="-1"/>
        </w:rPr>
        <w:t>年</w:t>
      </w:r>
      <w:r>
        <w:rPr>
          <w:rFonts w:ascii="Times New Roman" w:hAnsi="Times New Roman" w:cs="Times New Roman" w:eastAsia="Times New Roman" w:hint="default"/>
          <w:spacing w:val="-1"/>
        </w:rPr>
        <w:t>7</w:t>
      </w:r>
      <w:r>
        <w:rPr>
          <w:spacing w:val="-1"/>
        </w:rPr>
        <w:t>月毕业于太原机械学院测试技术系仪表与测试技术专业，</w:t>
      </w:r>
      <w:r>
        <w:rPr>
          <w:rFonts w:ascii="Times New Roman" w:hAnsi="Times New Roman" w:cs="Times New Roman" w:eastAsia="Times New Roman" w:hint="default"/>
          <w:spacing w:val="-1"/>
        </w:rPr>
        <w:t>1996</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-1999</w:t>
      </w:r>
      <w:r>
        <w:rPr>
          <w:spacing w:val="-1"/>
        </w:rPr>
        <w:t>年</w:t>
      </w:r>
      <w:r>
        <w:rPr>
          <w:rFonts w:ascii="Times New Roman" w:hAnsi="Times New Roman" w:cs="Times New Roman" w:eastAsia="Times New Roman" w:hint="default"/>
          <w:spacing w:val="-1"/>
        </w:rPr>
        <w:t>7</w:t>
      </w:r>
      <w:r>
        <w:rPr>
          <w:spacing w:val="-1"/>
        </w:rPr>
        <w:t>月，</w:t>
      </w:r>
      <w:r>
        <w:rPr/>
        <w:t> 在北京理工大学机电工程学院，脱产学习智能控制与模式识别专业，硕士学位。</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11</w:t>
      </w:r>
      <w:r>
        <w:rPr/>
        <w:t>月，在华北工学院测试 技术系工作；</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3</w:t>
      </w:r>
      <w:r>
        <w:rPr/>
        <w:t>月历任首都师范大学（中科院计算所）计算机应用联合实验室教师、实验室副主任；</w:t>
      </w:r>
      <w:r>
        <w:rPr>
          <w:rFonts w:ascii="Times New Roman" w:hAnsi="Times New Roman" w:cs="Times New Roman" w:eastAsia="Times New Roman" w:hint="default"/>
        </w:rPr>
        <w:t>2003 </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7</w:t>
      </w:r>
      <w:r>
        <w:rPr/>
        <w:t>月任北京鸿泰恒润科技发展有限公司技术总监；</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月任公司副总工程师，</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月至今任</w:t>
      </w:r>
      <w:r>
        <w:rPr>
          <w:spacing w:val="-85"/>
        </w:rPr>
        <w:t> </w:t>
      </w:r>
      <w:r>
        <w:rPr/>
        <w:t>副总经理、副总工程师。</w:t>
      </w:r>
    </w:p>
    <w:p>
      <w:pPr>
        <w:pStyle w:val="BodyText"/>
        <w:spacing w:line="297" w:lineRule="auto" w:before="51"/>
        <w:ind w:right="1096" w:firstLine="360"/>
        <w:jc w:val="both"/>
      </w:pPr>
      <w:r>
        <w:rPr/>
        <w:t>谢</w:t>
      </w:r>
      <w:r>
        <w:rPr>
          <w:spacing w:val="-11"/>
        </w:rPr>
        <w:t> </w:t>
      </w:r>
      <w:r>
        <w:rPr/>
        <w:t>梁先生，</w:t>
      </w:r>
      <w:r>
        <w:rPr>
          <w:rFonts w:ascii="Times New Roman" w:hAnsi="Times New Roman" w:cs="Times New Roman" w:eastAsia="Times New Roman" w:hint="default"/>
        </w:rPr>
        <w:t>1981</w:t>
      </w:r>
      <w:r>
        <w:rPr/>
        <w:t>年</w:t>
      </w:r>
      <w:r>
        <w:rPr>
          <w:rFonts w:ascii="Times New Roman" w:hAnsi="Times New Roman" w:cs="Times New Roman" w:eastAsia="Times New Roman" w:hint="default"/>
        </w:rPr>
        <w:t>12</w:t>
      </w:r>
      <w:r>
        <w:rPr/>
        <w:t>月出生，</w:t>
      </w:r>
      <w:r>
        <w:rPr>
          <w:rFonts w:ascii="Times New Roman" w:hAnsi="Times New Roman" w:cs="Times New Roman" w:eastAsia="Times New Roman" w:hint="default"/>
        </w:rPr>
        <w:t>2001</w:t>
      </w:r>
      <w:r>
        <w:rPr/>
        <w:t>年毕业于中国科学院管理干部学院，计算机网络与通讯专业，</w:t>
      </w:r>
      <w:r>
        <w:rPr>
          <w:rFonts w:ascii="Times New Roman" w:hAnsi="Times New Roman" w:cs="Times New Roman" w:eastAsia="Times New Roman" w:hint="default"/>
        </w:rPr>
        <w:t>2011</w:t>
      </w:r>
      <w:r>
        <w:rPr/>
        <w:t>年毕业于兰州大 </w:t>
      </w:r>
      <w:r>
        <w:rPr>
          <w:spacing w:val="-4"/>
        </w:rPr>
        <w:t>学，工商管理专业，硕士学位。</w:t>
      </w:r>
      <w:r>
        <w:rPr>
          <w:rFonts w:ascii="Times New Roman" w:hAnsi="Times New Roman" w:cs="Times New Roman" w:eastAsia="Times New Roman" w:hint="default"/>
          <w:spacing w:val="-4"/>
        </w:rPr>
        <w:t>2001</w:t>
      </w:r>
      <w:r>
        <w:rPr>
          <w:spacing w:val="-4"/>
        </w:rPr>
        <w:t>年至今供职于公司，历任销售经理、上海办事处经理、华东营销中心总经理等职务，</w:t>
      </w:r>
      <w:r>
        <w:rPr>
          <w:rFonts w:ascii="Times New Roman" w:hAnsi="Times New Roman" w:cs="Times New Roman" w:eastAsia="Times New Roman" w:hint="default"/>
          <w:spacing w:val="-4"/>
        </w:rPr>
        <w:t>2012</w:t>
      </w:r>
      <w:r>
        <w:rPr>
          <w:rFonts w:ascii="Times New Roman" w:hAnsi="Times New Roman" w:cs="Times New Roman" w:eastAsia="Times New Roman" w:hint="default"/>
          <w:spacing w:val="-43"/>
        </w:rPr>
        <w:t> </w:t>
      </w:r>
      <w:r>
        <w:rPr/>
        <w:t>年</w:t>
      </w:r>
      <w:r>
        <w:rPr>
          <w:rFonts w:ascii="Times New Roman" w:hAnsi="Times New Roman" w:cs="Times New Roman" w:eastAsia="Times New Roman" w:hint="default"/>
        </w:rPr>
        <w:t>12</w:t>
      </w:r>
      <w:r>
        <w:rPr/>
        <w:t>月至今任副总经理。</w:t>
      </w:r>
    </w:p>
    <w:p>
      <w:pPr>
        <w:pStyle w:val="BodyText"/>
        <w:spacing w:line="304" w:lineRule="auto" w:before="18"/>
        <w:ind w:right="1119" w:firstLine="435"/>
        <w:jc w:val="left"/>
      </w:pPr>
      <w:r>
        <w:rPr/>
        <w:t>闫</w:t>
      </w:r>
      <w:r>
        <w:rPr>
          <w:spacing w:val="-14"/>
        </w:rPr>
        <w:t> </w:t>
      </w:r>
      <w:r>
        <w:rPr/>
        <w:t>岩先生</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10</w:t>
      </w:r>
      <w:r>
        <w:rPr/>
        <w:t>月出生，</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8</w:t>
      </w:r>
      <w:r>
        <w:rPr/>
        <w:t>月在北京机电研究所担任工程师，</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4</w:t>
      </w:r>
      <w:r>
        <w:rPr/>
        <w:t>月在北大方 正科技电脑系统有限公司产品解决方案部任产品解决方案经理，</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月历任北京捷德智能卡系统有限公司</w:t>
      </w:r>
      <w:r>
        <w:rPr>
          <w:spacing w:val="-84"/>
        </w:rPr>
        <w:t> </w:t>
      </w:r>
      <w:r>
        <w:rPr/>
        <w:t>产品经理，捷德（中国）信息科技有限公司产品经理，产品管理部负责人，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月至今任公司副总经理。</w:t>
      </w:r>
    </w:p>
    <w:p>
      <w:pPr>
        <w:pStyle w:val="BodyText"/>
        <w:spacing w:line="297" w:lineRule="auto" w:before="12"/>
        <w:ind w:right="1110" w:firstLine="360"/>
        <w:jc w:val="both"/>
      </w:pPr>
      <w:r>
        <w:rPr/>
        <w:t>李</w:t>
      </w:r>
      <w:r>
        <w:rPr>
          <w:spacing w:val="-65"/>
        </w:rPr>
        <w:t> </w:t>
      </w:r>
      <w:r>
        <w:rPr/>
        <w:t>懋先生，</w:t>
      </w:r>
      <w:r>
        <w:rPr>
          <w:rFonts w:ascii="Times New Roman" w:hAnsi="Times New Roman" w:cs="Times New Roman" w:eastAsia="Times New Roman" w:hint="default"/>
        </w:rPr>
        <w:t>1972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13</w:t>
      </w:r>
      <w:r>
        <w:rPr/>
        <w:t>日出生，</w:t>
      </w:r>
      <w:r>
        <w:rPr>
          <w:rFonts w:ascii="Times New Roman" w:hAnsi="Times New Roman" w:cs="Times New Roman" w:eastAsia="Times New Roman" w:hint="default"/>
        </w:rPr>
        <w:t>1990</w:t>
      </w:r>
      <w:r>
        <w:rPr/>
        <w:t>年至</w:t>
      </w:r>
      <w:r>
        <w:rPr>
          <w:rFonts w:ascii="Times New Roman" w:hAnsi="Times New Roman" w:cs="Times New Roman" w:eastAsia="Times New Roman" w:hint="default"/>
        </w:rPr>
        <w:t>1994</w:t>
      </w:r>
      <w:r>
        <w:rPr/>
        <w:t>年，就读于西安理工大学印刷技术专业。</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月在中钞 </w:t>
      </w:r>
      <w:r>
        <w:rPr>
          <w:spacing w:val="-2"/>
        </w:rPr>
        <w:t>信用卡厂工作，先后任车间副主任、生产技术部副主任、制卡部主任、市场营销部经理等职；</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2</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月任中钞</w:t>
      </w:r>
      <w:r>
        <w:rPr>
          <w:spacing w:val="-39"/>
        </w:rPr>
        <w:t> </w:t>
      </w:r>
      <w:r>
        <w:rPr>
          <w:spacing w:val="-3"/>
        </w:rPr>
        <w:t>信用卡产业发展有限公司总经理助理、副总经理等职，期间曾兼任市场营销中心经理、</w:t>
      </w:r>
      <w:r>
        <w:rPr>
          <w:rFonts w:ascii="Times New Roman" w:hAnsi="Times New Roman" w:cs="Times New Roman" w:eastAsia="Times New Roman" w:hint="default"/>
          <w:spacing w:val="-3"/>
        </w:rPr>
        <w:t>IC</w:t>
      </w:r>
      <w:r>
        <w:rPr>
          <w:spacing w:val="-3"/>
        </w:rPr>
        <w:t>卡事业部总经理；</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8</w:t>
      </w:r>
      <w:r>
        <w:rPr>
          <w:spacing w:val="-3"/>
        </w:rPr>
        <w:t>月至</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36"/>
        </w:rPr>
        <w:t> </w:t>
      </w:r>
      <w:r>
        <w:rPr/>
        <w:t>年</w:t>
      </w:r>
      <w:r>
        <w:rPr>
          <w:rFonts w:ascii="Times New Roman" w:hAnsi="Times New Roman" w:cs="Times New Roman" w:eastAsia="Times New Roman" w:hint="default"/>
        </w:rPr>
        <w:t>1</w:t>
      </w:r>
      <w:r>
        <w:rPr/>
        <w:t>月在中钞长城金融设备控股有限公司任副总经理。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日起任公司副总经理。</w:t>
      </w:r>
    </w:p>
    <w:p>
      <w:pPr>
        <w:pStyle w:val="BodyText"/>
        <w:spacing w:line="297" w:lineRule="auto" w:before="18"/>
        <w:ind w:right="1128" w:firstLine="360"/>
        <w:jc w:val="both"/>
      </w:pPr>
      <w:r>
        <w:rPr>
          <w:spacing w:val="-2"/>
        </w:rPr>
        <w:t>郁群慧女士，</w:t>
      </w:r>
      <w:r>
        <w:rPr>
          <w:rFonts w:ascii="Times New Roman" w:hAnsi="Times New Roman" w:cs="Times New Roman" w:eastAsia="Times New Roman" w:hint="default"/>
          <w:spacing w:val="-2"/>
        </w:rPr>
        <w:t>1967</w:t>
      </w:r>
      <w:r>
        <w:rPr>
          <w:spacing w:val="-2"/>
        </w:rPr>
        <w:t>年出生，</w:t>
      </w:r>
      <w:r>
        <w:rPr>
          <w:rFonts w:ascii="Times New Roman" w:hAnsi="Times New Roman" w:cs="Times New Roman" w:eastAsia="Times New Roman" w:hint="default"/>
          <w:spacing w:val="-2"/>
        </w:rPr>
        <w:t>1990</w:t>
      </w:r>
      <w:r>
        <w:rPr>
          <w:spacing w:val="-2"/>
        </w:rPr>
        <w:t>年</w:t>
      </w:r>
      <w:r>
        <w:rPr>
          <w:rFonts w:ascii="Times New Roman" w:hAnsi="Times New Roman" w:cs="Times New Roman" w:eastAsia="Times New Roman" w:hint="default"/>
          <w:spacing w:val="-2"/>
        </w:rPr>
        <w:t>7</w:t>
      </w:r>
      <w:r>
        <w:rPr>
          <w:spacing w:val="-2"/>
        </w:rPr>
        <w:t>月获清华大学半导体物理与器件专业学士学位，</w:t>
      </w:r>
      <w:r>
        <w:rPr>
          <w:rFonts w:ascii="Times New Roman" w:hAnsi="Times New Roman" w:cs="Times New Roman" w:eastAsia="Times New Roman" w:hint="default"/>
          <w:spacing w:val="-2"/>
        </w:rPr>
        <w:t>1992</w:t>
      </w:r>
      <w:r>
        <w:rPr>
          <w:spacing w:val="-2"/>
        </w:rPr>
        <w:t>年</w:t>
      </w:r>
      <w:r>
        <w:rPr>
          <w:rFonts w:ascii="Times New Roman" w:hAnsi="Times New Roman" w:cs="Times New Roman" w:eastAsia="Times New Roman" w:hint="default"/>
          <w:spacing w:val="-2"/>
        </w:rPr>
        <w:t>7</w:t>
      </w:r>
      <w:r>
        <w:rPr>
          <w:spacing w:val="-2"/>
        </w:rPr>
        <w:t>月获清华大学半导体器件与</w:t>
      </w:r>
      <w:r>
        <w:rPr/>
        <w:t> 微电子学专业硕士学位。</w:t>
      </w:r>
      <w:r>
        <w:rPr>
          <w:rFonts w:ascii="Times New Roman" w:hAnsi="Times New Roman" w:cs="Times New Roman" w:eastAsia="Times New Roman" w:hint="default"/>
        </w:rPr>
        <w:t>1997</w:t>
      </w:r>
      <w:r>
        <w:rPr/>
        <w:t>年硕士毕业后留校在清华大学微电子学研究所工作。</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4</w:t>
      </w:r>
      <w:r>
        <w:rPr/>
        <w:t>月加盟北京宏思电子技术有限责</w:t>
      </w:r>
      <w:r>
        <w:rPr>
          <w:spacing w:val="-83"/>
        </w:rPr>
        <w:t> </w:t>
      </w:r>
      <w:r>
        <w:rPr/>
        <w:t>任公司并工作至今，历任</w:t>
      </w:r>
      <w:r>
        <w:rPr>
          <w:rFonts w:ascii="Times New Roman" w:hAnsi="Times New Roman" w:cs="Times New Roman" w:eastAsia="Times New Roman" w:hint="default"/>
        </w:rPr>
        <w:t>IC</w:t>
      </w:r>
      <w:r>
        <w:rPr/>
        <w:t>设计部经理、技术总监、常务副总经理、董事总经理。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月任飞天诚信副总经理。</w:t>
      </w:r>
    </w:p>
    <w:p>
      <w:pPr>
        <w:pStyle w:val="BodyText"/>
        <w:spacing w:line="304" w:lineRule="auto" w:before="18"/>
        <w:ind w:right="1038" w:firstLine="360"/>
        <w:jc w:val="left"/>
      </w:pPr>
      <w:r>
        <w:rPr>
          <w:spacing w:val="-3"/>
        </w:rPr>
        <w:t>朱宝祥先生，</w:t>
      </w:r>
      <w:r>
        <w:rPr>
          <w:rFonts w:ascii="Times New Roman" w:hAnsi="Times New Roman" w:cs="Times New Roman" w:eastAsia="Times New Roman" w:hint="default"/>
          <w:spacing w:val="-3"/>
        </w:rPr>
        <w:t>1971</w:t>
      </w:r>
      <w:r>
        <w:rPr>
          <w:spacing w:val="-3"/>
        </w:rPr>
        <w:t>年出生，</w:t>
      </w:r>
      <w:r>
        <w:rPr>
          <w:rFonts w:ascii="Times New Roman" w:hAnsi="Times New Roman" w:cs="Times New Roman" w:eastAsia="Times New Roman" w:hint="default"/>
          <w:spacing w:val="-3"/>
        </w:rPr>
        <w:t>1994</w:t>
      </w:r>
      <w:r>
        <w:rPr>
          <w:spacing w:val="-3"/>
        </w:rPr>
        <w:t>年毕业于北京物资学院物资管理工程专业，</w:t>
      </w:r>
      <w:r>
        <w:rPr>
          <w:rFonts w:ascii="Times New Roman" w:hAnsi="Times New Roman" w:cs="Times New Roman" w:eastAsia="Times New Roman" w:hint="default"/>
          <w:spacing w:val="-3"/>
        </w:rPr>
        <w:t>2006</w:t>
      </w:r>
      <w:r>
        <w:rPr>
          <w:spacing w:val="-3"/>
        </w:rPr>
        <w:t>年取得香港中文大学工商管理硕士学位。</w:t>
      </w:r>
      <w:r>
        <w:rPr/>
        <w:t> </w:t>
      </w:r>
      <w:r>
        <w:rPr>
          <w:rFonts w:ascii="Times New Roman" w:hAnsi="Times New Roman" w:cs="Times New Roman" w:eastAsia="Times New Roman" w:hint="default"/>
          <w:spacing w:val="-2"/>
        </w:rPr>
        <w:t>1994</w:t>
      </w:r>
      <w:r>
        <w:rPr>
          <w:spacing w:val="-2"/>
        </w:rPr>
        <w:t>年</w:t>
      </w:r>
      <w:r>
        <w:rPr>
          <w:rFonts w:ascii="Times New Roman" w:hAnsi="Times New Roman" w:cs="Times New Roman" w:eastAsia="Times New Roman" w:hint="default"/>
          <w:spacing w:val="-2"/>
        </w:rPr>
        <w:t>-1998</w:t>
      </w:r>
      <w:r>
        <w:rPr>
          <w:spacing w:val="-2"/>
        </w:rPr>
        <w:t>年任职于中国电子物资总公司，</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-2005</w:t>
      </w:r>
      <w:r>
        <w:rPr>
          <w:spacing w:val="-2"/>
        </w:rPr>
        <w:t>年担任北京兴华会计师事务所审计经理，</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-2010</w:t>
      </w:r>
      <w:r>
        <w:rPr>
          <w:spacing w:val="-2"/>
        </w:rPr>
        <w:t>年担任天职国</w:t>
      </w:r>
      <w:r>
        <w:rPr>
          <w:spacing w:val="-37"/>
        </w:rPr>
        <w:t> </w:t>
      </w:r>
      <w:r>
        <w:rPr/>
        <w:t>际会计师事务所审计经理，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月至今任公司财务总监。</w:t>
      </w:r>
    </w:p>
    <w:p>
      <w:pPr>
        <w:pStyle w:val="BodyText"/>
        <w:spacing w:line="295" w:lineRule="auto" w:before="12"/>
        <w:ind w:right="1128" w:firstLine="360"/>
        <w:jc w:val="both"/>
      </w:pPr>
      <w:r>
        <w:rPr/>
        <w:t>吴</w:t>
      </w:r>
      <w:r>
        <w:rPr>
          <w:spacing w:val="-52"/>
        </w:rPr>
        <w:t> </w:t>
      </w:r>
      <w:r>
        <w:rPr/>
        <w:t>彼女士，</w:t>
      </w:r>
      <w:r>
        <w:rPr>
          <w:rFonts w:ascii="Times New Roman" w:hAnsi="Times New Roman" w:cs="Times New Roman" w:eastAsia="Times New Roman" w:hint="default"/>
        </w:rPr>
        <w:t>1977</w:t>
      </w:r>
      <w:r>
        <w:rPr/>
        <w:t>年出生，毕业于华中科技大学获工程硕士学位，工程师。</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7</w:t>
      </w:r>
      <w:r>
        <w:rPr/>
        <w:t>月任职于北京利玛信息技 术有限公司，历任产品研发部软件工程师，华北区售前售后咨询师，市场公关策划部经理，</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7</w:t>
      </w:r>
      <w:r>
        <w:rPr/>
        <w:t>月任北京南</w:t>
      </w:r>
      <w:r>
        <w:rPr>
          <w:spacing w:val="-82"/>
        </w:rPr>
        <w:t> </w:t>
      </w:r>
      <w:r>
        <w:rPr/>
        <w:t>北天地科技有限公司市场部经理，</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7</w:t>
      </w:r>
      <w:r>
        <w:rPr/>
        <w:t>月至今在公司任职，历任市场部副经理、经理、总监，现任公司董事会秘书、市</w:t>
      </w:r>
      <w:r>
        <w:rPr>
          <w:spacing w:val="-87"/>
        </w:rPr>
        <w:t> </w:t>
      </w:r>
      <w:r>
        <w:rPr/>
        <w:t>场总监。</w:t>
      </w:r>
    </w:p>
    <w:p>
      <w:pPr>
        <w:pStyle w:val="BodyText"/>
        <w:spacing w:line="240" w:lineRule="auto" w:before="83"/>
        <w:ind w:right="1100"/>
        <w:jc w:val="left"/>
      </w:pPr>
      <w:r>
        <w:rPr/>
        <w:t>在股东单位任职情况</w:t>
      </w:r>
    </w:p>
    <w:p>
      <w:pPr>
        <w:pStyle w:val="BodyText"/>
        <w:spacing w:line="319" w:lineRule="auto" w:before="124"/>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在其他单位任职情况</w:t>
      </w:r>
    </w:p>
    <w:p>
      <w:pPr>
        <w:spacing w:after="0" w:line="319"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240" w:lineRule="auto" w:before="44"/>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1202"/>
        <w:gridCol w:w="3199"/>
        <w:gridCol w:w="1066"/>
        <w:gridCol w:w="1186"/>
        <w:gridCol w:w="1337"/>
        <w:gridCol w:w="1592"/>
      </w:tblGrid>
      <w:tr>
        <w:trPr>
          <w:trHeight w:val="720"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60" w:right="90"/>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330" w:right="74" w:hanging="271"/>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21"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李琪</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国际资产评估有限公司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76"/>
                <w:sz w:val="18"/>
                <w:szCs w:val="18"/>
              </w:rPr>
              <w:t>、</w:t>
            </w:r>
            <w:r>
              <w:rPr>
                <w:rFonts w:ascii="宋体" w:hAnsi="宋体" w:cs="宋体" w:eastAsia="宋体" w:hint="default"/>
                <w:sz w:val="18"/>
                <w:szCs w:val="18"/>
              </w:rPr>
              <w:t>总经理</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5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5"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黄涛</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中科院软件所</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副所长</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6"/>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4"/>
        <w:ind w:right="1100"/>
        <w:jc w:val="left"/>
      </w:pPr>
      <w:r>
        <w:rPr/>
        <w:t>公司现任及报告期内离任董事、监事和高级管理人员近三年证券监管机构处罚的情况</w:t>
      </w:r>
    </w:p>
    <w:p>
      <w:pPr>
        <w:pStyle w:val="BodyText"/>
        <w:spacing w:line="240" w:lineRule="auto" w:before="125"/>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1100"/>
        <w:jc w:val="left"/>
        <w:rPr>
          <w:b w:val="0"/>
          <w:bCs w:val="0"/>
        </w:rPr>
      </w:pPr>
      <w:bookmarkStart w:name="四、董事、监事、高级管理人员报酬情况" w:id="128"/>
      <w:bookmarkEnd w:id="128"/>
      <w:r>
        <w:rPr>
          <w:b w:val="0"/>
          <w:bCs w:val="0"/>
        </w:rPr>
      </w:r>
      <w:r>
        <w:rPr/>
        <w:t>四、董事、监事、高级管理人员报酬情况</w:t>
      </w:r>
      <w:r>
        <w:rPr>
          <w:b w:val="0"/>
          <w:bCs w:val="0"/>
        </w:rPr>
      </w:r>
    </w:p>
    <w:p>
      <w:pPr>
        <w:spacing w:line="240" w:lineRule="auto" w:before="13"/>
        <w:rPr>
          <w:rFonts w:ascii="宋体" w:hAnsi="宋体" w:cs="宋体" w:eastAsia="宋体" w:hint="default"/>
          <w:b/>
          <w:bCs/>
          <w:sz w:val="24"/>
          <w:szCs w:val="24"/>
        </w:rPr>
      </w:pPr>
    </w:p>
    <w:p>
      <w:pPr>
        <w:pStyle w:val="BodyText"/>
        <w:spacing w:line="352" w:lineRule="auto"/>
        <w:ind w:right="1100"/>
        <w:jc w:val="left"/>
      </w:pPr>
      <w:r>
        <w:rPr/>
        <w:t>董事、监事、高级管理人员报酬的决策程序、确定依据、实际支付情况 </w:t>
      </w:r>
      <w:r>
        <w:rPr>
          <w:spacing w:val="-2"/>
        </w:rPr>
        <w:t>公司董事、监事报酬由股东大会决定，高级管理人员报酬由董事会决定；在公司担任工作职务的董事、监事、高级管理人员</w:t>
      </w:r>
    </w:p>
    <w:p>
      <w:pPr>
        <w:pStyle w:val="BodyText"/>
        <w:spacing w:line="304" w:lineRule="auto" w:before="10"/>
        <w:ind w:right="1086"/>
        <w:jc w:val="left"/>
      </w:pPr>
      <w:r>
        <w:rPr>
          <w:spacing w:val="-1"/>
        </w:rPr>
        <w:t>报酬由公司支付，独立董事津贴根据股东大会所通过的决议来进行支付。</w:t>
      </w:r>
      <w:r>
        <w:rPr>
          <w:rFonts w:ascii="Times New Roman" w:hAnsi="Times New Roman" w:cs="Times New Roman" w:eastAsia="Times New Roman" w:hint="default"/>
          <w:spacing w:val="-1"/>
        </w:rPr>
        <w:t>2019</w:t>
      </w:r>
      <w:r>
        <w:rPr>
          <w:spacing w:val="-1"/>
        </w:rPr>
        <w:t>年公司董事、监事和高级管理人员</w:t>
      </w:r>
      <w:r>
        <w:rPr>
          <w:rFonts w:ascii="Times New Roman" w:hAnsi="Times New Roman" w:cs="Times New Roman" w:eastAsia="Times New Roman" w:hint="default"/>
          <w:spacing w:val="-1"/>
        </w:rPr>
        <w:t>16</w:t>
      </w:r>
      <w:r>
        <w:rPr>
          <w:spacing w:val="-1"/>
        </w:rPr>
        <w:t>人，实际</w:t>
      </w:r>
      <w:r>
        <w:rPr>
          <w:spacing w:val="-84"/>
        </w:rPr>
        <w:t> </w:t>
      </w:r>
      <w:r>
        <w:rPr>
          <w:spacing w:val="-84"/>
        </w:rPr>
      </w:r>
      <w:r>
        <w:rPr/>
        <w:t>支付</w:t>
      </w:r>
      <w:r>
        <w:rPr>
          <w:rFonts w:ascii="Times New Roman" w:hAnsi="Times New Roman" w:cs="Times New Roman" w:eastAsia="Times New Roman" w:hint="default"/>
        </w:rPr>
        <w:t>854.98</w:t>
      </w:r>
      <w:r>
        <w:rPr/>
        <w:t>万元。</w:t>
      </w:r>
    </w:p>
    <w:p>
      <w:pPr>
        <w:pStyle w:val="BodyText"/>
        <w:spacing w:line="240" w:lineRule="auto" w:before="42"/>
        <w:ind w:right="1100"/>
        <w:jc w:val="left"/>
      </w:pPr>
      <w:r>
        <w:rPr/>
        <w:t>公司报告期内董事、监事和高级管理人员报酬情况</w:t>
      </w:r>
    </w:p>
    <w:p>
      <w:pPr>
        <w:pStyle w:val="BodyText"/>
        <w:spacing w:line="240" w:lineRule="auto" w:before="109"/>
        <w:ind w:left="0" w:right="1110"/>
        <w:jc w:val="right"/>
      </w:pPr>
      <w:r>
        <w:rPr/>
        <w:pict>
          <v:group style="position:absolute;margin-left:193.75pt;margin-top:99.281731pt;width:68.350pt;height:28.55pt;mso-position-horizontal-relative:page;mso-position-vertical-relative:paragraph;z-index:-1120432" coordorigin="3875,1986" coordsize="1367,571">
            <v:group style="position:absolute;left:3875;top:1986;width:1367;height:150" coordorigin="3875,1986" coordsize="1367,150">
              <v:shape style="position:absolute;left:3875;top:1986;width:1367;height:150" coordorigin="3875,1986" coordsize="1367,150" path="m3875,2136l5242,2136,5242,1986,3875,1986,3875,2136xe" filled="true" fillcolor="#ffffff" stroked="false">
                <v:path arrowok="t"/>
                <v:fill type="solid"/>
              </v:shape>
            </v:group>
            <v:group style="position:absolute;left:3890;top:2136;width:2;height:406" coordorigin="3890,2136" coordsize="2,406">
              <v:shape style="position:absolute;left:3890;top:2136;width:2;height:406" coordorigin="3890,2136" coordsize="0,406" path="m3890,2136l3890,2541e" filled="false" stroked="true" strokeweight="1.5pt" strokecolor="#ffffff">
                <v:path arrowok="t"/>
              </v:shape>
            </v:group>
            <v:group style="position:absolute;left:3905;top:2136;width:1307;height:406" coordorigin="3905,2136" coordsize="1307,406">
              <v:shape style="position:absolute;left:3905;top:2136;width:1307;height:406" coordorigin="3905,2136" coordsize="1307,406" path="m3905,2541l5212,2541,5212,2136,3905,2136,3905,2541xe" filled="true" fillcolor="#ffffff" stroked="false">
                <v:path arrowok="t"/>
                <v:fill type="solid"/>
              </v:shape>
            </v:group>
            <w10:wrap type="none"/>
          </v:group>
        </w:pict>
      </w:r>
      <w:r>
        <w:rPr/>
        <w:t>单位：万元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72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年龄</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210" w:right="59"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210" w:right="59" w:hanging="181"/>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黄煜</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50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44.22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李伟</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49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44.21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陆舟</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30" w:right="106"/>
              <w:jc w:val="left"/>
              <w:rPr>
                <w:rFonts w:ascii="宋体" w:hAnsi="宋体" w:cs="宋体" w:eastAsia="宋体" w:hint="default"/>
                <w:sz w:val="18"/>
                <w:szCs w:val="18"/>
              </w:rPr>
            </w:pPr>
            <w:r>
              <w:rPr>
                <w:rFonts w:ascii="宋体" w:hAnsi="宋体" w:cs="宋体" w:eastAsia="宋体" w:hint="default"/>
                <w:spacing w:val="-7"/>
                <w:sz w:val="18"/>
                <w:szCs w:val="18"/>
              </w:rPr>
              <w:t>董事、副总经理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总工程师</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before="45"/>
              <w:ind w:left="-12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3" w:lineRule="exact"/>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42.62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李琪</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黄涛</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54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田端</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61"/>
              <w:jc w:val="left"/>
              <w:rPr>
                <w:rFonts w:ascii="宋体" w:hAnsi="宋体" w:cs="宋体" w:eastAsia="宋体" w:hint="default"/>
                <w:sz w:val="18"/>
                <w:szCs w:val="18"/>
              </w:rPr>
            </w:pPr>
            <w:r>
              <w:rPr>
                <w:rFonts w:ascii="宋体" w:hAnsi="宋体" w:cs="宋体" w:eastAsia="宋体" w:hint="default"/>
                <w:sz w:val="18"/>
                <w:szCs w:val="18"/>
              </w:rPr>
              <w:t>监事会主席，人 力资源总监</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41.14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张英魁</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61"/>
              <w:jc w:val="left"/>
              <w:rPr>
                <w:rFonts w:ascii="宋体" w:hAnsi="宋体" w:cs="宋体" w:eastAsia="宋体" w:hint="default"/>
                <w:sz w:val="18"/>
                <w:szCs w:val="18"/>
              </w:rPr>
            </w:pPr>
            <w:r>
              <w:rPr>
                <w:rFonts w:ascii="宋体" w:hAnsi="宋体" w:cs="宋体" w:eastAsia="宋体" w:hint="default"/>
                <w:sz w:val="18"/>
                <w:szCs w:val="18"/>
              </w:rPr>
              <w:t>职工监事，读卡 器部经理</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58.93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孙晓东</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监事，销售经理</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45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44.95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于华章</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48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64.64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郑相启</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80.83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谢梁</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78.81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闫岩</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65.34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李懋</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47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81.28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郁群慧</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53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98.56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朱宝祥</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52.68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吴彼</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61"/>
              <w:jc w:val="left"/>
              <w:rPr>
                <w:rFonts w:ascii="宋体" w:hAnsi="宋体" w:cs="宋体" w:eastAsia="宋体" w:hint="default"/>
                <w:sz w:val="18"/>
                <w:szCs w:val="18"/>
              </w:rPr>
            </w:pPr>
            <w:r>
              <w:rPr>
                <w:rFonts w:ascii="宋体" w:hAnsi="宋体" w:cs="宋体" w:eastAsia="宋体" w:hint="default"/>
                <w:sz w:val="18"/>
                <w:szCs w:val="18"/>
              </w:rPr>
              <w:t>董事会秘书、市 场总监</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44.78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3"/>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29"/>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28"/>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854.99</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27"/>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4"/>
        <w:ind w:right="1100"/>
        <w:jc w:val="left"/>
      </w:pPr>
      <w:r>
        <w:rPr/>
        <w:t>公司董事、高级管理人员报告期内被授予的股权激励情况</w:t>
      </w:r>
    </w:p>
    <w:p>
      <w:pPr>
        <w:pStyle w:val="BodyText"/>
        <w:spacing w:line="240" w:lineRule="auto" w:before="125"/>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1100"/>
        <w:jc w:val="left"/>
        <w:rPr>
          <w:b w:val="0"/>
          <w:bCs w:val="0"/>
        </w:rPr>
      </w:pPr>
      <w:bookmarkStart w:name="五、公司员工情况" w:id="129"/>
      <w:bookmarkEnd w:id="129"/>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00"/>
        <w:jc w:val="left"/>
        <w:rPr>
          <w:b w:val="0"/>
          <w:bCs w:val="0"/>
        </w:rPr>
      </w:pPr>
      <w:bookmarkStart w:name="1、员工数量、专业构成及教育程度" w:id="130"/>
      <w:bookmarkEnd w:id="130"/>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2"/>
        <w:rPr>
          <w:rFonts w:ascii="宋体" w:hAnsi="宋体" w:cs="宋体" w:eastAsia="宋体" w:hint="default"/>
          <w:b/>
          <w:bCs/>
          <w:sz w:val="25"/>
          <w:szCs w:val="25"/>
        </w:rPr>
      </w:pPr>
    </w:p>
    <w:tbl>
      <w:tblPr>
        <w:tblW w:w="0" w:type="auto"/>
        <w:jc w:val="left"/>
        <w:tblInd w:w="133" w:type="dxa"/>
        <w:tblLayout w:type="fixed"/>
        <w:tblCellMar>
          <w:top w:w="0" w:type="dxa"/>
          <w:left w:w="0" w:type="dxa"/>
          <w:bottom w:w="0" w:type="dxa"/>
          <w:right w:w="0" w:type="dxa"/>
        </w:tblCellMar>
        <w:tblLook w:val="01E0"/>
      </w:tblPr>
      <w:tblGrid>
        <w:gridCol w:w="4779"/>
        <w:gridCol w:w="4796"/>
      </w:tblGrid>
      <w:tr>
        <w:trPr>
          <w:trHeight w:val="405" w:hRule="exact"/>
        </w:trPr>
        <w:tc>
          <w:tcPr>
            <w:tcW w:w="47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833</w:t>
            </w:r>
          </w:p>
        </w:tc>
      </w:tr>
      <w:tr>
        <w:trPr>
          <w:trHeight w:val="391" w:hRule="exact"/>
        </w:trPr>
        <w:tc>
          <w:tcPr>
            <w:tcW w:w="47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99</w:t>
            </w:r>
          </w:p>
        </w:tc>
      </w:tr>
      <w:tr>
        <w:trPr>
          <w:trHeight w:val="406" w:hRule="exact"/>
        </w:trPr>
        <w:tc>
          <w:tcPr>
            <w:tcW w:w="47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932</w:t>
            </w:r>
          </w:p>
        </w:tc>
      </w:tr>
      <w:tr>
        <w:trPr>
          <w:trHeight w:val="405" w:hRule="exact"/>
        </w:trPr>
        <w:tc>
          <w:tcPr>
            <w:tcW w:w="47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932</w:t>
            </w:r>
          </w:p>
        </w:tc>
      </w:tr>
      <w:tr>
        <w:trPr>
          <w:trHeight w:val="405" w:hRule="exact"/>
        </w:trPr>
        <w:tc>
          <w:tcPr>
            <w:tcW w:w="47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r>
        <w:trPr>
          <w:trHeight w:val="406" w:hRule="exact"/>
        </w:trPr>
        <w:tc>
          <w:tcPr>
            <w:tcW w:w="957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 w:right="21"/>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0" w:hRule="exact"/>
        </w:trPr>
        <w:tc>
          <w:tcPr>
            <w:tcW w:w="47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3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6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5" w:hRule="exact"/>
        </w:trPr>
        <w:tc>
          <w:tcPr>
            <w:tcW w:w="47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244</w:t>
            </w:r>
          </w:p>
        </w:tc>
      </w:tr>
      <w:tr>
        <w:trPr>
          <w:trHeight w:val="405" w:hRule="exact"/>
        </w:trPr>
        <w:tc>
          <w:tcPr>
            <w:tcW w:w="47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139</w:t>
            </w:r>
          </w:p>
        </w:tc>
      </w:tr>
      <w:tr>
        <w:trPr>
          <w:trHeight w:val="406" w:hRule="exact"/>
        </w:trPr>
        <w:tc>
          <w:tcPr>
            <w:tcW w:w="47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444</w:t>
            </w:r>
          </w:p>
        </w:tc>
      </w:tr>
      <w:tr>
        <w:trPr>
          <w:trHeight w:val="405" w:hRule="exact"/>
        </w:trPr>
        <w:tc>
          <w:tcPr>
            <w:tcW w:w="47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20</w:t>
            </w:r>
          </w:p>
        </w:tc>
      </w:tr>
      <w:tr>
        <w:trPr>
          <w:trHeight w:val="391" w:hRule="exact"/>
        </w:trPr>
        <w:tc>
          <w:tcPr>
            <w:tcW w:w="47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85</w:t>
            </w:r>
          </w:p>
        </w:tc>
      </w:tr>
      <w:tr>
        <w:trPr>
          <w:trHeight w:val="413" w:hRule="exact"/>
        </w:trPr>
        <w:tc>
          <w:tcPr>
            <w:tcW w:w="47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932</w:t>
            </w:r>
          </w:p>
        </w:tc>
      </w:tr>
      <w:tr>
        <w:trPr>
          <w:trHeight w:val="398" w:hRule="exact"/>
        </w:trPr>
        <w:tc>
          <w:tcPr>
            <w:tcW w:w="957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7"/>
              <w:ind w:left="-1" w:right="21"/>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6" w:hRule="exact"/>
        </w:trPr>
        <w:tc>
          <w:tcPr>
            <w:tcW w:w="47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5" w:hRule="exact"/>
        </w:trPr>
        <w:tc>
          <w:tcPr>
            <w:tcW w:w="4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87</w:t>
            </w:r>
          </w:p>
        </w:tc>
      </w:tr>
      <w:tr>
        <w:trPr>
          <w:trHeight w:val="390" w:hRule="exact"/>
        </w:trPr>
        <w:tc>
          <w:tcPr>
            <w:tcW w:w="4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385</w:t>
            </w:r>
          </w:p>
        </w:tc>
      </w:tr>
      <w:tr>
        <w:trPr>
          <w:trHeight w:val="405" w:hRule="exact"/>
        </w:trPr>
        <w:tc>
          <w:tcPr>
            <w:tcW w:w="4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大中专</w:t>
            </w:r>
          </w:p>
        </w:tc>
        <w:tc>
          <w:tcPr>
            <w:tcW w:w="4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252</w:t>
            </w:r>
          </w:p>
        </w:tc>
      </w:tr>
      <w:tr>
        <w:trPr>
          <w:trHeight w:val="405" w:hRule="exact"/>
        </w:trPr>
        <w:tc>
          <w:tcPr>
            <w:tcW w:w="4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中专以下</w:t>
            </w:r>
          </w:p>
        </w:tc>
        <w:tc>
          <w:tcPr>
            <w:tcW w:w="4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208</w:t>
            </w:r>
          </w:p>
        </w:tc>
      </w:tr>
      <w:tr>
        <w:trPr>
          <w:trHeight w:val="391" w:hRule="exact"/>
        </w:trPr>
        <w:tc>
          <w:tcPr>
            <w:tcW w:w="47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932</w:t>
            </w:r>
          </w:p>
        </w:tc>
      </w:tr>
    </w:tbl>
    <w:p>
      <w:pPr>
        <w:spacing w:line="240" w:lineRule="auto" w:before="11"/>
        <w:rPr>
          <w:rFonts w:ascii="宋体" w:hAnsi="宋体" w:cs="宋体" w:eastAsia="宋体" w:hint="default"/>
          <w:b/>
          <w:bCs/>
          <w:sz w:val="19"/>
          <w:szCs w:val="19"/>
        </w:rPr>
      </w:pPr>
    </w:p>
    <w:p>
      <w:pPr>
        <w:pStyle w:val="Heading4"/>
        <w:spacing w:line="240" w:lineRule="auto" w:before="35"/>
        <w:ind w:right="1100"/>
        <w:jc w:val="left"/>
        <w:rPr>
          <w:b w:val="0"/>
          <w:bCs w:val="0"/>
        </w:rPr>
      </w:pPr>
      <w:bookmarkStart w:name="2、薪酬政策" w:id="131"/>
      <w:bookmarkEnd w:id="131"/>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5"/>
        <w:rPr>
          <w:rFonts w:ascii="宋体" w:hAnsi="宋体" w:cs="宋体" w:eastAsia="宋体" w:hint="default"/>
          <w:b/>
          <w:bCs/>
          <w:sz w:val="26"/>
          <w:szCs w:val="26"/>
        </w:rPr>
      </w:pPr>
    </w:p>
    <w:p>
      <w:pPr>
        <w:pStyle w:val="BodyText"/>
        <w:spacing w:line="304" w:lineRule="auto"/>
        <w:ind w:right="1060" w:firstLine="360"/>
        <w:jc w:val="both"/>
      </w:pPr>
      <w:r>
        <w:rPr/>
        <w:t>公司秉承</w:t>
      </w:r>
      <w:r>
        <w:rPr>
          <w:rFonts w:ascii="Times New Roman" w:hAnsi="Times New Roman" w:cs="Times New Roman" w:eastAsia="Times New Roman" w:hint="default"/>
        </w:rPr>
        <w:t>“</w:t>
      </w:r>
      <w:r>
        <w:rPr/>
        <w:t>公平、公正</w:t>
      </w:r>
      <w:r>
        <w:rPr>
          <w:rFonts w:ascii="Times New Roman" w:hAnsi="Times New Roman" w:cs="Times New Roman" w:eastAsia="Times New Roman" w:hint="default"/>
        </w:rPr>
        <w:t>”</w:t>
      </w:r>
      <w:r>
        <w:rPr/>
        <w:t>原则，将员工的德、能、勤、效与薪酬紧密结合在一起，不断完善公平、健全的薪酬绩效体系， </w:t>
      </w:r>
      <w:r>
        <w:rPr>
          <w:spacing w:val="-2"/>
        </w:rPr>
        <w:t>保证员工薪酬的内部公平性与外部竞争性。公司针对不同的工作岗位，制订了不同的绩效管理方法，通过上述薪酬制度，有</w:t>
      </w:r>
      <w:r>
        <w:rPr>
          <w:spacing w:val="-42"/>
        </w:rPr>
        <w:t> </w:t>
      </w:r>
      <w:r>
        <w:rPr>
          <w:spacing w:val="-42"/>
        </w:rPr>
      </w:r>
      <w:r>
        <w:rPr/>
        <w:t>效地激发了员工工作的积极性和创造性。</w:t>
      </w:r>
    </w:p>
    <w:p>
      <w:pPr>
        <w:pStyle w:val="BodyText"/>
        <w:spacing w:line="333" w:lineRule="auto" w:before="91"/>
        <w:ind w:left="501" w:right="1194" w:hanging="361"/>
        <w:jc w:val="left"/>
      </w:pPr>
      <w:r>
        <w:rPr/>
        <w:t>公司需遵守《深圳证券交易所行业信息披露指引第</w:t>
      </w:r>
      <w:r>
        <w:rPr>
          <w:spacing w:val="-40"/>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报告期内，</w:t>
      </w:r>
      <w:r>
        <w:rPr>
          <w:rFonts w:ascii="Times New Roman" w:hAnsi="Times New Roman" w:cs="Times New Roman" w:eastAsia="Times New Roman" w:hint="default"/>
        </w:rPr>
        <w:t>2019</w:t>
      </w:r>
      <w:r>
        <w:rPr/>
        <w:t>年计入营业成本部分的职工薪酬总额为</w:t>
      </w:r>
      <w:r>
        <w:rPr>
          <w:rFonts w:ascii="Times New Roman" w:hAnsi="Times New Roman" w:cs="Times New Roman" w:eastAsia="Times New Roman" w:hint="default"/>
        </w:rPr>
        <w:t>2,862.60</w:t>
      </w:r>
      <w:r>
        <w:rPr/>
        <w:t>万元，占公司营业成本总额的</w:t>
      </w:r>
      <w:r>
        <w:rPr>
          <w:rFonts w:ascii="Times New Roman" w:hAnsi="Times New Roman" w:cs="Times New Roman" w:eastAsia="Times New Roman" w:hint="default"/>
        </w:rPr>
        <w:t>4.94%</w:t>
      </w:r>
      <w:r>
        <w:rPr/>
        <w:t>；计入营业成本部</w:t>
      </w:r>
    </w:p>
    <w:p>
      <w:pPr>
        <w:spacing w:after="0" w:line="333"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302" w:lineRule="auto" w:before="44"/>
        <w:ind w:right="1104"/>
        <w:jc w:val="left"/>
      </w:pPr>
      <w:r>
        <w:rPr/>
        <w:t>分的职工薪酬总额为</w:t>
      </w:r>
      <w:r>
        <w:rPr>
          <w:rFonts w:ascii="Times New Roman" w:hAnsi="Times New Roman" w:cs="Times New Roman" w:eastAsia="Times New Roman" w:hint="default"/>
        </w:rPr>
        <w:t>2,996.98</w:t>
      </w:r>
      <w:r>
        <w:rPr/>
        <w:t>万元，占公司营业成本总额的</w:t>
      </w:r>
      <w:r>
        <w:rPr>
          <w:rFonts w:ascii="Times New Roman" w:hAnsi="Times New Roman" w:cs="Times New Roman" w:eastAsia="Times New Roman" w:hint="default"/>
        </w:rPr>
        <w:t>4.94%</w:t>
      </w:r>
      <w:r>
        <w:rPr/>
        <w:t>；；上年同期计入营业成本部分的职工薪酬总额为</w:t>
      </w:r>
      <w:r>
        <w:rPr>
          <w:rFonts w:ascii="Times New Roman" w:hAnsi="Times New Roman" w:cs="Times New Roman" w:eastAsia="Times New Roman" w:hint="default"/>
        </w:rPr>
        <w:t>2,996.98</w:t>
      </w:r>
      <w:r>
        <w:rPr>
          <w:rFonts w:ascii="Times New Roman" w:hAnsi="Times New Roman" w:cs="Times New Roman" w:eastAsia="Times New Roman" w:hint="default"/>
          <w:spacing w:val="-35"/>
        </w:rPr>
        <w:t> </w:t>
      </w:r>
      <w:r>
        <w:rPr/>
        <w:t>万元，占公司营业成本总额的</w:t>
      </w:r>
      <w:r>
        <w:rPr>
          <w:rFonts w:ascii="Times New Roman" w:hAnsi="Times New Roman" w:cs="Times New Roman" w:eastAsia="Times New Roman" w:hint="default"/>
        </w:rPr>
        <w:t>4.48%</w:t>
      </w:r>
      <w:r>
        <w:rPr/>
        <w:t>，较上期增加</w:t>
      </w:r>
      <w:r>
        <w:rPr>
          <w:rFonts w:ascii="Times New Roman" w:hAnsi="Times New Roman" w:cs="Times New Roman" w:eastAsia="Times New Roman" w:hint="default"/>
        </w:rPr>
        <w:t>0.46%</w:t>
      </w:r>
      <w:r>
        <w:rPr/>
        <w:t>。</w:t>
      </w:r>
    </w:p>
    <w:p>
      <w:pPr>
        <w:pStyle w:val="BodyText"/>
        <w:spacing w:line="295" w:lineRule="auto" w:before="14"/>
        <w:ind w:right="1099" w:firstLine="360"/>
        <w:jc w:val="both"/>
      </w:pPr>
      <w:r>
        <w:rPr/>
        <w:t>公司主营利润对职工薪酬总额变化的敏感性较低。</w:t>
      </w:r>
      <w:r>
        <w:rPr>
          <w:rFonts w:ascii="Times New Roman" w:hAnsi="Times New Roman" w:cs="Times New Roman" w:eastAsia="Times New Roman" w:hint="default"/>
        </w:rPr>
        <w:t>2019</w:t>
      </w:r>
      <w:r>
        <w:rPr/>
        <w:t>年，核心技术人员</w:t>
      </w:r>
      <w:r>
        <w:rPr>
          <w:rFonts w:ascii="Times New Roman" w:hAnsi="Times New Roman" w:cs="Times New Roman" w:eastAsia="Times New Roman" w:hint="default"/>
        </w:rPr>
        <w:t>119</w:t>
      </w:r>
      <w:r>
        <w:rPr/>
        <w:t>人，占公司总人数的</w:t>
      </w:r>
      <w:r>
        <w:rPr>
          <w:rFonts w:ascii="Times New Roman" w:hAnsi="Times New Roman" w:cs="Times New Roman" w:eastAsia="Times New Roman" w:hint="default"/>
        </w:rPr>
        <w:t>12.77%</w:t>
      </w:r>
      <w:r>
        <w:rPr/>
        <w:t>，核心技术人 员薪酬占公司薪酬总额的</w:t>
      </w:r>
      <w:r>
        <w:rPr>
          <w:rFonts w:ascii="Times New Roman" w:hAnsi="Times New Roman" w:cs="Times New Roman" w:eastAsia="Times New Roman" w:hint="default"/>
        </w:rPr>
        <w:t>14.51%</w:t>
      </w:r>
      <w:r>
        <w:rPr/>
        <w:t>；</w:t>
      </w:r>
      <w:r>
        <w:rPr>
          <w:rFonts w:ascii="Times New Roman" w:hAnsi="Times New Roman" w:cs="Times New Roman" w:eastAsia="Times New Roman" w:hint="default"/>
        </w:rPr>
        <w:t>2018</w:t>
      </w:r>
      <w:r>
        <w:rPr/>
        <w:t>年，核心技术人员</w:t>
      </w:r>
      <w:r>
        <w:rPr>
          <w:rFonts w:ascii="Times New Roman" w:hAnsi="Times New Roman" w:cs="Times New Roman" w:eastAsia="Times New Roman" w:hint="default"/>
        </w:rPr>
        <w:t>104</w:t>
      </w:r>
      <w:r>
        <w:rPr/>
        <w:t>人，占公司总人数的</w:t>
      </w:r>
      <w:r>
        <w:rPr>
          <w:rFonts w:ascii="Times New Roman" w:hAnsi="Times New Roman" w:cs="Times New Roman" w:eastAsia="Times New Roman" w:hint="default"/>
        </w:rPr>
        <w:t>11.13%</w:t>
      </w:r>
      <w:r>
        <w:rPr/>
        <w:t>，核心技术人员薪酬占公司薪酬总</w:t>
      </w:r>
      <w:r>
        <w:rPr>
          <w:spacing w:val="-85"/>
        </w:rPr>
        <w:t> </w:t>
      </w:r>
      <w:r>
        <w:rPr/>
        <w:t>额的</w:t>
      </w:r>
      <w:r>
        <w:rPr>
          <w:rFonts w:ascii="Times New Roman" w:hAnsi="Times New Roman" w:cs="Times New Roman" w:eastAsia="Times New Roman" w:hint="default"/>
        </w:rPr>
        <w:t>12.40%</w:t>
      </w:r>
      <w:r>
        <w:rPr/>
        <w:t>，</w:t>
      </w:r>
      <w:r>
        <w:rPr>
          <w:spacing w:val="-13"/>
        </w:rPr>
        <w:t> </w:t>
      </w:r>
      <w:r>
        <w:rPr>
          <w:rFonts w:ascii="Times New Roman" w:hAnsi="Times New Roman" w:cs="Times New Roman" w:eastAsia="Times New Roman" w:hint="default"/>
        </w:rPr>
        <w:t>2019</w:t>
      </w:r>
      <w:r>
        <w:rPr/>
        <w:t>核心技术人员薪酬占比较</w:t>
      </w:r>
      <w:r>
        <w:rPr>
          <w:rFonts w:ascii="Times New Roman" w:hAnsi="Times New Roman" w:cs="Times New Roman" w:eastAsia="Times New Roman" w:hint="default"/>
        </w:rPr>
        <w:t>2018</w:t>
      </w:r>
      <w:r>
        <w:rPr/>
        <w:t>年略有提升。</w:t>
      </w:r>
    </w:p>
    <w:p>
      <w:pPr>
        <w:spacing w:line="240" w:lineRule="auto" w:before="13"/>
        <w:rPr>
          <w:rFonts w:ascii="宋体" w:hAnsi="宋体" w:cs="宋体" w:eastAsia="宋体" w:hint="default"/>
          <w:sz w:val="22"/>
          <w:szCs w:val="22"/>
        </w:rPr>
      </w:pPr>
    </w:p>
    <w:p>
      <w:pPr>
        <w:pStyle w:val="Heading4"/>
        <w:spacing w:line="240" w:lineRule="auto"/>
        <w:ind w:right="1100"/>
        <w:jc w:val="left"/>
        <w:rPr>
          <w:b w:val="0"/>
          <w:bCs w:val="0"/>
        </w:rPr>
      </w:pPr>
      <w:bookmarkStart w:name="3、培训计划" w:id="132"/>
      <w:bookmarkEnd w:id="132"/>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3"/>
        <w:rPr>
          <w:rFonts w:ascii="宋体" w:hAnsi="宋体" w:cs="宋体" w:eastAsia="宋体" w:hint="default"/>
          <w:b/>
          <w:bCs/>
          <w:sz w:val="25"/>
          <w:szCs w:val="25"/>
        </w:rPr>
      </w:pPr>
    </w:p>
    <w:p>
      <w:pPr>
        <w:pStyle w:val="BodyText"/>
        <w:spacing w:line="321" w:lineRule="auto"/>
        <w:ind w:right="1106" w:firstLine="360"/>
        <w:jc w:val="both"/>
      </w:pPr>
      <w:r>
        <w:rPr>
          <w:spacing w:val="-2"/>
        </w:rPr>
        <w:t>报告期内公司制订了年度培训计划并认真落实，采用外部培训和内部培训相结合的方式，外部培训包含拓展培训、中高</w:t>
      </w:r>
      <w:r>
        <w:rPr/>
        <w:t> </w:t>
      </w:r>
      <w:r>
        <w:rPr>
          <w:spacing w:val="-2"/>
        </w:rPr>
        <w:t>层管理人员管理能力与素质等培训；内部培训每周进行一次，包含新员工入职培训、知识产权及专业技术等培训，公司员工</w:t>
      </w:r>
      <w:r>
        <w:rPr>
          <w:spacing w:val="-42"/>
        </w:rPr>
        <w:t> </w:t>
      </w:r>
      <w:r>
        <w:rPr>
          <w:spacing w:val="-42"/>
        </w:rPr>
      </w:r>
      <w:r>
        <w:rPr/>
        <w:t>共计</w:t>
      </w:r>
      <w:r>
        <w:rPr>
          <w:rFonts w:ascii="Times New Roman" w:hAnsi="Times New Roman" w:cs="Times New Roman" w:eastAsia="Times New Roman" w:hint="default"/>
        </w:rPr>
        <w:t>1722</w:t>
      </w:r>
      <w:r>
        <w:rPr/>
        <w:t>人次参加了培训，通过培训增强了公司各类人才的业务知识和岗位技能，保证了公司管理体系的有效运行。</w:t>
      </w:r>
    </w:p>
    <w:p>
      <w:pPr>
        <w:spacing w:line="240" w:lineRule="auto" w:before="4"/>
        <w:rPr>
          <w:rFonts w:ascii="宋体" w:hAnsi="宋体" w:cs="宋体" w:eastAsia="宋体" w:hint="default"/>
          <w:sz w:val="21"/>
          <w:szCs w:val="21"/>
        </w:rPr>
      </w:pPr>
    </w:p>
    <w:p>
      <w:pPr>
        <w:pStyle w:val="Heading4"/>
        <w:spacing w:line="240" w:lineRule="auto"/>
        <w:ind w:right="1100"/>
        <w:jc w:val="left"/>
        <w:rPr>
          <w:b w:val="0"/>
          <w:bCs w:val="0"/>
        </w:rPr>
      </w:pPr>
      <w:bookmarkStart w:name="4、劳务外包情况" w:id="133"/>
      <w:bookmarkEnd w:id="133"/>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2767" w:right="3750"/>
        <w:jc w:val="center"/>
        <w:rPr>
          <w:b w:val="0"/>
          <w:bCs w:val="0"/>
        </w:rPr>
      </w:pPr>
      <w:bookmarkStart w:name="第十节公司治理" w:id="134"/>
      <w:bookmarkEnd w:id="134"/>
      <w:r>
        <w:rPr>
          <w:b w:val="0"/>
          <w:bCs w:val="0"/>
        </w:rPr>
      </w:r>
      <w:bookmarkStart w:name="_bookmark9" w:id="135"/>
      <w:bookmarkEnd w:id="135"/>
      <w:r>
        <w:rPr>
          <w:b w:val="0"/>
          <w:bCs w:val="0"/>
        </w:rPr>
      </w:r>
      <w:r>
        <w:rPr>
          <w:spacing w:val="5"/>
        </w:rPr>
        <w:t>第十节公司治理</w:t>
      </w:r>
      <w:r>
        <w:rPr>
          <w:b w:val="0"/>
          <w:bCs w:val="0"/>
          <w:spacing w:val="5"/>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1100"/>
        <w:jc w:val="left"/>
        <w:rPr>
          <w:b w:val="0"/>
          <w:bCs w:val="0"/>
        </w:rPr>
      </w:pPr>
      <w:bookmarkStart w:name="一、公司治理的基本状况" w:id="136"/>
      <w:bookmarkEnd w:id="136"/>
      <w:r>
        <w:rPr>
          <w:b w:val="0"/>
          <w:bCs w:val="0"/>
        </w:rPr>
      </w:r>
      <w:r>
        <w:rPr/>
        <w:t>一、公司治理的基本状况</w:t>
      </w:r>
      <w:r>
        <w:rPr>
          <w:b w:val="0"/>
          <w:bCs w:val="0"/>
        </w:rPr>
      </w:r>
    </w:p>
    <w:p>
      <w:pPr>
        <w:spacing w:line="240" w:lineRule="auto" w:before="1"/>
        <w:rPr>
          <w:rFonts w:ascii="宋体" w:hAnsi="宋体" w:cs="宋体" w:eastAsia="宋体" w:hint="default"/>
          <w:b/>
          <w:bCs/>
          <w:sz w:val="26"/>
          <w:szCs w:val="26"/>
        </w:rPr>
      </w:pPr>
    </w:p>
    <w:p>
      <w:pPr>
        <w:pStyle w:val="BodyText"/>
        <w:spacing w:line="319" w:lineRule="auto"/>
        <w:ind w:right="1029"/>
        <w:jc w:val="left"/>
      </w:pPr>
      <w:r>
        <w:rPr>
          <w:spacing w:val="-2"/>
        </w:rPr>
        <w:t>公司根据《公司法》、《上市公司治理准则》、《上市公司章程指引》、《上市公司股东大会规则》及其他相关法律、法规</w:t>
      </w:r>
      <w:r>
        <w:rPr>
          <w:spacing w:val="-42"/>
        </w:rPr>
        <w:t> </w:t>
      </w:r>
      <w:r>
        <w:rPr>
          <w:spacing w:val="-42"/>
        </w:rPr>
      </w:r>
      <w:r>
        <w:rPr/>
        <w:t>的要求，确立了由股东大会、董事会、监事会和经营管理层组成的公司治理结构，建立健全了股东大会、董事会、监事会、 </w:t>
      </w:r>
      <w:r>
        <w:rPr>
          <w:spacing w:val="-2"/>
        </w:rPr>
        <w:t>独立董事、董事会秘书等相关制度。报告期内，公司股东大会、董事会及专门委员会、监事会、独立董事、董事会秘书和管</w:t>
      </w:r>
      <w:r>
        <w:rPr>
          <w:spacing w:val="-73"/>
        </w:rPr>
        <w:t> </w:t>
      </w:r>
      <w:r>
        <w:rPr>
          <w:spacing w:val="-73"/>
        </w:rPr>
      </w:r>
      <w:r>
        <w:rPr>
          <w:spacing w:val="-2"/>
        </w:rPr>
        <w:t>理层均严格按照《公司法》、《证券法》、《上市公司治理准则》、《深圳证券交易所创业板股票上市规则》、《深圳证券</w:t>
      </w:r>
      <w:r>
        <w:rPr>
          <w:spacing w:val="-42"/>
        </w:rPr>
        <w:t> </w:t>
      </w:r>
      <w:r>
        <w:rPr>
          <w:spacing w:val="-42"/>
        </w:rPr>
      </w:r>
      <w:r>
        <w:rPr>
          <w:spacing w:val="-1"/>
        </w:rPr>
        <w:t>交易所创业板上市公司规范运作指引》等法律、法规和中国证监会有关法律法规等的要求，履行各自的权利和义务，公司重</w:t>
      </w:r>
      <w:r>
        <w:rPr>
          <w:spacing w:val="-88"/>
        </w:rPr>
        <w:t> </w:t>
      </w:r>
      <w:r>
        <w:rPr>
          <w:spacing w:val="-88"/>
        </w:rPr>
      </w:r>
      <w:r>
        <w:rPr>
          <w:spacing w:val="-2"/>
        </w:rPr>
        <w:t>大生产经营决策、投资决策及财务决策均按照《公司章程》及有关内控制度规定的程序和规则进行，截至报告期末，上述机</w:t>
      </w:r>
      <w:r>
        <w:rPr>
          <w:spacing w:val="-57"/>
        </w:rPr>
        <w:t> </w:t>
      </w:r>
      <w:r>
        <w:rPr>
          <w:spacing w:val="-57"/>
        </w:rPr>
      </w:r>
      <w:r>
        <w:rPr>
          <w:spacing w:val="-2"/>
        </w:rPr>
        <w:t>构和人员依法运作，未出现违法、违规现象，能够切实履行应尽的职责和义务，公司治理的实际状况符合《上市公司治理准</w:t>
      </w:r>
      <w:r>
        <w:rPr>
          <w:spacing w:val="-57"/>
        </w:rPr>
        <w:t> </w:t>
      </w:r>
      <w:r>
        <w:rPr>
          <w:spacing w:val="-57"/>
        </w:rPr>
      </w:r>
      <w:r>
        <w:rPr/>
        <w:t>则》和《深圳证券交易所创业板上市公司规范运作指引》的要求。</w:t>
      </w:r>
    </w:p>
    <w:p>
      <w:pPr>
        <w:spacing w:line="240" w:lineRule="auto" w:before="0"/>
        <w:rPr>
          <w:rFonts w:ascii="宋体" w:hAnsi="宋体" w:cs="宋体" w:eastAsia="宋体" w:hint="default"/>
          <w:sz w:val="18"/>
          <w:szCs w:val="18"/>
        </w:rPr>
      </w:pPr>
    </w:p>
    <w:p>
      <w:pPr>
        <w:pStyle w:val="BodyText"/>
        <w:spacing w:line="240" w:lineRule="auto" w:before="130"/>
        <w:ind w:right="1100"/>
        <w:jc w:val="left"/>
      </w:pPr>
      <w:r>
        <w:rPr/>
        <w:t>公司治理的实际状况与中国证监会发布的有关上市公司治理的规范性文件是否存在重大差异</w:t>
      </w:r>
    </w:p>
    <w:p>
      <w:pPr>
        <w:pStyle w:val="BodyText"/>
        <w:spacing w:line="333" w:lineRule="auto" w:before="125"/>
        <w:ind w:right="354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公司治理的实际状况与中国证监会发布的有关上市公司治理的规范性文件不存在重大差异。</w:t>
      </w:r>
    </w:p>
    <w:p>
      <w:pPr>
        <w:spacing w:line="240" w:lineRule="auto" w:before="8"/>
        <w:rPr>
          <w:rFonts w:ascii="宋体" w:hAnsi="宋体" w:cs="宋体" w:eastAsia="宋体" w:hint="default"/>
          <w:sz w:val="20"/>
          <w:szCs w:val="20"/>
        </w:rPr>
      </w:pPr>
    </w:p>
    <w:p>
      <w:pPr>
        <w:pStyle w:val="Heading2"/>
        <w:spacing w:line="240" w:lineRule="auto"/>
        <w:ind w:right="1100"/>
        <w:jc w:val="left"/>
        <w:rPr>
          <w:b w:val="0"/>
          <w:bCs w:val="0"/>
        </w:rPr>
      </w:pPr>
      <w:bookmarkStart w:name="二、公司相对于控股股东在业务、人员、资产、机构、财务等方面的独立情况" w:id="137"/>
      <w:bookmarkEnd w:id="137"/>
      <w:r>
        <w:rPr>
          <w:b w:val="0"/>
          <w:bCs w:val="0"/>
        </w:rPr>
      </w:r>
      <w:r>
        <w:rPr/>
        <w:t>二、公司相对于控股股东在业务、人员、资产、机构、财务等方面的独立情况</w:t>
      </w:r>
      <w:r>
        <w:rPr>
          <w:b w:val="0"/>
          <w:bCs w:val="0"/>
        </w:rPr>
      </w:r>
    </w:p>
    <w:p>
      <w:pPr>
        <w:spacing w:line="240" w:lineRule="auto" w:before="12"/>
        <w:rPr>
          <w:rFonts w:ascii="宋体" w:hAnsi="宋体" w:cs="宋体" w:eastAsia="宋体" w:hint="default"/>
          <w:b/>
          <w:bCs/>
          <w:sz w:val="24"/>
          <w:szCs w:val="24"/>
        </w:rPr>
      </w:pPr>
    </w:p>
    <w:p>
      <w:pPr>
        <w:pStyle w:val="BodyText"/>
        <w:spacing w:line="321" w:lineRule="auto"/>
        <w:ind w:right="0"/>
        <w:jc w:val="left"/>
      </w:pPr>
      <w:r>
        <w:rPr/>
        <w:t>（一）业务独立 </w:t>
      </w:r>
      <w:r>
        <w:rPr>
          <w:spacing w:val="-4"/>
        </w:rPr>
        <w:t>公司拥有独立完整的业务体系和自主经营能力，公司不依赖股东及其它关联方进行生产经营活动。控股股东除投资本公司外，</w:t>
      </w:r>
      <w:r>
        <w:rPr>
          <w:spacing w:val="-50"/>
        </w:rPr>
        <w:t> </w:t>
      </w:r>
      <w:r>
        <w:rPr>
          <w:spacing w:val="-50"/>
        </w:rPr>
      </w:r>
      <w:r>
        <w:rPr/>
        <w:t>并无其他经营性投资和参与经营的事项，其他主要股东也未从事与公司可能存在同业竞争的业务。</w:t>
      </w:r>
    </w:p>
    <w:p>
      <w:pPr>
        <w:pStyle w:val="BodyText"/>
        <w:spacing w:line="316" w:lineRule="auto" w:before="18"/>
        <w:ind w:right="1100"/>
        <w:jc w:val="left"/>
      </w:pPr>
      <w:r>
        <w:rPr/>
        <w:t>（二）人员独立 </w:t>
      </w:r>
      <w:r>
        <w:rPr>
          <w:spacing w:val="-2"/>
        </w:rPr>
        <w:t>公司拥有独立的人事管理体系，公司董事、监事及高级管理人员按照《公司法》、《公司章程》等有关法律、法规和规定合</w:t>
      </w:r>
      <w:r>
        <w:rPr>
          <w:spacing w:val="-74"/>
        </w:rPr>
        <w:t> </w:t>
      </w:r>
      <w:r>
        <w:rPr>
          <w:spacing w:val="-74"/>
        </w:rPr>
      </w:r>
      <w:r>
        <w:rPr>
          <w:spacing w:val="-2"/>
        </w:rPr>
        <w:t>法产生；公司高级管理人员不存在在股东关联单位、业务相同或相近的其他单位担任除董事、监事以外职务的情况。公司员</w:t>
      </w:r>
      <w:r>
        <w:rPr>
          <w:spacing w:val="-42"/>
        </w:rPr>
        <w:t> </w:t>
      </w:r>
      <w:r>
        <w:rPr>
          <w:spacing w:val="-42"/>
        </w:rPr>
      </w:r>
      <w:r>
        <w:rPr/>
        <w:t>工独立，薪酬、社会保障等独立管理，具有完善的管理制度和体系。</w:t>
      </w:r>
    </w:p>
    <w:p>
      <w:pPr>
        <w:pStyle w:val="BodyText"/>
        <w:spacing w:line="321" w:lineRule="auto" w:before="22"/>
        <w:ind w:right="1100"/>
        <w:jc w:val="left"/>
      </w:pPr>
      <w:r>
        <w:rPr/>
        <w:t>（三）资产独立 </w:t>
      </w:r>
      <w:r>
        <w:rPr>
          <w:spacing w:val="-2"/>
        </w:rPr>
        <w:t>公司具备资产的独立性和完整性，截至目前，不存在以自身资产、权益或信誉为控股股东提供担保的情形，不存在资产、资</w:t>
      </w:r>
      <w:r>
        <w:rPr>
          <w:spacing w:val="-57"/>
        </w:rPr>
        <w:t> </w:t>
      </w:r>
      <w:r>
        <w:rPr>
          <w:spacing w:val="-57"/>
        </w:rPr>
      </w:r>
      <w:r>
        <w:rPr/>
        <w:t>金被控股股东占用而损害公司利益的情况，公司对所有资产均具有完全控制支配权。</w:t>
      </w:r>
    </w:p>
    <w:p>
      <w:pPr>
        <w:pStyle w:val="BodyText"/>
        <w:spacing w:line="321" w:lineRule="auto" w:before="3"/>
        <w:ind w:right="1100"/>
        <w:jc w:val="left"/>
      </w:pPr>
      <w:r>
        <w:rPr/>
        <w:t>（四）机构独立 </w:t>
      </w:r>
      <w:r>
        <w:rPr>
          <w:spacing w:val="-2"/>
        </w:rPr>
        <w:t>公司建立了股东大会、董事会、监事会等完备的治理结构，根据经营发展的需要，建立了符合公司实际情况的独立、完整的</w:t>
      </w:r>
      <w:r>
        <w:rPr>
          <w:spacing w:val="-57"/>
        </w:rPr>
        <w:t> </w:t>
      </w:r>
      <w:r>
        <w:rPr>
          <w:spacing w:val="-57"/>
        </w:rPr>
      </w:r>
      <w:r>
        <w:rPr>
          <w:spacing w:val="-2"/>
        </w:rPr>
        <w:t>经营管理机构。该等机构依照《公司章程》和内部管理制度体系独立行使自己的职权。公司自设立以来，生产经营和办公机</w:t>
      </w:r>
      <w:r>
        <w:rPr>
          <w:spacing w:val="-57"/>
        </w:rPr>
        <w:t> </w:t>
      </w:r>
      <w:r>
        <w:rPr>
          <w:spacing w:val="-57"/>
        </w:rPr>
      </w:r>
      <w:r>
        <w:rPr>
          <w:spacing w:val="-2"/>
        </w:rPr>
        <w:t>构完全独立，不存在与股东混合经营的情形。股东大会、董事会、监事会及董事会下属专业委员会等内部机构独立运作，不</w:t>
      </w:r>
      <w:r>
        <w:rPr>
          <w:spacing w:val="-54"/>
        </w:rPr>
        <w:t> </w:t>
      </w:r>
      <w:r>
        <w:rPr>
          <w:spacing w:val="-54"/>
        </w:rPr>
      </w:r>
      <w:r>
        <w:rPr/>
        <w:t>受其他单位或个人的干涉。</w:t>
      </w:r>
    </w:p>
    <w:p>
      <w:pPr>
        <w:pStyle w:val="BodyText"/>
        <w:spacing w:line="321" w:lineRule="auto" w:before="3"/>
        <w:ind w:right="1100"/>
        <w:jc w:val="left"/>
      </w:pPr>
      <w:r>
        <w:rPr/>
        <w:t>（五）财务独立 </w:t>
      </w:r>
      <w:r>
        <w:rPr>
          <w:spacing w:val="-2"/>
        </w:rPr>
        <w:t>公司设有完整、独立的财务机构，配备了充足的专职财务会计人员，建立了独立的会计核算体系和财务管理制度，并独立开</w:t>
      </w:r>
      <w:r>
        <w:rPr>
          <w:spacing w:val="-42"/>
        </w:rPr>
        <w:t> </w:t>
      </w:r>
      <w:r>
        <w:rPr>
          <w:spacing w:val="-42"/>
        </w:rPr>
      </w:r>
      <w:r>
        <w:rPr>
          <w:spacing w:val="-2"/>
        </w:rPr>
        <w:t>设银行账户、独立纳税、独立做出财务决策。公司与控股股东在业务、人员、资产、机构、财务等方面完全分开，具有独立</w:t>
      </w:r>
      <w:r>
        <w:rPr>
          <w:spacing w:val="-75"/>
        </w:rPr>
        <w:t> </w:t>
      </w:r>
      <w:r>
        <w:rPr>
          <w:spacing w:val="-75"/>
        </w:rPr>
      </w:r>
      <w:r>
        <w:rPr/>
        <w:t>完整的业务及自主经营能力。</w:t>
      </w:r>
    </w:p>
    <w:p>
      <w:pPr>
        <w:spacing w:line="240" w:lineRule="auto" w:before="4"/>
        <w:rPr>
          <w:rFonts w:ascii="宋体" w:hAnsi="宋体" w:cs="宋体" w:eastAsia="宋体" w:hint="default"/>
          <w:sz w:val="21"/>
          <w:szCs w:val="21"/>
        </w:rPr>
      </w:pPr>
    </w:p>
    <w:p>
      <w:pPr>
        <w:pStyle w:val="Heading2"/>
        <w:spacing w:line="240" w:lineRule="auto"/>
        <w:ind w:right="1100"/>
        <w:jc w:val="left"/>
        <w:rPr>
          <w:b w:val="0"/>
          <w:bCs w:val="0"/>
        </w:rPr>
      </w:pPr>
      <w:bookmarkStart w:name="三、同业竞争情况" w:id="138"/>
      <w:bookmarkEnd w:id="138"/>
      <w:r>
        <w:rPr>
          <w:b w:val="0"/>
          <w:bCs w:val="0"/>
        </w:rPr>
      </w:r>
      <w:r>
        <w:rPr/>
        <w:t>三、同业竞争情况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5"/>
          <w:szCs w:val="25"/>
        </w:rPr>
      </w:pPr>
    </w:p>
    <w:p>
      <w:pPr>
        <w:pStyle w:val="Heading2"/>
        <w:spacing w:line="240" w:lineRule="auto" w:before="26"/>
        <w:ind w:right="1100"/>
        <w:jc w:val="left"/>
        <w:rPr>
          <w:b w:val="0"/>
          <w:bCs w:val="0"/>
        </w:rPr>
      </w:pPr>
      <w:bookmarkStart w:name="四、报告期内召开的年度股东大会和临时股东大会的有关情况" w:id="139"/>
      <w:bookmarkEnd w:id="139"/>
      <w:r>
        <w:rPr>
          <w:b w:val="0"/>
          <w:bCs w:val="0"/>
        </w:rPr>
      </w:r>
      <w:r>
        <w:rPr/>
        <w:t>四、报告期内召开的年度股东大会和临时股东大会的有关情况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00"/>
        <w:jc w:val="left"/>
        <w:rPr>
          <w:b w:val="0"/>
          <w:bCs w:val="0"/>
        </w:rPr>
      </w:pPr>
      <w:bookmarkStart w:name="1、本报告期股东大会情况" w:id="140"/>
      <w:bookmarkEnd w:id="140"/>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3"/>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405"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434"/>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9"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3"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35"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年度股东大会</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481"/>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05" w:right="0"/>
              <w:jc w:val="left"/>
              <w:rPr>
                <w:rFonts w:ascii="Times New Roman" w:hAnsi="Times New Roman" w:cs="Times New Roman" w:eastAsia="Times New Roman" w:hint="default"/>
                <w:sz w:val="18"/>
                <w:szCs w:val="18"/>
              </w:rPr>
            </w:pPr>
            <w:r>
              <w:rPr>
                <w:rFonts w:ascii="Times New Roman"/>
                <w:sz w:val="18"/>
              </w:rPr>
              <w:t>58.45%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5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64" w:lineRule="auto" w:before="136"/>
              <w:ind w:left="30" w:right="30"/>
              <w:jc w:val="left"/>
              <w:rPr>
                <w:rFonts w:ascii="Times New Roman" w:hAnsi="Times New Roman" w:cs="Times New Roman" w:eastAsia="Times New Roman" w:hint="default"/>
                <w:sz w:val="18"/>
                <w:szCs w:val="18"/>
              </w:rPr>
            </w:pPr>
            <w:hyperlink r:id="rId14">
              <w:r>
                <w:rPr>
                  <w:rFonts w:ascii="Times New Roman"/>
                  <w:w w:val="95"/>
                  <w:sz w:val="18"/>
                </w:rPr>
                <w:t>http://www.cninfo.co</w:t>
              </w:r>
            </w:hyperlink>
            <w:r>
              <w:rPr>
                <w:rFonts w:ascii="Times New Roman"/>
                <w:spacing w:val="20"/>
                <w:w w:val="95"/>
                <w:sz w:val="18"/>
              </w:rPr>
              <w:t> </w:t>
            </w:r>
            <w:r>
              <w:rPr>
                <w:rFonts w:ascii="Times New Roman"/>
                <w:spacing w:val="20"/>
                <w:w w:val="95"/>
                <w:sz w:val="18"/>
              </w:rPr>
            </w:r>
            <w:r>
              <w:rPr>
                <w:rFonts w:ascii="Times New Roman"/>
                <w:spacing w:val="-3"/>
                <w:sz w:val="18"/>
              </w:rPr>
              <w:t>m.cn</w:t>
            </w:r>
          </w:p>
        </w:tc>
      </w:tr>
    </w:tbl>
    <w:p>
      <w:pPr>
        <w:spacing w:line="240" w:lineRule="auto" w:before="11"/>
        <w:rPr>
          <w:rFonts w:ascii="宋体" w:hAnsi="宋体" w:cs="宋体" w:eastAsia="宋体" w:hint="default"/>
          <w:b/>
          <w:bCs/>
          <w:sz w:val="19"/>
          <w:szCs w:val="19"/>
        </w:rPr>
      </w:pPr>
    </w:p>
    <w:p>
      <w:pPr>
        <w:pStyle w:val="Heading4"/>
        <w:spacing w:line="240" w:lineRule="auto" w:before="35"/>
        <w:ind w:right="1100"/>
        <w:jc w:val="left"/>
        <w:rPr>
          <w:b w:val="0"/>
          <w:bCs w:val="0"/>
        </w:rPr>
      </w:pPr>
      <w:bookmarkStart w:name="2、表决权恢复的优先股股东请求召开临时股东大会" w:id="141"/>
      <w:bookmarkEnd w:id="141"/>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1100"/>
        <w:jc w:val="left"/>
        <w:rPr>
          <w:b w:val="0"/>
          <w:bCs w:val="0"/>
        </w:rPr>
      </w:pPr>
      <w:bookmarkStart w:name="五、报告期内独立董事履行职责的情况" w:id="142"/>
      <w:bookmarkEnd w:id="142"/>
      <w:r>
        <w:rPr>
          <w:b w:val="0"/>
          <w:bCs w:val="0"/>
        </w:rPr>
      </w:r>
      <w:r>
        <w:rPr/>
        <w:t>五、报告期内独立董事履行职责的情况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00"/>
        <w:jc w:val="left"/>
        <w:rPr>
          <w:b w:val="0"/>
          <w:bCs w:val="0"/>
        </w:rPr>
      </w:pPr>
      <w:bookmarkStart w:name="1、独立董事出席董事会及股东大会的情况" w:id="143"/>
      <w:bookmarkEnd w:id="143"/>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3"/>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1427"/>
        <w:gridCol w:w="1172"/>
        <w:gridCol w:w="1156"/>
        <w:gridCol w:w="1172"/>
        <w:gridCol w:w="1156"/>
        <w:gridCol w:w="1171"/>
        <w:gridCol w:w="1157"/>
        <w:gridCol w:w="1171"/>
      </w:tblGrid>
      <w:tr>
        <w:trPr>
          <w:trHeight w:val="406" w:hRule="exact"/>
        </w:trPr>
        <w:tc>
          <w:tcPr>
            <w:tcW w:w="9582" w:type="dxa"/>
            <w:gridSpan w:val="8"/>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 w:right="17"/>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1" w:hRule="exact"/>
        </w:trPr>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4" w:lineRule="auto"/>
              <w:ind w:left="45" w:right="30"/>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4" w:lineRule="auto"/>
              <w:ind w:left="300" w:right="29" w:hanging="271"/>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4" w:lineRule="auto"/>
              <w:ind w:left="45" w:right="29"/>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4" w:lineRule="auto"/>
              <w:ind w:left="300" w:right="29" w:hanging="271"/>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4" w:lineRule="auto"/>
              <w:ind w:left="495" w:right="29" w:hanging="451"/>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30" w:right="29"/>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4" w:lineRule="auto"/>
              <w:ind w:left="405" w:right="29" w:hanging="361"/>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5"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李琪</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w:t>
            </w:r>
          </w:p>
        </w:tc>
      </w:tr>
      <w:tr>
        <w:trPr>
          <w:trHeight w:val="406"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黄涛</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352" w:lineRule="auto" w:before="44"/>
        <w:ind w:right="6789"/>
        <w:jc w:val="left"/>
      </w:pPr>
      <w:r>
        <w:rPr/>
        <w:t>连续两次未亲自出席董事会的说明 报告期内独立董事对公司有关事项未提出异议。</w:t>
      </w:r>
    </w:p>
    <w:p>
      <w:pPr>
        <w:spacing w:line="240" w:lineRule="auto" w:before="3"/>
        <w:rPr>
          <w:rFonts w:ascii="宋体" w:hAnsi="宋体" w:cs="宋体" w:eastAsia="宋体" w:hint="default"/>
          <w:sz w:val="22"/>
          <w:szCs w:val="22"/>
        </w:rPr>
      </w:pPr>
    </w:p>
    <w:p>
      <w:pPr>
        <w:pStyle w:val="Heading4"/>
        <w:spacing w:line="240" w:lineRule="auto"/>
        <w:ind w:right="1100"/>
        <w:jc w:val="left"/>
        <w:rPr>
          <w:b w:val="0"/>
          <w:bCs w:val="0"/>
        </w:rPr>
      </w:pPr>
      <w:bookmarkStart w:name="2、独立董事对公司有关事项提出异议的情况" w:id="144"/>
      <w:bookmarkEnd w:id="144"/>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1100"/>
        <w:jc w:val="left"/>
      </w:pPr>
      <w:r>
        <w:rPr/>
        <w:t>独立董事对公司有关事项是否提出异议</w:t>
      </w:r>
    </w:p>
    <w:p>
      <w:pPr>
        <w:pStyle w:val="BodyText"/>
        <w:spacing w:line="316" w:lineRule="auto" w:before="140"/>
        <w:ind w:right="696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报告期内独立董事对公司有关事项未提出异议。</w:t>
      </w:r>
    </w:p>
    <w:p>
      <w:pPr>
        <w:spacing w:line="240" w:lineRule="auto" w:before="6"/>
        <w:rPr>
          <w:rFonts w:ascii="宋体" w:hAnsi="宋体" w:cs="宋体" w:eastAsia="宋体" w:hint="default"/>
          <w:sz w:val="25"/>
          <w:szCs w:val="25"/>
        </w:rPr>
      </w:pPr>
    </w:p>
    <w:p>
      <w:pPr>
        <w:pStyle w:val="Heading4"/>
        <w:spacing w:line="240" w:lineRule="auto"/>
        <w:ind w:right="1100"/>
        <w:jc w:val="left"/>
        <w:rPr>
          <w:b w:val="0"/>
          <w:bCs w:val="0"/>
        </w:rPr>
      </w:pPr>
      <w:bookmarkStart w:name="3、独立董事履行职责的其他说明" w:id="145"/>
      <w:bookmarkEnd w:id="145"/>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1100"/>
        <w:jc w:val="left"/>
      </w:pPr>
      <w:r>
        <w:rPr/>
        <w:t>独立董事对公司有关建议是否被采纳</w:t>
      </w:r>
    </w:p>
    <w:p>
      <w:pPr>
        <w:pStyle w:val="BodyText"/>
        <w:spacing w:line="343" w:lineRule="auto" w:before="124"/>
        <w:ind w:right="678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独立董事对公司有关建议被采纳或未被采纳的说明 报告期内独立董事对公司有关事项未提出异议。</w:t>
      </w:r>
    </w:p>
    <w:p>
      <w:pPr>
        <w:spacing w:line="240" w:lineRule="auto" w:before="3"/>
        <w:rPr>
          <w:rFonts w:ascii="宋体" w:hAnsi="宋体" w:cs="宋体" w:eastAsia="宋体" w:hint="default"/>
          <w:sz w:val="21"/>
          <w:szCs w:val="21"/>
        </w:rPr>
      </w:pPr>
    </w:p>
    <w:p>
      <w:pPr>
        <w:pStyle w:val="Heading2"/>
        <w:spacing w:line="240" w:lineRule="auto"/>
        <w:ind w:right="1100"/>
        <w:jc w:val="left"/>
        <w:rPr>
          <w:b w:val="0"/>
          <w:bCs w:val="0"/>
        </w:rPr>
      </w:pPr>
      <w:bookmarkStart w:name="六、董事会下设专门委员会在报告期内履行职责情况" w:id="146"/>
      <w:bookmarkEnd w:id="146"/>
      <w:r>
        <w:rPr>
          <w:b w:val="0"/>
          <w:bCs w:val="0"/>
        </w:rPr>
      </w:r>
      <w:r>
        <w:rPr/>
        <w:t>六、董事会下设专门委员会在报告期内履行职责情况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1.</w:t>
      </w:r>
      <w:r>
        <w:rPr/>
        <w:t>报告期内，审计委员会根据《公司法》、《证券法》、《上市公司治理准则》、《内部审计制度》及《审计委员会工作规</w:t>
      </w:r>
    </w:p>
    <w:p>
      <w:pPr>
        <w:spacing w:after="0" w:line="240"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295" w:lineRule="auto" w:before="44"/>
        <w:ind w:right="1112"/>
        <w:jc w:val="both"/>
      </w:pPr>
      <w:r>
        <w:rPr>
          <w:spacing w:val="-2"/>
        </w:rPr>
        <w:t>则》等有关规定，积极履行职责。报告期内，审计委员会共召开了四次会议，</w:t>
      </w:r>
      <w:r>
        <w:rPr>
          <w:rFonts w:ascii="Times New Roman" w:hAnsi="Times New Roman" w:cs="Times New Roman" w:eastAsia="Times New Roman" w:hint="default"/>
          <w:spacing w:val="-2"/>
        </w:rPr>
        <w:t>2019</w:t>
      </w:r>
      <w:r>
        <w:rPr>
          <w:spacing w:val="-2"/>
        </w:rPr>
        <w:t>年第一次会议审议了</w:t>
      </w:r>
      <w:r>
        <w:rPr>
          <w:rFonts w:ascii="Times New Roman" w:hAnsi="Times New Roman" w:cs="Times New Roman" w:eastAsia="Times New Roman" w:hint="default"/>
          <w:spacing w:val="-2"/>
        </w:rPr>
        <w:t>2018</w:t>
      </w:r>
      <w:r>
        <w:rPr>
          <w:spacing w:val="-2"/>
        </w:rPr>
        <w:t>年度报告相关事</w:t>
      </w:r>
      <w:r>
        <w:rPr>
          <w:spacing w:val="-40"/>
        </w:rPr>
        <w:t> </w:t>
      </w:r>
      <w:r>
        <w:rPr>
          <w:spacing w:val="-2"/>
        </w:rPr>
        <w:t>项；</w:t>
      </w:r>
      <w:r>
        <w:rPr>
          <w:rFonts w:ascii="Times New Roman" w:hAnsi="Times New Roman" w:cs="Times New Roman" w:eastAsia="Times New Roman" w:hint="default"/>
          <w:spacing w:val="-2"/>
        </w:rPr>
        <w:t>2019</w:t>
      </w:r>
      <w:r>
        <w:rPr>
          <w:spacing w:val="-2"/>
        </w:rPr>
        <w:t>年第二次会议审议了</w:t>
      </w:r>
      <w:r>
        <w:rPr>
          <w:rFonts w:ascii="Times New Roman" w:hAnsi="Times New Roman" w:cs="Times New Roman" w:eastAsia="Times New Roman" w:hint="default"/>
          <w:spacing w:val="-2"/>
        </w:rPr>
        <w:t>2019</w:t>
      </w:r>
      <w:r>
        <w:rPr>
          <w:spacing w:val="-2"/>
        </w:rPr>
        <w:t>年第一季度报告相关事项；</w:t>
      </w:r>
      <w:r>
        <w:rPr>
          <w:rFonts w:ascii="Times New Roman" w:hAnsi="Times New Roman" w:cs="Times New Roman" w:eastAsia="Times New Roman" w:hint="default"/>
          <w:spacing w:val="-2"/>
        </w:rPr>
        <w:t>2019</w:t>
      </w:r>
      <w:r>
        <w:rPr>
          <w:spacing w:val="-2"/>
        </w:rPr>
        <w:t>年第三次会议半年度报告相关事项；</w:t>
      </w:r>
      <w:r>
        <w:rPr>
          <w:rFonts w:ascii="Times New Roman" w:hAnsi="Times New Roman" w:cs="Times New Roman" w:eastAsia="Times New Roman" w:hint="default"/>
          <w:spacing w:val="-2"/>
        </w:rPr>
        <w:t>2019</w:t>
      </w:r>
      <w:r>
        <w:rPr>
          <w:spacing w:val="-2"/>
        </w:rPr>
        <w:t>年第四次会议审</w:t>
      </w:r>
      <w:r>
        <w:rPr>
          <w:spacing w:val="-49"/>
        </w:rPr>
        <w:t> </w:t>
      </w:r>
      <w:r>
        <w:rPr/>
        <w:t>议了第三季度报告相关事项。</w:t>
      </w:r>
    </w:p>
    <w:p>
      <w:pPr>
        <w:pStyle w:val="BodyText"/>
        <w:spacing w:line="309" w:lineRule="auto" w:before="38"/>
        <w:ind w:right="1100"/>
        <w:jc w:val="left"/>
      </w:pPr>
      <w:r>
        <w:rPr>
          <w:rFonts w:ascii="Times New Roman" w:hAnsi="Times New Roman" w:cs="Times New Roman" w:eastAsia="Times New Roman" w:hint="default"/>
        </w:rPr>
        <w:t>2.</w:t>
      </w:r>
      <w:r>
        <w:rPr/>
        <w:t>薪酬和考核委员会履职情况 </w:t>
      </w:r>
      <w:r>
        <w:rPr>
          <w:spacing w:val="-2"/>
        </w:rPr>
        <w:t>报告期内，薪酬与考核委员会召开了一次会议，对董事和高级管理人员工作情况和薪酬事项进行了审核，报告期内，公司董</w:t>
      </w:r>
      <w:r>
        <w:rPr>
          <w:spacing w:val="-41"/>
        </w:rPr>
        <w:t> </w:t>
      </w:r>
      <w:r>
        <w:rPr>
          <w:spacing w:val="-41"/>
        </w:rPr>
      </w:r>
      <w:r>
        <w:rPr>
          <w:spacing w:val="-2"/>
        </w:rPr>
        <w:t>事、监事和高级管理人员根据各自的分工，认真履行了相应的职责，参照行业内其他公司的薪酬水平，对高级管理人员的薪</w:t>
      </w:r>
      <w:r>
        <w:rPr>
          <w:spacing w:val="-42"/>
        </w:rPr>
        <w:t> </w:t>
      </w:r>
      <w:r>
        <w:rPr>
          <w:spacing w:val="-42"/>
        </w:rPr>
      </w:r>
      <w:r>
        <w:rPr/>
        <w:t>酬进行了调整。</w:t>
      </w:r>
    </w:p>
    <w:p>
      <w:pPr>
        <w:pStyle w:val="BodyText"/>
        <w:spacing w:line="297" w:lineRule="auto" w:before="42"/>
        <w:ind w:right="1100"/>
        <w:jc w:val="left"/>
      </w:pPr>
      <w:r>
        <w:rPr>
          <w:rFonts w:ascii="Times New Roman" w:hAnsi="Times New Roman" w:cs="Times New Roman" w:eastAsia="Times New Roman" w:hint="default"/>
        </w:rPr>
        <w:t>3.</w:t>
      </w:r>
      <w:r>
        <w:rPr/>
        <w:t>提名委员会履职情况 </w:t>
      </w:r>
      <w:r>
        <w:rPr>
          <w:spacing w:val="-2"/>
        </w:rPr>
        <w:t>报告期内，提名委员会召开了一次会议，提名委员会审议了目前董事会的规模和构成，认为能够满足公司经营活动需要，并</w:t>
      </w:r>
      <w:r>
        <w:rPr>
          <w:spacing w:val="-42"/>
        </w:rPr>
        <w:t> </w:t>
      </w:r>
      <w:r>
        <w:rPr>
          <w:spacing w:val="-42"/>
        </w:rPr>
      </w:r>
      <w:r>
        <w:rPr/>
        <w:t>与公司资产规模和股权结构匹配，暂无需向公司董事会提议调整。</w:t>
      </w:r>
    </w:p>
    <w:p>
      <w:pPr>
        <w:spacing w:line="240" w:lineRule="auto" w:before="9"/>
        <w:rPr>
          <w:rFonts w:ascii="宋体" w:hAnsi="宋体" w:cs="宋体" w:eastAsia="宋体" w:hint="default"/>
          <w:sz w:val="22"/>
          <w:szCs w:val="22"/>
        </w:rPr>
      </w:pPr>
    </w:p>
    <w:p>
      <w:pPr>
        <w:pStyle w:val="Heading2"/>
        <w:spacing w:line="240" w:lineRule="auto"/>
        <w:ind w:right="1100"/>
        <w:jc w:val="left"/>
        <w:rPr>
          <w:b w:val="0"/>
          <w:bCs w:val="0"/>
        </w:rPr>
      </w:pPr>
      <w:bookmarkStart w:name="七、监事会工作情况" w:id="147"/>
      <w:bookmarkEnd w:id="147"/>
      <w:r>
        <w:rPr>
          <w:b w:val="0"/>
          <w:bCs w:val="0"/>
        </w:rPr>
      </w:r>
      <w:r>
        <w:rPr/>
        <w:t>七、监事会工作情况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00"/>
        <w:jc w:val="left"/>
      </w:pPr>
      <w:r>
        <w:rPr/>
        <w:t>监事会在报告期内的监督活动中发现公司是否存在风险</w:t>
      </w:r>
    </w:p>
    <w:p>
      <w:pPr>
        <w:pStyle w:val="BodyText"/>
        <w:spacing w:line="331" w:lineRule="auto" w:before="125"/>
        <w:ind w:right="732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公司监事会对报告期内的监督事项无异议。</w:t>
      </w:r>
    </w:p>
    <w:p>
      <w:pPr>
        <w:spacing w:line="240" w:lineRule="auto" w:before="10"/>
        <w:rPr>
          <w:rFonts w:ascii="宋体" w:hAnsi="宋体" w:cs="宋体" w:eastAsia="宋体" w:hint="default"/>
          <w:sz w:val="20"/>
          <w:szCs w:val="20"/>
        </w:rPr>
      </w:pPr>
    </w:p>
    <w:p>
      <w:pPr>
        <w:pStyle w:val="Heading2"/>
        <w:spacing w:line="240" w:lineRule="auto"/>
        <w:ind w:right="1100"/>
        <w:jc w:val="left"/>
        <w:rPr>
          <w:b w:val="0"/>
          <w:bCs w:val="0"/>
        </w:rPr>
      </w:pPr>
      <w:bookmarkStart w:name="八、高级管理人员的考评及激励情况" w:id="148"/>
      <w:bookmarkEnd w:id="148"/>
      <w:r>
        <w:rPr>
          <w:b w:val="0"/>
          <w:bCs w:val="0"/>
        </w:rPr>
      </w:r>
      <w:r>
        <w:rPr/>
        <w:t>八、高级管理人员的考评及激励情况</w:t>
      </w:r>
      <w:r>
        <w:rPr>
          <w:b w:val="0"/>
          <w:bCs w:val="0"/>
        </w:rPr>
      </w:r>
    </w:p>
    <w:p>
      <w:pPr>
        <w:spacing w:line="240" w:lineRule="auto" w:before="1"/>
        <w:rPr>
          <w:rFonts w:ascii="宋体" w:hAnsi="宋体" w:cs="宋体" w:eastAsia="宋体" w:hint="default"/>
          <w:b/>
          <w:bCs/>
          <w:sz w:val="26"/>
          <w:szCs w:val="26"/>
        </w:rPr>
      </w:pPr>
    </w:p>
    <w:p>
      <w:pPr>
        <w:pStyle w:val="BodyText"/>
        <w:spacing w:line="314" w:lineRule="auto"/>
        <w:ind w:right="1106"/>
        <w:jc w:val="both"/>
      </w:pPr>
      <w:r>
        <w:rPr>
          <w:spacing w:val="-2"/>
        </w:rPr>
        <w:t>公司建立了高级管理人员的薪酬与公司业绩挂钩的绩效考核与激励约束机制，公司高级管理人员实行基本年薪和年终绩效考</w:t>
      </w:r>
      <w:r>
        <w:rPr>
          <w:spacing w:val="-58"/>
        </w:rPr>
        <w:t> </w:t>
      </w:r>
      <w:r>
        <w:rPr>
          <w:spacing w:val="-58"/>
        </w:rPr>
      </w:r>
      <w:r>
        <w:rPr>
          <w:spacing w:val="-2"/>
        </w:rPr>
        <w:t>核相结合的薪酬制度。根据公司年度经营目标完成情况以及高级管理人员的工作业绩，由董事会薪酬与考核委员会对高级管</w:t>
      </w:r>
      <w:r>
        <w:rPr>
          <w:spacing w:val="-72"/>
        </w:rPr>
        <w:t> </w:t>
      </w:r>
      <w:r>
        <w:rPr>
          <w:spacing w:val="-72"/>
        </w:rPr>
      </w:r>
      <w:r>
        <w:rPr>
          <w:spacing w:val="-2"/>
        </w:rPr>
        <w:t>理人员进行年度绩效考核，并监督薪酬制度执行情况。公司则根据绩效考核结果兑现其绩效年薪，并进行奖惩。公司董事会</w:t>
      </w:r>
      <w:r>
        <w:rPr>
          <w:spacing w:val="-42"/>
        </w:rPr>
        <w:t> </w:t>
      </w:r>
      <w:r>
        <w:rPr>
          <w:spacing w:val="-42"/>
        </w:rPr>
      </w:r>
      <w:r>
        <w:rPr>
          <w:spacing w:val="-2"/>
        </w:rPr>
        <w:t>薪酬与考核委员会根据实际情况对公司高级管理人员进行考核后，一致认为：</w:t>
      </w:r>
      <w:r>
        <w:rPr>
          <w:rFonts w:ascii="Times New Roman" w:hAnsi="Times New Roman" w:cs="Times New Roman" w:eastAsia="Times New Roman" w:hint="default"/>
          <w:spacing w:val="-2"/>
        </w:rPr>
        <w:t>2019</w:t>
      </w:r>
      <w:r>
        <w:rPr>
          <w:spacing w:val="-2"/>
        </w:rPr>
        <w:t>年度公司高级管理人员薪酬方案遵守并执</w:t>
      </w:r>
      <w:r>
        <w:rPr>
          <w:spacing w:val="-61"/>
        </w:rPr>
        <w:t> </w:t>
      </w:r>
      <w:r>
        <w:rPr/>
        <w:t>行了公司薪酬管理制度。</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1100"/>
        <w:jc w:val="left"/>
        <w:rPr>
          <w:b w:val="0"/>
          <w:bCs w:val="0"/>
        </w:rPr>
      </w:pPr>
      <w:bookmarkStart w:name="九、内部控制评价报告" w:id="149"/>
      <w:bookmarkEnd w:id="149"/>
      <w:r>
        <w:rPr>
          <w:b w:val="0"/>
          <w:bCs w:val="0"/>
        </w:rPr>
      </w:r>
      <w:r>
        <w:rPr/>
        <w:t>九、内部控制评价报告</w:t>
      </w:r>
      <w:r>
        <w:rPr>
          <w:b w:val="0"/>
          <w:bCs w:val="0"/>
        </w:rPr>
      </w:r>
    </w:p>
    <w:p>
      <w:pPr>
        <w:spacing w:line="240" w:lineRule="auto" w:before="9"/>
        <w:rPr>
          <w:rFonts w:ascii="宋体" w:hAnsi="宋体" w:cs="宋体" w:eastAsia="宋体" w:hint="default"/>
          <w:b/>
          <w:bCs/>
          <w:sz w:val="25"/>
          <w:szCs w:val="25"/>
        </w:rPr>
      </w:pPr>
    </w:p>
    <w:p>
      <w:pPr>
        <w:pStyle w:val="Heading4"/>
        <w:spacing w:line="240" w:lineRule="auto"/>
        <w:ind w:right="1100"/>
        <w:jc w:val="left"/>
        <w:rPr>
          <w:b w:val="0"/>
          <w:bCs w:val="0"/>
        </w:rPr>
      </w:pPr>
      <w:bookmarkStart w:name="1、报告期内发现的内部控制重大缺陷的具体情况" w:id="150"/>
      <w:bookmarkEnd w:id="150"/>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0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p>
    <w:p>
      <w:pPr>
        <w:pStyle w:val="Heading4"/>
        <w:spacing w:line="240" w:lineRule="auto" w:before="126"/>
        <w:ind w:right="1100"/>
        <w:jc w:val="left"/>
        <w:rPr>
          <w:b w:val="0"/>
          <w:bCs w:val="0"/>
        </w:rPr>
      </w:pPr>
      <w:bookmarkStart w:name="2、内控自我评价报告" w:id="151"/>
      <w:bookmarkEnd w:id="151"/>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
        <w:rPr>
          <w:rFonts w:ascii="宋体" w:hAnsi="宋体" w:cs="宋体" w:eastAsia="宋体" w:hint="default"/>
          <w:b/>
          <w:bCs/>
          <w:sz w:val="24"/>
          <w:szCs w:val="24"/>
        </w:rPr>
      </w:pPr>
    </w:p>
    <w:tbl>
      <w:tblPr>
        <w:tblW w:w="0" w:type="auto"/>
        <w:jc w:val="left"/>
        <w:tblInd w:w="133" w:type="dxa"/>
        <w:tblLayout w:type="fixed"/>
        <w:tblCellMar>
          <w:top w:w="0" w:type="dxa"/>
          <w:left w:w="0" w:type="dxa"/>
          <w:bottom w:w="0" w:type="dxa"/>
          <w:right w:w="0" w:type="dxa"/>
        </w:tblCellMar>
        <w:tblLook w:val="01E0"/>
      </w:tblPr>
      <w:tblGrid>
        <w:gridCol w:w="3188"/>
        <w:gridCol w:w="3330"/>
        <w:gridCol w:w="3056"/>
      </w:tblGrid>
      <w:tr>
        <w:trPr>
          <w:trHeight w:val="405" w:hRule="exact"/>
        </w:trPr>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r>
      <w:tr>
        <w:trPr>
          <w:trHeight w:val="391" w:hRule="exact"/>
        </w:trPr>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9"/>
                <w:sz w:val="18"/>
                <w:szCs w:val="18"/>
              </w:rPr>
              <w:t> </w:t>
            </w:r>
            <w:hyperlink r:id="rId11">
              <w:r>
                <w:rPr>
                  <w:rFonts w:ascii="Times New Roman" w:hAnsi="Times New Roman" w:cs="Times New Roman" w:eastAsia="Times New Roman" w:hint="default"/>
                  <w:sz w:val="18"/>
                  <w:szCs w:val="18"/>
                </w:rPr>
                <w:t>http://www.cninfo.com.cn/</w:t>
              </w:r>
            </w:hyperlink>
          </w:p>
        </w:tc>
      </w:tr>
      <w:tr>
        <w:trPr>
          <w:trHeight w:val="720" w:hRule="exact"/>
        </w:trPr>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103"/>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721" w:hRule="exact"/>
        </w:trPr>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103"/>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390" w:hRule="exact"/>
        </w:trPr>
        <w:tc>
          <w:tcPr>
            <w:tcW w:w="9574"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 w:right="22"/>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5" w:hRule="exact"/>
        </w:trPr>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2"/>
              <w:jc w:val="center"/>
              <w:rPr>
                <w:rFonts w:ascii="宋体" w:hAnsi="宋体" w:cs="宋体" w:eastAsia="宋体" w:hint="default"/>
                <w:sz w:val="18"/>
                <w:szCs w:val="18"/>
              </w:rPr>
            </w:pPr>
            <w:r>
              <w:rPr>
                <w:rFonts w:ascii="宋体" w:hAnsi="宋体" w:cs="宋体" w:eastAsia="宋体" w:hint="default"/>
                <w:sz w:val="18"/>
                <w:szCs w:val="18"/>
              </w:rPr>
              <w:t>类别</w:t>
            </w:r>
          </w:p>
        </w:tc>
        <w:tc>
          <w:tcPr>
            <w:tcW w:w="33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BodyText"/>
        <w:spacing w:line="240" w:lineRule="auto"/>
        <w:ind w:left="0" w:right="1128"/>
        <w:jc w:val="right"/>
      </w:pPr>
      <w:r>
        <w:rPr/>
        <w:pict>
          <v:shape style="position:absolute;margin-left:56.325001pt;margin-top:-3.738298pt;width:480.25pt;height:433.15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9"/>
                    <w:gridCol w:w="3334"/>
                    <w:gridCol w:w="3049"/>
                  </w:tblGrid>
                  <w:tr>
                    <w:trPr>
                      <w:trHeight w:val="4774"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4" w:type="dxa"/>
                        <w:tcBorders>
                          <w:top w:val="single" w:sz="6" w:space="0" w:color="000000"/>
                          <w:left w:val="single" w:sz="6" w:space="0" w:color="000000"/>
                          <w:bottom w:val="single" w:sz="6" w:space="0" w:color="000000"/>
                          <w:right w:val="single" w:sz="18" w:space="0" w:color="FFFFFF"/>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312" w:lineRule="auto"/>
                          <w:ind w:left="14" w:right="-46"/>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、重大缺陷：公司董事、监事或高级管理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人员舞弊并给企业造成重要损失和不利影 响；</w:t>
                        </w:r>
                        <w:r>
                          <w:rPr>
                            <w:rFonts w:ascii="宋体" w:hAnsi="宋体" w:cs="宋体" w:eastAsia="宋体" w:hint="default"/>
                            <w:spacing w:val="-42"/>
                            <w:sz w:val="18"/>
                            <w:szCs w:val="18"/>
                          </w:rPr>
                          <w:t> </w:t>
                        </w:r>
                        <w:r>
                          <w:rPr>
                            <w:rFonts w:ascii="宋体" w:hAnsi="宋体" w:cs="宋体" w:eastAsia="宋体" w:hint="default"/>
                            <w:sz w:val="18"/>
                            <w:szCs w:val="18"/>
                          </w:rPr>
                          <w:t>公司更正已公告的财务报告；注册会</w:t>
                        </w:r>
                        <w:r>
                          <w:rPr>
                            <w:rFonts w:ascii="宋体" w:hAnsi="宋体" w:cs="宋体" w:eastAsia="宋体" w:hint="default"/>
                            <w:sz w:val="18"/>
                            <w:szCs w:val="18"/>
                          </w:rPr>
                          <w:t> 计师发现未被公司内部控制识别的当期财 务报告重大错报；内部控制监督无效。</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p>
                        <w:pPr>
                          <w:pStyle w:val="TableParagraph"/>
                          <w:spacing w:line="319" w:lineRule="auto"/>
                          <w:ind w:left="14" w:right="46"/>
                          <w:jc w:val="both"/>
                          <w:rPr>
                            <w:rFonts w:ascii="宋体" w:hAnsi="宋体" w:cs="宋体" w:eastAsia="宋体" w:hint="default"/>
                            <w:sz w:val="18"/>
                            <w:szCs w:val="18"/>
                          </w:rPr>
                        </w:pPr>
                        <w:r>
                          <w:rPr>
                            <w:rFonts w:ascii="宋体" w:hAnsi="宋体" w:cs="宋体" w:eastAsia="宋体" w:hint="default"/>
                            <w:sz w:val="18"/>
                            <w:szCs w:val="18"/>
                          </w:rPr>
                          <w:t>重要缺陷：未依照公认会计准则选择和应 用会计政策；未建立反舞弊程序和控制措 施；对于非常规或特殊交易的账务处理没 有建立相应的控制机制或没有实施且没有 相应的补偿性控制；对于期末财务报告过 程的控制存在一项或多项缺陷且不能合理 保证编制的财务报表达到真实、准确的目</w:t>
                        </w:r>
                      </w:p>
                      <w:p>
                        <w:pPr>
                          <w:pStyle w:val="TableParagraph"/>
                          <w:spacing w:line="288" w:lineRule="auto" w:before="20"/>
                          <w:ind w:left="14" w:right="46"/>
                          <w:jc w:val="both"/>
                          <w:rPr>
                            <w:rFonts w:ascii="宋体" w:hAnsi="宋体" w:cs="宋体" w:eastAsia="宋体" w:hint="default"/>
                            <w:sz w:val="18"/>
                            <w:szCs w:val="18"/>
                          </w:rPr>
                        </w:pPr>
                        <w:r>
                          <w:rPr>
                            <w:rFonts w:ascii="宋体" w:hAnsi="宋体" w:cs="宋体" w:eastAsia="宋体" w:hint="default"/>
                            <w:sz w:val="18"/>
                            <w:szCs w:val="18"/>
                          </w:rPr>
                          <w:t>标。 </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、一般缺陷：未构成重大缺陷、重 要缺陷标准的其他内部控制缺陷。</w:t>
                        </w:r>
                      </w:p>
                    </w:tc>
                    <w:tc>
                      <w:tcPr>
                        <w:tcW w:w="3049" w:type="dxa"/>
                        <w:tcBorders>
                          <w:top w:val="single" w:sz="6" w:space="0" w:color="000000"/>
                          <w:left w:val="single" w:sz="18" w:space="0" w:color="FFFFFF"/>
                          <w:bottom w:val="single" w:sz="6" w:space="0" w:color="000000"/>
                          <w:right w:val="single" w:sz="6" w:space="0" w:color="000000"/>
                        </w:tcBorders>
                      </w:tcPr>
                      <w:p>
                        <w:pPr>
                          <w:pStyle w:val="TableParagraph"/>
                          <w:spacing w:line="297" w:lineRule="auto" w:before="59"/>
                          <w:ind w:right="-4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、重大缺陷：决策程序导致重大失误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重要业务缺乏制度控制或系统性失效， </w:t>
                        </w:r>
                        <w:r>
                          <w:rPr>
                            <w:rFonts w:ascii="宋体" w:hAnsi="宋体" w:cs="宋体" w:eastAsia="宋体" w:hint="default"/>
                            <w:spacing w:val="-4"/>
                            <w:sz w:val="18"/>
                            <w:szCs w:val="18"/>
                          </w:rPr>
                          <w:t>且缺乏有效的补偿性控制；公司中高级</w:t>
                        </w:r>
                      </w:p>
                      <w:p>
                        <w:pPr>
                          <w:pStyle w:val="TableParagraph"/>
                          <w:spacing w:line="309" w:lineRule="auto" w:before="36"/>
                          <w:ind w:right="16"/>
                          <w:jc w:val="both"/>
                          <w:rPr>
                            <w:rFonts w:ascii="宋体" w:hAnsi="宋体" w:cs="宋体" w:eastAsia="宋体" w:hint="default"/>
                            <w:sz w:val="18"/>
                            <w:szCs w:val="18"/>
                          </w:rPr>
                        </w:pPr>
                        <w:r>
                          <w:rPr>
                            <w:rFonts w:ascii="宋体" w:hAnsi="宋体" w:cs="宋体" w:eastAsia="宋体" w:hint="default"/>
                            <w:spacing w:val="-4"/>
                            <w:sz w:val="18"/>
                            <w:szCs w:val="18"/>
                          </w:rPr>
                          <w:t>管理人员流失严重；内部控制评价的结</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果特别是重大缺陷未得到整改；其他对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公司产生重大负面影响的情形。</w:t>
                        </w:r>
                        <w:r>
                          <w:rPr>
                            <w:rFonts w:ascii="宋体" w:hAnsi="宋体" w:cs="宋体" w:eastAsia="宋体" w:hint="default"/>
                            <w:spacing w:val="-27"/>
                            <w:sz w:val="18"/>
                            <w:szCs w:val="18"/>
                          </w:rPr>
                          <w:t> </w:t>
                        </w:r>
                        <w:r>
                          <w:rPr>
                            <w:rFonts w:ascii="Times New Roman" w:hAnsi="Times New Roman" w:cs="Times New Roman" w:eastAsia="Times New Roman" w:hint="default"/>
                            <w:spacing w:val="-20"/>
                            <w:sz w:val="18"/>
                            <w:szCs w:val="18"/>
                          </w:rPr>
                          <w:t>2</w:t>
                        </w:r>
                        <w:r>
                          <w:rPr>
                            <w:rFonts w:ascii="宋体" w:hAnsi="宋体" w:cs="宋体" w:eastAsia="宋体" w:hint="default"/>
                            <w:spacing w:val="-20"/>
                            <w:sz w:val="18"/>
                            <w:szCs w:val="18"/>
                          </w:rPr>
                          <w:t>、重</w:t>
                        </w:r>
                        <w:r>
                          <w:rPr>
                            <w:rFonts w:ascii="宋体" w:hAnsi="宋体" w:cs="宋体" w:eastAsia="宋体" w:hint="default"/>
                            <w:spacing w:val="-30"/>
                            <w:sz w:val="18"/>
                            <w:szCs w:val="18"/>
                          </w:rPr>
                          <w:t> </w:t>
                        </w:r>
                        <w:r>
                          <w:rPr>
                            <w:rFonts w:ascii="宋体" w:hAnsi="宋体" w:cs="宋体" w:eastAsia="宋体" w:hint="default"/>
                            <w:sz w:val="18"/>
                            <w:szCs w:val="18"/>
                          </w:rPr>
                          <w:t>要缺陷：决策程序导致出现一般性失</w:t>
                        </w:r>
                      </w:p>
                      <w:p>
                        <w:pPr>
                          <w:pStyle w:val="TableParagraph"/>
                          <w:spacing w:line="316" w:lineRule="auto" w:before="27"/>
                          <w:ind w:right="-42"/>
                          <w:jc w:val="left"/>
                          <w:rPr>
                            <w:rFonts w:ascii="宋体" w:hAnsi="宋体" w:cs="宋体" w:eastAsia="宋体" w:hint="default"/>
                            <w:sz w:val="18"/>
                            <w:szCs w:val="18"/>
                          </w:rPr>
                        </w:pPr>
                        <w:r>
                          <w:rPr>
                            <w:rFonts w:ascii="宋体" w:hAnsi="宋体" w:cs="宋体" w:eastAsia="宋体" w:hint="default"/>
                            <w:spacing w:val="-4"/>
                            <w:sz w:val="18"/>
                            <w:szCs w:val="18"/>
                          </w:rPr>
                          <w:t>误；重要业务制度或系统存在缺陷；关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键岗位业务人员流失严重；内部控制评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价的结果特别是重要缺陷未得到整改； 其他对公司产生较大负面影响的情形。</w:t>
                        </w:r>
                      </w:p>
                      <w:p>
                        <w:pPr>
                          <w:pStyle w:val="TableParagraph"/>
                          <w:spacing w:line="309" w:lineRule="auto" w:before="37"/>
                          <w:ind w:right="16"/>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、一般缺陷：决策程序效率不高；一 </w:t>
                        </w:r>
                        <w:r>
                          <w:rPr>
                            <w:rFonts w:ascii="宋体" w:hAnsi="宋体" w:cs="宋体" w:eastAsia="宋体" w:hint="default"/>
                            <w:spacing w:val="-4"/>
                            <w:sz w:val="18"/>
                            <w:szCs w:val="18"/>
                          </w:rPr>
                          <w:t>般业务制度或系统存在缺陷；一般岗位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业务人员流失严重；一般缺陷未得到整</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改。</w:t>
                        </w:r>
                      </w:p>
                    </w:tc>
                  </w:tr>
                  <w:tr>
                    <w:trPr>
                      <w:trHeight w:val="2282"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4" w:type="dxa"/>
                        <w:tcBorders>
                          <w:top w:val="single" w:sz="6" w:space="0" w:color="000000"/>
                          <w:left w:val="single" w:sz="6" w:space="0" w:color="000000"/>
                          <w:bottom w:val="single" w:sz="6" w:space="0" w:color="000000"/>
                          <w:right w:val="single" w:sz="18"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300" w:lineRule="auto"/>
                          <w:ind w:left="14"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、重大缺陷：错报</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w:t>
                        </w:r>
                        <w:r>
                          <w:rPr>
                            <w:rFonts w:ascii="宋体" w:hAnsi="宋体" w:cs="宋体" w:eastAsia="宋体" w:hint="default"/>
                            <w:spacing w:val="-10"/>
                            <w:sz w:val="18"/>
                            <w:szCs w:val="18"/>
                          </w:rPr>
                          <w:t> </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Times New Roman" w:hAnsi="Times New Roman" w:cs="Times New Roman" w:eastAsia="Times New Roman" w:hint="default"/>
                            <w:sz w:val="18"/>
                            <w:szCs w:val="18"/>
                          </w:rPr>
                          <w:t> </w:t>
                        </w:r>
                        <w:r>
                          <w:rPr>
                            <w:rFonts w:ascii="宋体" w:hAnsi="宋体" w:cs="宋体" w:eastAsia="宋体" w:hint="default"/>
                            <w:spacing w:val="-5"/>
                            <w:sz w:val="18"/>
                            <w:szCs w:val="18"/>
                          </w:rPr>
                          <w:t>重要缺陷：利润总额的</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错报＜利润总</w:t>
                        </w:r>
                        <w:r>
                          <w:rPr>
                            <w:rFonts w:ascii="宋体" w:hAnsi="宋体" w:cs="宋体" w:eastAsia="宋体" w:hint="default"/>
                            <w:spacing w:val="-87"/>
                            <w:sz w:val="18"/>
                            <w:szCs w:val="18"/>
                          </w:rPr>
                          <w:t> </w:t>
                        </w:r>
                        <w:r>
                          <w:rPr>
                            <w:rFonts w:ascii="宋体" w:hAnsi="宋体" w:cs="宋体" w:eastAsia="宋体" w:hint="default"/>
                            <w:sz w:val="18"/>
                            <w:szCs w:val="18"/>
                          </w:rPr>
                          <w:t>额的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、一般缺陷：错报＜利润总 额的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3049" w:type="dxa"/>
                        <w:tcBorders>
                          <w:top w:val="single" w:sz="6" w:space="0" w:color="000000"/>
                          <w:left w:val="single" w:sz="18" w:space="0" w:color="FFFFFF"/>
                          <w:bottom w:val="single" w:sz="6" w:space="0" w:color="000000"/>
                          <w:right w:val="single" w:sz="6" w:space="0" w:color="000000"/>
                        </w:tcBorders>
                      </w:tcPr>
                      <w:p>
                        <w:pPr>
                          <w:pStyle w:val="TableParagraph"/>
                          <w:spacing w:line="300" w:lineRule="atLeast" w:before="9"/>
                          <w:ind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、重大缺陷：非财务报告内部控制缺 陷导致的直接经济损失金额</w:t>
                        </w:r>
                        <w:r>
                          <w:rPr>
                            <w:rFonts w:ascii="Times New Roman" w:hAnsi="Times New Roman" w:cs="Times New Roman" w:eastAsia="Times New Roman" w:hint="default"/>
                            <w:sz w:val="18"/>
                            <w:szCs w:val="18"/>
                          </w:rPr>
                          <w:t>≥200 </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w:t>
                        </w:r>
                      </w:p>
                      <w:p>
                        <w:pPr>
                          <w:pStyle w:val="TableParagraph"/>
                          <w:spacing w:line="109" w:lineRule="exact"/>
                          <w:ind w:left="-15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pacing w:val="-8"/>
                            <w:sz w:val="18"/>
                            <w:szCs w:val="18"/>
                          </w:rPr>
                          <w:t>元。</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、重要缺陷：</w:t>
                        </w:r>
                        <w:r>
                          <w:rPr>
                            <w:rFonts w:ascii="Times New Roman" w:hAnsi="Times New Roman" w:cs="Times New Roman" w:eastAsia="Times New Roman" w:hint="default"/>
                            <w:spacing w:val="-8"/>
                            <w:sz w:val="18"/>
                            <w:szCs w:val="18"/>
                          </w:rPr>
                          <w:t>100 </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非财务报</w:t>
                        </w:r>
                      </w:p>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告内部控制缺陷导致的直接经济损失</w:t>
                        </w:r>
                      </w:p>
                      <w:p>
                        <w:pPr>
                          <w:pStyle w:val="TableParagraph"/>
                          <w:spacing w:line="273" w:lineRule="auto" w:before="95"/>
                          <w:ind w:right="89"/>
                          <w:jc w:val="left"/>
                          <w:rPr>
                            <w:rFonts w:ascii="宋体" w:hAnsi="宋体" w:cs="宋体" w:eastAsia="宋体"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200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、一般缺陷：非财 务报告内部控制缺陷导致的直接经济</w:t>
                        </w:r>
                      </w:p>
                      <w:p>
                        <w:pPr>
                          <w:pStyle w:val="TableParagraph"/>
                          <w:spacing w:line="240" w:lineRule="auto" w:before="69"/>
                          <w:ind w:right="0"/>
                          <w:jc w:val="left"/>
                          <w:rPr>
                            <w:rFonts w:ascii="宋体" w:hAnsi="宋体" w:cs="宋体" w:eastAsia="宋体" w:hint="default"/>
                            <w:sz w:val="18"/>
                            <w:szCs w:val="18"/>
                          </w:rPr>
                        </w:pPr>
                        <w:r>
                          <w:rPr>
                            <w:rFonts w:ascii="宋体" w:hAnsi="宋体" w:cs="宋体" w:eastAsia="宋体" w:hint="default"/>
                            <w:sz w:val="18"/>
                            <w:szCs w:val="18"/>
                          </w:rPr>
                          <w:t>损失金额＜</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w:t>
                        </w:r>
                      </w:p>
                    </w:tc>
                  </w:tr>
                  <w:tr>
                    <w:trPr>
                      <w:trHeight w:val="391"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line="630" w:lineRule="exact"/>
        <w:ind w:left="6689" w:right="0" w:firstLine="0"/>
        <w:rPr>
          <w:rFonts w:ascii="宋体" w:hAnsi="宋体" w:cs="宋体" w:eastAsia="宋体" w:hint="default"/>
          <w:sz w:val="20"/>
          <w:szCs w:val="20"/>
        </w:rPr>
      </w:pPr>
      <w:r>
        <w:rPr>
          <w:rFonts w:ascii="宋体" w:hAnsi="宋体" w:cs="宋体" w:eastAsia="宋体" w:hint="default"/>
          <w:position w:val="-12"/>
          <w:sz w:val="20"/>
          <w:szCs w:val="20"/>
        </w:rPr>
        <w:pict>
          <v:group style="width:150.2pt;height:31.55pt;mso-position-horizontal-relative:char;mso-position-vertical-relative:line" coordorigin="0,0" coordsize="3004,631">
            <v:group style="position:absolute;left:0;top:0;width:3004;height:315" coordorigin="0,0" coordsize="3004,315">
              <v:shape style="position:absolute;left:0;top:0;width:3004;height:315" coordorigin="0,0" coordsize="3004,315" path="m0,315l3004,315,3004,0,0,0,0,315xe" filled="true" fillcolor="#ffffff" stroked="false">
                <v:path arrowok="t"/>
                <v:fill type="solid"/>
              </v:shape>
            </v:group>
            <v:group style="position:absolute;left:0;top:315;width:3004;height:316" coordorigin="0,315" coordsize="3004,316">
              <v:shape style="position:absolute;left:0;top:315;width:3004;height:316" coordorigin="0,315" coordsize="3004,316" path="m0,631l3004,631,3004,315,0,315,0,631xe" filled="true" fillcolor="#ffffff" stroked="false">
                <v:path arrowok="t"/>
                <v:fill type="solid"/>
              </v:shape>
            </v:group>
          </v:group>
        </w:pict>
      </w:r>
      <w:r>
        <w:rPr>
          <w:rFonts w:ascii="宋体" w:hAnsi="宋体" w:cs="宋体" w:eastAsia="宋体" w:hint="default"/>
          <w:position w:val="-12"/>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Heading2"/>
        <w:spacing w:line="240" w:lineRule="auto" w:before="26"/>
        <w:ind w:right="1100"/>
        <w:jc w:val="left"/>
        <w:rPr>
          <w:b w:val="0"/>
          <w:bCs w:val="0"/>
        </w:rPr>
      </w:pPr>
      <w:bookmarkStart w:name="十、内部控制审计报告或鉴证报告" w:id="152"/>
      <w:bookmarkEnd w:id="152"/>
      <w:r>
        <w:rPr>
          <w:b w:val="0"/>
          <w:bCs w:val="0"/>
        </w:rPr>
      </w:r>
      <w:r>
        <w:rPr/>
        <w:t>十、内部控制审计报告或鉴证报告</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00"/>
        <w:jc w:val="left"/>
      </w:pPr>
      <w:r>
        <w:rPr/>
        <w:t>不适用</w:t>
      </w:r>
    </w:p>
    <w:p>
      <w:pPr>
        <w:spacing w:after="0" w:line="240"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3040" w:right="1100"/>
        <w:jc w:val="left"/>
        <w:rPr>
          <w:b w:val="0"/>
          <w:bCs w:val="0"/>
        </w:rPr>
      </w:pPr>
      <w:bookmarkStart w:name="第十一节公司债券相关情况" w:id="153"/>
      <w:bookmarkEnd w:id="153"/>
      <w:r>
        <w:rPr>
          <w:b w:val="0"/>
          <w:bCs w:val="0"/>
        </w:rPr>
      </w:r>
      <w:bookmarkStart w:name="_bookmark10" w:id="154"/>
      <w:bookmarkEnd w:id="154"/>
      <w:r>
        <w:rPr>
          <w:b w:val="0"/>
          <w:bCs w:val="0"/>
        </w:rPr>
      </w:r>
      <w:r>
        <w:rPr>
          <w:spacing w:val="5"/>
        </w:rPr>
        <w:t>第十一节公司债券相关情况</w:t>
      </w:r>
      <w:r>
        <w:rPr>
          <w:b w:val="0"/>
          <w:bCs w:val="0"/>
          <w:spacing w:val="5"/>
        </w:rPr>
      </w:r>
    </w:p>
    <w:p>
      <w:pPr>
        <w:spacing w:line="240" w:lineRule="auto" w:before="5"/>
        <w:rPr>
          <w:rFonts w:ascii="宋体" w:hAnsi="宋体" w:cs="宋体" w:eastAsia="宋体" w:hint="default"/>
          <w:b/>
          <w:bCs/>
          <w:sz w:val="41"/>
          <w:szCs w:val="41"/>
        </w:rPr>
      </w:pPr>
    </w:p>
    <w:p>
      <w:pPr>
        <w:pStyle w:val="BodyText"/>
        <w:spacing w:line="367" w:lineRule="auto"/>
        <w:ind w:right="2109"/>
        <w:jc w:val="left"/>
      </w:pPr>
      <w:r>
        <w:rPr/>
        <w:t>公司是否存在公开发行并在证券交易所上市，且在年度报告批准报出日未到期或到期未能全额兑付的公司债券 否</w:t>
      </w:r>
    </w:p>
    <w:p>
      <w:pPr>
        <w:spacing w:after="0" w:line="367"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right="3749"/>
        <w:jc w:val="center"/>
        <w:rPr>
          <w:b w:val="0"/>
          <w:bCs w:val="0"/>
        </w:rPr>
      </w:pPr>
      <w:bookmarkStart w:name="第十二节财务报告" w:id="155"/>
      <w:bookmarkEnd w:id="155"/>
      <w:r>
        <w:rPr>
          <w:b w:val="0"/>
          <w:bCs w:val="0"/>
        </w:rPr>
      </w:r>
      <w:bookmarkStart w:name="_bookmark11" w:id="156"/>
      <w:bookmarkEnd w:id="156"/>
      <w:r>
        <w:rPr>
          <w:b w:val="0"/>
          <w:bCs w:val="0"/>
        </w:rPr>
      </w:r>
      <w:r>
        <w:rPr>
          <w:spacing w:val="4"/>
        </w:rPr>
        <w:t>第十二节财务报告</w:t>
      </w:r>
      <w:r>
        <w:rPr>
          <w:b w:val="0"/>
          <w:bCs w:val="0"/>
          <w:spacing w:val="4"/>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1100"/>
        <w:jc w:val="left"/>
        <w:rPr>
          <w:b w:val="0"/>
          <w:bCs w:val="0"/>
        </w:rPr>
      </w:pPr>
      <w:bookmarkStart w:name="一、审计报告" w:id="157"/>
      <w:bookmarkEnd w:id="157"/>
      <w:r>
        <w:rPr>
          <w:b w:val="0"/>
          <w:bCs w:val="0"/>
        </w:rPr>
      </w:r>
      <w:r>
        <w:rPr/>
        <w:t>一、审计报告</w:t>
      </w:r>
      <w:r>
        <w:rPr>
          <w:b w:val="0"/>
          <w:bCs w:val="0"/>
        </w:rPr>
      </w:r>
    </w:p>
    <w:p>
      <w:pPr>
        <w:spacing w:line="240" w:lineRule="auto" w:before="2"/>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4784"/>
        <w:gridCol w:w="4798"/>
      </w:tblGrid>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[2020]18494</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王清峰、苏菊荣</w:t>
            </w:r>
          </w:p>
        </w:tc>
      </w:tr>
    </w:tbl>
    <w:p>
      <w:pPr>
        <w:pStyle w:val="BodyText"/>
        <w:spacing w:line="240" w:lineRule="auto" w:before="44"/>
        <w:ind w:left="2765" w:right="3750"/>
        <w:jc w:val="center"/>
      </w:pPr>
      <w:r>
        <w:rPr/>
        <w:t>审计报告正文</w:t>
      </w:r>
    </w:p>
    <w:p>
      <w:pPr>
        <w:pStyle w:val="BodyText"/>
        <w:spacing w:line="240" w:lineRule="auto" w:before="125"/>
        <w:ind w:left="0" w:right="1109"/>
        <w:jc w:val="right"/>
      </w:pPr>
      <w:r>
        <w:rPr/>
        <w:t>天职业字</w:t>
      </w:r>
      <w:r>
        <w:rPr>
          <w:rFonts w:ascii="Times New Roman" w:hAnsi="Times New Roman" w:cs="Times New Roman" w:eastAsia="Times New Roman" w:hint="default"/>
        </w:rPr>
        <w:t>[2020]18494</w:t>
      </w:r>
      <w:r>
        <w:rPr/>
        <w:t>号</w:t>
      </w:r>
    </w:p>
    <w:p>
      <w:pPr>
        <w:spacing w:line="240" w:lineRule="auto" w:before="11"/>
        <w:rPr>
          <w:rFonts w:ascii="宋体" w:hAnsi="宋体" w:cs="宋体" w:eastAsia="宋体" w:hint="default"/>
          <w:sz w:val="18"/>
          <w:szCs w:val="18"/>
        </w:rPr>
      </w:pPr>
    </w:p>
    <w:p>
      <w:pPr>
        <w:spacing w:line="552" w:lineRule="auto" w:before="44"/>
        <w:ind w:left="501" w:right="7690" w:hanging="361"/>
        <w:jc w:val="left"/>
        <w:rPr>
          <w:rFonts w:ascii="宋体" w:hAnsi="宋体" w:cs="宋体" w:eastAsia="宋体" w:hint="default"/>
          <w:sz w:val="18"/>
          <w:szCs w:val="18"/>
        </w:rPr>
      </w:pPr>
      <w:r>
        <w:rPr>
          <w:rFonts w:ascii="宋体" w:hAnsi="宋体" w:cs="宋体" w:eastAsia="宋体" w:hint="default"/>
          <w:sz w:val="18"/>
          <w:szCs w:val="18"/>
        </w:rPr>
        <w:t>飞天诚信科技股份有限公司全体股东： </w:t>
      </w:r>
      <w:r>
        <w:rPr>
          <w:rFonts w:ascii="宋体" w:hAnsi="宋体" w:cs="宋体" w:eastAsia="宋体" w:hint="default"/>
          <w:b/>
          <w:bCs/>
          <w:sz w:val="18"/>
          <w:szCs w:val="18"/>
        </w:rPr>
        <w:t>一、审计意见</w:t>
      </w:r>
      <w:r>
        <w:rPr>
          <w:rFonts w:ascii="宋体" w:hAnsi="宋体" w:cs="宋体" w:eastAsia="宋体" w:hint="default"/>
          <w:sz w:val="18"/>
          <w:szCs w:val="18"/>
        </w:rPr>
      </w:r>
    </w:p>
    <w:p>
      <w:pPr>
        <w:pStyle w:val="BodyText"/>
        <w:spacing w:line="295" w:lineRule="auto" w:before="101"/>
        <w:ind w:right="1096" w:firstLine="360"/>
        <w:jc w:val="both"/>
      </w:pPr>
      <w:r>
        <w:rPr>
          <w:spacing w:val="-1"/>
        </w:rPr>
        <w:t>我们审计了后附的飞天诚信科技股份有限公司（以下简称</w:t>
      </w:r>
      <w:r>
        <w:rPr>
          <w:rFonts w:ascii="Times New Roman" w:hAnsi="Times New Roman" w:cs="Times New Roman" w:eastAsia="Times New Roman" w:hint="default"/>
          <w:spacing w:val="-1"/>
        </w:rPr>
        <w:t>“</w:t>
      </w:r>
      <w:r>
        <w:rPr>
          <w:spacing w:val="-1"/>
        </w:rPr>
        <w:t>飞天诚信</w:t>
      </w:r>
      <w:r>
        <w:rPr>
          <w:rFonts w:ascii="Times New Roman" w:hAnsi="Times New Roman" w:cs="Times New Roman" w:eastAsia="Times New Roman" w:hint="default"/>
          <w:spacing w:val="-1"/>
        </w:rPr>
        <w:t>”</w:t>
      </w:r>
      <w:r>
        <w:rPr>
          <w:spacing w:val="-1"/>
        </w:rPr>
        <w:t>）财务报表，包括</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日的合并及母公司</w:t>
      </w:r>
      <w:r>
        <w:rPr/>
        <w:t> </w:t>
      </w:r>
      <w:r>
        <w:rPr>
          <w:spacing w:val="-2"/>
        </w:rPr>
        <w:t>资产负债表，</w:t>
      </w:r>
      <w:r>
        <w:rPr>
          <w:rFonts w:ascii="Times New Roman" w:hAnsi="Times New Roman" w:cs="Times New Roman" w:eastAsia="Times New Roman" w:hint="default"/>
          <w:spacing w:val="-2"/>
        </w:rPr>
        <w:t>2019</w:t>
      </w:r>
      <w:r>
        <w:rPr>
          <w:spacing w:val="-2"/>
        </w:rPr>
        <w:t>年度的合并及母公司利润表、合并及母公司现金流量表、合并及母公司股东权益变动表，以及财务报表附</w:t>
      </w:r>
      <w:r>
        <w:rPr>
          <w:spacing w:val="-37"/>
        </w:rPr>
        <w:t> </w:t>
      </w:r>
      <w:r>
        <w:rPr>
          <w:spacing w:val="-37"/>
        </w:rPr>
      </w:r>
      <w:r>
        <w:rPr/>
        <w:t>注。</w:t>
      </w:r>
    </w:p>
    <w:p>
      <w:pPr>
        <w:spacing w:line="240" w:lineRule="auto" w:before="3"/>
        <w:rPr>
          <w:rFonts w:ascii="宋体" w:hAnsi="宋体" w:cs="宋体" w:eastAsia="宋体" w:hint="default"/>
          <w:sz w:val="13"/>
          <w:szCs w:val="13"/>
        </w:rPr>
      </w:pPr>
    </w:p>
    <w:p>
      <w:pPr>
        <w:pStyle w:val="BodyText"/>
        <w:spacing w:line="290" w:lineRule="auto"/>
        <w:ind w:right="1125" w:firstLine="360"/>
        <w:jc w:val="both"/>
      </w:pPr>
      <w:r>
        <w:rPr>
          <w:spacing w:val="-2"/>
        </w:rPr>
        <w:t>我们认为，后附的财务报表在所有重大方面按照企业会计准则的规定编制，公允反映了飞天诚信</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w:t>
      </w:r>
      <w:r>
        <w:rPr/>
        <w:t> 及母公司财务状况以及</w:t>
      </w:r>
      <w:r>
        <w:rPr>
          <w:rFonts w:ascii="Times New Roman" w:hAnsi="Times New Roman" w:cs="Times New Roman" w:eastAsia="Times New Roman" w:hint="default"/>
        </w:rPr>
        <w:t>2019</w:t>
      </w:r>
      <w:r>
        <w:rPr/>
        <w:t>年度的合并及母公司经营成果和现金流量。</w:t>
      </w:r>
    </w:p>
    <w:p>
      <w:pPr>
        <w:spacing w:line="240" w:lineRule="auto" w:before="1"/>
        <w:rPr>
          <w:rFonts w:ascii="宋体" w:hAnsi="宋体" w:cs="宋体" w:eastAsia="宋体" w:hint="default"/>
          <w:sz w:val="19"/>
          <w:szCs w:val="19"/>
        </w:rPr>
      </w:pPr>
    </w:p>
    <w:p>
      <w:pPr>
        <w:pStyle w:val="Heading6"/>
        <w:spacing w:line="240" w:lineRule="auto" w:before="0"/>
        <w:ind w:right="1100"/>
        <w:jc w:val="left"/>
        <w:rPr>
          <w:b w:val="0"/>
          <w:bCs w:val="0"/>
        </w:rPr>
      </w:pPr>
      <w:r>
        <w:rPr/>
        <w:t>二、形成审计意见的基础</w:t>
      </w:r>
      <w:r>
        <w:rPr>
          <w:b w:val="0"/>
          <w:bCs w:val="0"/>
        </w:rPr>
      </w:r>
    </w:p>
    <w:p>
      <w:pPr>
        <w:spacing w:line="240" w:lineRule="auto" w:before="8"/>
        <w:rPr>
          <w:rFonts w:ascii="宋体" w:hAnsi="宋体" w:cs="宋体" w:eastAsia="宋体" w:hint="default"/>
          <w:b/>
          <w:bCs/>
          <w:sz w:val="25"/>
          <w:szCs w:val="25"/>
        </w:rPr>
      </w:pPr>
    </w:p>
    <w:p>
      <w:pPr>
        <w:pStyle w:val="BodyText"/>
        <w:spacing w:line="304" w:lineRule="auto"/>
        <w:ind w:right="1110" w:firstLine="360"/>
        <w:jc w:val="both"/>
      </w:pPr>
      <w:r>
        <w:rPr>
          <w:spacing w:val="-1"/>
        </w:rPr>
        <w:t>我们按照中国注册会计师审计准则的规定执行了审计工作。审计报告的</w:t>
      </w:r>
      <w:r>
        <w:rPr>
          <w:rFonts w:ascii="Times New Roman" w:hAnsi="Times New Roman" w:cs="Times New Roman" w:eastAsia="Times New Roman" w:hint="default"/>
          <w:spacing w:val="-1"/>
        </w:rPr>
        <w:t>“</w:t>
      </w:r>
      <w:r>
        <w:rPr>
          <w:spacing w:val="-1"/>
        </w:rPr>
        <w:t>注册会计师对财务报表审计的责任</w:t>
      </w:r>
      <w:r>
        <w:rPr>
          <w:rFonts w:ascii="Times New Roman" w:hAnsi="Times New Roman" w:cs="Times New Roman" w:eastAsia="Times New Roman" w:hint="default"/>
          <w:spacing w:val="-1"/>
        </w:rPr>
        <w:t>”</w:t>
      </w:r>
      <w:r>
        <w:rPr>
          <w:spacing w:val="-1"/>
        </w:rPr>
        <w:t>部分进一步</w:t>
      </w:r>
      <w:r>
        <w:rPr/>
        <w:t> </w:t>
      </w:r>
      <w:r>
        <w:rPr>
          <w:spacing w:val="-2"/>
        </w:rPr>
        <w:t>阐述了我们在这些准则下的责任。按照中国注册会计师职业道德守则，我们独立于飞天诚信，并履行了职业道德方面的其他</w:t>
      </w:r>
      <w:r>
        <w:rPr>
          <w:spacing w:val="-75"/>
        </w:rPr>
        <w:t> </w:t>
      </w:r>
      <w:r>
        <w:rPr>
          <w:spacing w:val="-75"/>
        </w:rPr>
      </w:r>
      <w:r>
        <w:rPr/>
        <w:t>责任。我们相信，我们获取的审计证据是充分、适当的，为发表审计意见提供了基础。</w:t>
      </w:r>
    </w:p>
    <w:p>
      <w:pPr>
        <w:pStyle w:val="BodyText"/>
        <w:spacing w:line="556" w:lineRule="exact" w:before="22"/>
        <w:ind w:left="501" w:right="1133"/>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关键审计事项是我们根据职业判断，认为对本期财务报表审计最为重要的事项。这些事项的应对以对财务报表整体进行</w:t>
      </w:r>
    </w:p>
    <w:p>
      <w:pPr>
        <w:pStyle w:val="BodyText"/>
        <w:spacing w:line="230" w:lineRule="exact"/>
        <w:ind w:right="1100"/>
        <w:jc w:val="left"/>
      </w:pPr>
      <w:r>
        <w:rPr/>
        <w:t>审计并形成审计意见为背景，我们不对这些事项单独发表意见。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ind w:left="0" w:right="1325"/>
        <w:jc w:val="right"/>
      </w:pPr>
      <w:r>
        <w:rPr/>
        <w:pict>
          <v:shape style="position:absolute;margin-left:56.325001pt;margin-top:-130.613281pt;width:469.7pt;height:146.4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00"/>
                    <w:gridCol w:w="5572"/>
                  </w:tblGrid>
                  <w:tr>
                    <w:trPr>
                      <w:trHeight w:val="346" w:hRule="exact"/>
                    </w:trPr>
                    <w:tc>
                      <w:tcPr>
                        <w:tcW w:w="380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8" w:right="0"/>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557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606" w:right="0"/>
                          <w:jc w:val="left"/>
                          <w:rPr>
                            <w:rFonts w:ascii="宋体" w:hAnsi="宋体" w:cs="宋体" w:eastAsia="宋体" w:hint="default"/>
                            <w:sz w:val="18"/>
                            <w:szCs w:val="18"/>
                          </w:rPr>
                        </w:pPr>
                        <w:r>
                          <w:rPr>
                            <w:rFonts w:ascii="宋体" w:hAnsi="宋体" w:cs="宋体" w:eastAsia="宋体" w:hint="default"/>
                            <w:b/>
                            <w:bCs/>
                            <w:sz w:val="18"/>
                            <w:szCs w:val="18"/>
                          </w:rPr>
                          <w:t>该事项在审计中是如何应对的</w:t>
                        </w:r>
                        <w:r>
                          <w:rPr>
                            <w:rFonts w:ascii="宋体" w:hAnsi="宋体" w:cs="宋体" w:eastAsia="宋体" w:hint="default"/>
                            <w:sz w:val="18"/>
                            <w:szCs w:val="18"/>
                          </w:rPr>
                        </w:r>
                      </w:p>
                    </w:tc>
                  </w:tr>
                  <w:tr>
                    <w:trPr>
                      <w:trHeight w:val="345" w:hRule="exact"/>
                    </w:trPr>
                    <w:tc>
                      <w:tcPr>
                        <w:tcW w:w="93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left="15" w:right="0"/>
                          <w:jc w:val="left"/>
                          <w:rPr>
                            <w:rFonts w:ascii="宋体" w:hAnsi="宋体" w:cs="宋体" w:eastAsia="宋体" w:hint="default"/>
                            <w:sz w:val="19"/>
                            <w:szCs w:val="19"/>
                          </w:rPr>
                        </w:pPr>
                        <w:r>
                          <w:rPr>
                            <w:rFonts w:ascii="宋体" w:hAnsi="宋体" w:cs="宋体" w:eastAsia="宋体" w:hint="default"/>
                            <w:b/>
                            <w:bCs/>
                            <w:i/>
                            <w:sz w:val="19"/>
                            <w:szCs w:val="19"/>
                          </w:rPr>
                          <w:t>委托加工物资</w:t>
                        </w:r>
                        <w:r>
                          <w:rPr>
                            <w:rFonts w:ascii="宋体" w:hAnsi="宋体" w:cs="宋体" w:eastAsia="宋体" w:hint="default"/>
                            <w:sz w:val="19"/>
                            <w:szCs w:val="19"/>
                          </w:rPr>
                        </w:r>
                      </w:p>
                    </w:tc>
                  </w:tr>
                  <w:tr>
                    <w:trPr>
                      <w:trHeight w:val="2222" w:hRule="exact"/>
                    </w:trPr>
                    <w:tc>
                      <w:tcPr>
                        <w:tcW w:w="3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314" w:lineRule="auto"/>
                          <w:ind w:left="15" w:right="-23" w:firstLine="360"/>
                          <w:jc w:val="both"/>
                          <w:rPr>
                            <w:rFonts w:ascii="宋体" w:hAnsi="宋体" w:cs="宋体" w:eastAsia="宋体" w:hint="default"/>
                            <w:sz w:val="18"/>
                            <w:szCs w:val="18"/>
                          </w:rPr>
                        </w:pPr>
                        <w:r>
                          <w:rPr>
                            <w:rFonts w:ascii="宋体" w:hAnsi="宋体" w:cs="宋体" w:eastAsia="宋体" w:hint="default"/>
                            <w:sz w:val="18"/>
                            <w:szCs w:val="18"/>
                          </w:rPr>
                          <w:t>如财务报表附注六、（七）所述，飞天诚信 </w:t>
                        </w:r>
                        <w:r>
                          <w:rPr>
                            <w:rFonts w:ascii="宋体" w:hAnsi="宋体" w:cs="宋体" w:eastAsia="宋体" w:hint="default"/>
                            <w:spacing w:val="9"/>
                            <w:sz w:val="18"/>
                            <w:szCs w:val="18"/>
                          </w:rPr>
                          <w:t>生产经营形成的主要资产为存货中的委托加工</w:t>
                        </w:r>
                        <w:r>
                          <w:rPr>
                            <w:rFonts w:ascii="宋体" w:hAnsi="宋体" w:cs="宋体" w:eastAsia="宋体" w:hint="default"/>
                            <w:sz w:val="18"/>
                            <w:szCs w:val="18"/>
                          </w:rPr>
                          <w:t> 物资。截至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日，飞天诚信委托加工 物资余额</w:t>
                        </w:r>
                        <w:r>
                          <w:rPr>
                            <w:rFonts w:ascii="Times New Roman" w:hAnsi="Times New Roman" w:cs="Times New Roman" w:eastAsia="Times New Roman" w:hint="default"/>
                            <w:sz w:val="18"/>
                            <w:szCs w:val="18"/>
                          </w:rPr>
                          <w:t>10,466.55</w:t>
                        </w:r>
                        <w:r>
                          <w:rPr>
                            <w:rFonts w:ascii="宋体" w:hAnsi="宋体" w:cs="宋体" w:eastAsia="宋体" w:hint="default"/>
                            <w:sz w:val="18"/>
                            <w:szCs w:val="18"/>
                          </w:rPr>
                          <w:t>万元。</w:t>
                        </w:r>
                      </w:p>
                      <w:p>
                        <w:pPr>
                          <w:pStyle w:val="TableParagraph"/>
                          <w:spacing w:line="321" w:lineRule="auto"/>
                          <w:ind w:left="15" w:right="-23" w:firstLine="360"/>
                          <w:jc w:val="both"/>
                          <w:rPr>
                            <w:rFonts w:ascii="宋体" w:hAnsi="宋体" w:cs="宋体" w:eastAsia="宋体" w:hint="default"/>
                            <w:sz w:val="18"/>
                            <w:szCs w:val="18"/>
                          </w:rPr>
                        </w:pPr>
                        <w:r>
                          <w:rPr>
                            <w:rFonts w:ascii="宋体" w:hAnsi="宋体" w:cs="宋体" w:eastAsia="宋体" w:hint="default"/>
                            <w:spacing w:val="10"/>
                            <w:sz w:val="18"/>
                            <w:szCs w:val="18"/>
                          </w:rPr>
                          <w:t>委托加工物资实物存放于飞天诚信的加工</w:t>
                        </w:r>
                        <w:r>
                          <w:rPr>
                            <w:rFonts w:ascii="宋体" w:hAnsi="宋体" w:cs="宋体" w:eastAsia="宋体" w:hint="default"/>
                            <w:sz w:val="18"/>
                            <w:szCs w:val="18"/>
                          </w:rPr>
                          <w:t> 商处，对飞天诚信财务报表具有重大影响，为此</w:t>
                        </w:r>
                      </w:p>
                    </w:tc>
                    <w:tc>
                      <w:tcPr>
                        <w:tcW w:w="5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75" w:right="0"/>
                          <w:jc w:val="left"/>
                          <w:rPr>
                            <w:rFonts w:ascii="宋体" w:hAnsi="宋体" w:cs="宋体" w:eastAsia="宋体" w:hint="default"/>
                            <w:sz w:val="18"/>
                            <w:szCs w:val="18"/>
                          </w:rPr>
                        </w:pPr>
                        <w:r>
                          <w:rPr>
                            <w:rFonts w:ascii="宋体" w:hAnsi="宋体" w:cs="宋体" w:eastAsia="宋体" w:hint="default"/>
                            <w:sz w:val="18"/>
                            <w:szCs w:val="18"/>
                          </w:rPr>
                          <w:t>我们就委托加工物资执行的主要审计程序如下：</w:t>
                        </w:r>
                      </w:p>
                      <w:p>
                        <w:pPr>
                          <w:pStyle w:val="TableParagraph"/>
                          <w:spacing w:line="288" w:lineRule="auto" w:before="80"/>
                          <w:ind w:left="15" w:right="19"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）了解、评价、测试与委托加工物资相关关键内部控制设计和 运行的有效性。</w:t>
                        </w:r>
                      </w:p>
                      <w:p>
                        <w:pPr>
                          <w:pStyle w:val="TableParagraph"/>
                          <w:spacing w:line="240" w:lineRule="auto" w:before="59"/>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）获取委托加工物资明细表。</w:t>
                        </w:r>
                      </w:p>
                      <w:p>
                        <w:pPr>
                          <w:pStyle w:val="TableParagraph"/>
                          <w:spacing w:line="240" w:lineRule="auto" w:before="66"/>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）抽取样本，检查委托加工物资资产负债表日后结算情况。</w:t>
                        </w:r>
                      </w:p>
                      <w:p>
                        <w:pPr>
                          <w:pStyle w:val="TableParagraph"/>
                          <w:spacing w:line="240" w:lineRule="auto" w:before="66"/>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）抽取样本，对委托加工物资实施抽监盘程序，进行现场观察</w:t>
                        </w:r>
                      </w:p>
                    </w:tc>
                  </w:tr>
                </w:tbl>
                <w:p>
                  <w:pPr/>
                </w:p>
              </w:txbxContent>
            </v:textbox>
            <w10:wrap type="none"/>
          </v:shape>
        </w:pict>
      </w:r>
      <w:r>
        <w:rPr/>
        <w:t>。</w:t>
      </w:r>
    </w:p>
    <w:p>
      <w:pPr>
        <w:spacing w:after="0" w:line="240" w:lineRule="auto"/>
        <w:jc w:val="righ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800"/>
        <w:gridCol w:w="5572"/>
      </w:tblGrid>
      <w:tr>
        <w:trPr>
          <w:trHeight w:val="660" w:hRule="exact"/>
        </w:trPr>
        <w:tc>
          <w:tcPr>
            <w:tcW w:w="3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我们将委托加工物资列为关键审计事项。</w:t>
            </w:r>
          </w:p>
        </w:tc>
        <w:tc>
          <w:tcPr>
            <w:tcW w:w="557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29"/>
              <w:ind w:left="15" w:right="19"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）抽取样本，对委托加工物资执行函证，对未回函的样本实施 替代程序。</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3800"/>
        <w:gridCol w:w="5572"/>
      </w:tblGrid>
      <w:tr>
        <w:trPr>
          <w:trHeight w:val="345" w:hRule="exact"/>
        </w:trPr>
        <w:tc>
          <w:tcPr>
            <w:tcW w:w="93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b/>
                <w:bCs/>
                <w:sz w:val="18"/>
                <w:szCs w:val="18"/>
              </w:rPr>
              <w:t>商誉减值</w:t>
            </w:r>
            <w:r>
              <w:rPr>
                <w:rFonts w:ascii="宋体" w:hAnsi="宋体" w:cs="宋体" w:eastAsia="宋体" w:hint="default"/>
                <w:sz w:val="18"/>
                <w:szCs w:val="18"/>
              </w:rPr>
            </w:r>
          </w:p>
        </w:tc>
      </w:tr>
      <w:tr>
        <w:trPr>
          <w:trHeight w:val="5660" w:hRule="exact"/>
        </w:trPr>
        <w:tc>
          <w:tcPr>
            <w:tcW w:w="3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304" w:lineRule="auto"/>
              <w:ind w:left="15" w:right="-15" w:firstLine="360"/>
              <w:jc w:val="both"/>
              <w:rPr>
                <w:rFonts w:ascii="宋体" w:hAnsi="宋体" w:cs="宋体" w:eastAsia="宋体" w:hint="default"/>
                <w:sz w:val="18"/>
                <w:szCs w:val="18"/>
              </w:rPr>
            </w:pPr>
            <w:r>
              <w:rPr>
                <w:rFonts w:ascii="宋体" w:hAnsi="宋体" w:cs="宋体" w:eastAsia="宋体" w:hint="default"/>
                <w:spacing w:val="-9"/>
                <w:sz w:val="18"/>
                <w:szCs w:val="18"/>
              </w:rPr>
              <w:t>如财务报表附注六、（十五）所述，截至</w:t>
            </w:r>
            <w:r>
              <w:rPr>
                <w:rFonts w:ascii="Times New Roman" w:hAnsi="Times New Roman" w:cs="Times New Roman" w:eastAsia="Times New Roman" w:hint="default"/>
                <w:spacing w:val="-9"/>
                <w:sz w:val="18"/>
                <w:szCs w:val="18"/>
              </w:rPr>
              <w:t>2019</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日，飞天诚信商誉金额</w:t>
            </w:r>
            <w:r>
              <w:rPr>
                <w:rFonts w:ascii="Times New Roman" w:hAnsi="Times New Roman" w:cs="Times New Roman" w:eastAsia="Times New Roman" w:hint="default"/>
                <w:sz w:val="18"/>
                <w:szCs w:val="18"/>
              </w:rPr>
              <w:t>10,229.43</w:t>
            </w:r>
            <w:r>
              <w:rPr>
                <w:rFonts w:ascii="宋体" w:hAnsi="宋体" w:cs="宋体" w:eastAsia="宋体" w:hint="default"/>
                <w:sz w:val="18"/>
                <w:szCs w:val="18"/>
              </w:rPr>
              <w:t>万元， 为</w:t>
            </w:r>
            <w:r>
              <w:rPr>
                <w:rFonts w:ascii="Times New Roman" w:hAnsi="Times New Roman" w:cs="Times New Roman" w:eastAsia="Times New Roman" w:hint="default"/>
                <w:sz w:val="18"/>
                <w:szCs w:val="18"/>
              </w:rPr>
              <w:t>2017</w:t>
            </w:r>
            <w:r>
              <w:rPr>
                <w:rFonts w:ascii="宋体" w:hAnsi="宋体" w:cs="宋体" w:eastAsia="宋体" w:hint="default"/>
                <w:sz w:val="18"/>
                <w:szCs w:val="18"/>
              </w:rPr>
              <w:t>年飞天诚信收购子公司形成。如果商誉有 发生减值的情况，对飞天诚信财务报表将产生重 大影响。</w:t>
            </w:r>
          </w:p>
          <w:p>
            <w:pPr>
              <w:pStyle w:val="TableParagraph"/>
              <w:spacing w:line="321" w:lineRule="auto" w:before="16"/>
              <w:ind w:left="15" w:right="-23" w:firstLine="360"/>
              <w:jc w:val="both"/>
              <w:rPr>
                <w:rFonts w:ascii="宋体" w:hAnsi="宋体" w:cs="宋体" w:eastAsia="宋体" w:hint="default"/>
                <w:sz w:val="18"/>
                <w:szCs w:val="18"/>
              </w:rPr>
            </w:pPr>
            <w:r>
              <w:rPr>
                <w:rFonts w:ascii="宋体" w:hAnsi="宋体" w:cs="宋体" w:eastAsia="宋体" w:hint="default"/>
                <w:spacing w:val="10"/>
                <w:sz w:val="18"/>
                <w:szCs w:val="18"/>
              </w:rPr>
              <w:t>商誉的减值评估结果由管理层依据其聘任</w:t>
            </w:r>
            <w:r>
              <w:rPr>
                <w:rFonts w:ascii="宋体" w:hAnsi="宋体" w:cs="宋体" w:eastAsia="宋体" w:hint="default"/>
                <w:sz w:val="18"/>
                <w:szCs w:val="18"/>
              </w:rPr>
              <w:t> 的外部评估师编制的估值报告进行确定。</w:t>
            </w:r>
          </w:p>
          <w:p>
            <w:pPr>
              <w:pStyle w:val="TableParagraph"/>
              <w:spacing w:line="321" w:lineRule="auto" w:before="19"/>
              <w:ind w:left="15" w:right="-23" w:firstLine="360"/>
              <w:jc w:val="both"/>
              <w:rPr>
                <w:rFonts w:ascii="宋体" w:hAnsi="宋体" w:cs="宋体" w:eastAsia="宋体" w:hint="default"/>
                <w:sz w:val="18"/>
                <w:szCs w:val="18"/>
              </w:rPr>
            </w:pPr>
            <w:r>
              <w:rPr>
                <w:rFonts w:ascii="宋体" w:hAnsi="宋体" w:cs="宋体" w:eastAsia="宋体" w:hint="default"/>
                <w:spacing w:val="10"/>
                <w:sz w:val="18"/>
                <w:szCs w:val="18"/>
              </w:rPr>
              <w:t>减值评估是依据所编制的折现自由现金流</w:t>
            </w:r>
            <w:r>
              <w:rPr>
                <w:rFonts w:ascii="宋体" w:hAnsi="宋体" w:cs="宋体" w:eastAsia="宋体" w:hint="default"/>
                <w:sz w:val="18"/>
                <w:szCs w:val="18"/>
              </w:rPr>
              <w:t> 预测而估计所收购子公司可收回金额。折现现金 流预测的编制涉及运用重大判断和估计，特别是 确定收入增长率、毛利率波动，以及由于商誉的 </w:t>
            </w:r>
            <w:r>
              <w:rPr>
                <w:rFonts w:ascii="宋体" w:hAnsi="宋体" w:cs="宋体" w:eastAsia="宋体" w:hint="default"/>
                <w:spacing w:val="9"/>
                <w:sz w:val="18"/>
                <w:szCs w:val="18"/>
              </w:rPr>
              <w:t>减值预测和折现未来自由现金流量涉及重大不</w:t>
            </w:r>
            <w:r>
              <w:rPr>
                <w:rFonts w:ascii="宋体" w:hAnsi="宋体" w:cs="宋体" w:eastAsia="宋体" w:hint="default"/>
                <w:sz w:val="18"/>
                <w:szCs w:val="18"/>
              </w:rPr>
              <w:t> 确定性，管理层在选用假设和估计时可能出现偏 好的风险，所以我们将商誉的减值作为飞天诚信 </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年度关键审计事项。</w:t>
            </w:r>
          </w:p>
        </w:tc>
        <w:tc>
          <w:tcPr>
            <w:tcW w:w="5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375" w:right="0"/>
              <w:jc w:val="left"/>
              <w:rPr>
                <w:rFonts w:ascii="宋体" w:hAnsi="宋体" w:cs="宋体" w:eastAsia="宋体" w:hint="default"/>
                <w:sz w:val="18"/>
                <w:szCs w:val="18"/>
              </w:rPr>
            </w:pPr>
            <w:r>
              <w:rPr>
                <w:rFonts w:ascii="宋体" w:hAnsi="宋体" w:cs="宋体" w:eastAsia="宋体" w:hint="default"/>
                <w:sz w:val="18"/>
                <w:szCs w:val="18"/>
              </w:rPr>
              <w:t>我们就商誉减值执行的主要审计程序如下：</w:t>
            </w:r>
          </w:p>
          <w:p>
            <w:pPr>
              <w:pStyle w:val="TableParagraph"/>
              <w:spacing w:line="240" w:lineRule="auto" w:before="95"/>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）了解并测试了与商誉减值测试相关的关键内部控制。</w:t>
            </w:r>
          </w:p>
          <w:p>
            <w:pPr>
              <w:pStyle w:val="TableParagraph"/>
              <w:spacing w:line="290" w:lineRule="auto" w:before="66"/>
              <w:ind w:left="15" w:right="19"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）评价飞天诚信外聘评估机构的独立性、胜任能力、专业素质 和客观性。</w:t>
            </w:r>
          </w:p>
          <w:p>
            <w:pPr>
              <w:pStyle w:val="TableParagraph"/>
              <w:spacing w:line="276" w:lineRule="auto" w:before="56"/>
              <w:ind w:left="15" w:right="16"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）评价管理层估计所收购子公司可收回价值时采用的关键假设 和方法，如折现率、收入增长率等。</w:t>
            </w:r>
          </w:p>
          <w:p>
            <w:pPr>
              <w:pStyle w:val="TableParagraph"/>
              <w:spacing w:line="290" w:lineRule="auto" w:before="67"/>
              <w:ind w:left="15" w:right="19"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）通过将折现率与同行业类似企业的折现率进行比较，评价折 现的现金流量预测中采用的风险调整折现率。</w:t>
            </w:r>
          </w:p>
          <w:p>
            <w:pPr>
              <w:pStyle w:val="TableParagraph"/>
              <w:spacing w:line="297" w:lineRule="auto" w:before="56"/>
              <w:ind w:left="15" w:right="-39"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）获取管理层的关键假设敏感性分析，包括折现现金流预测运 </w:t>
            </w:r>
            <w:r>
              <w:rPr>
                <w:rFonts w:ascii="宋体" w:hAnsi="宋体" w:cs="宋体" w:eastAsia="宋体" w:hint="default"/>
                <w:spacing w:val="-2"/>
                <w:sz w:val="18"/>
                <w:szCs w:val="18"/>
              </w:rPr>
              <w:t>用的收入增长率和风险调整折现率，评价关键假设变动对管理层在其减</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值评估发表的结论造成的影响，以及是否存在管理层偏好的任何迹象。</w:t>
            </w:r>
          </w:p>
          <w:p>
            <w:pPr>
              <w:pStyle w:val="TableParagraph"/>
              <w:spacing w:line="290" w:lineRule="auto" w:before="51"/>
              <w:ind w:left="15" w:right="19"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）通过对比上一年度的预测和本年度的业绩进行追溯性审核， 以评估管理层预测过程的可靠性和历史准确性。</w:t>
            </w:r>
          </w:p>
          <w:p>
            <w:pPr>
              <w:pStyle w:val="TableParagraph"/>
              <w:spacing w:line="290" w:lineRule="auto" w:before="56"/>
              <w:ind w:left="15" w:right="19"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）评价在财务报表中有关商誉的减值评估的披露是否符合现行 会计准则的要求。</w:t>
            </w:r>
          </w:p>
        </w:tc>
      </w:tr>
    </w:tbl>
    <w:p>
      <w:pPr>
        <w:spacing w:line="240" w:lineRule="auto" w:before="13"/>
        <w:rPr>
          <w:rFonts w:ascii="宋体" w:hAnsi="宋体" w:cs="宋体" w:eastAsia="宋体" w:hint="default"/>
          <w:sz w:val="14"/>
          <w:szCs w:val="14"/>
        </w:rPr>
      </w:pPr>
    </w:p>
    <w:p>
      <w:pPr>
        <w:pStyle w:val="Heading6"/>
        <w:spacing w:line="240" w:lineRule="auto"/>
        <w:ind w:right="1100"/>
        <w:jc w:val="left"/>
        <w:rPr>
          <w:b w:val="0"/>
          <w:bCs w:val="0"/>
        </w:rPr>
      </w:pPr>
      <w:r>
        <w:rPr/>
        <w:t>四、其他信息</w:t>
      </w:r>
      <w:r>
        <w:rPr>
          <w:b w:val="0"/>
          <w:bCs w:val="0"/>
        </w:rPr>
      </w:r>
    </w:p>
    <w:p>
      <w:pPr>
        <w:spacing w:line="240" w:lineRule="auto" w:before="6"/>
        <w:rPr>
          <w:rFonts w:ascii="宋体" w:hAnsi="宋体" w:cs="宋体" w:eastAsia="宋体" w:hint="default"/>
          <w:b/>
          <w:bCs/>
          <w:sz w:val="24"/>
          <w:szCs w:val="24"/>
        </w:rPr>
      </w:pPr>
    </w:p>
    <w:p>
      <w:pPr>
        <w:pStyle w:val="BodyText"/>
        <w:spacing w:line="288" w:lineRule="auto"/>
        <w:ind w:right="1104" w:firstLine="360"/>
        <w:jc w:val="left"/>
      </w:pPr>
      <w:r>
        <w:rPr>
          <w:spacing w:val="-1"/>
        </w:rPr>
        <w:t>飞天诚信管理层（以下简称</w:t>
      </w:r>
      <w:r>
        <w:rPr>
          <w:rFonts w:ascii="Times New Roman" w:hAnsi="Times New Roman" w:cs="Times New Roman" w:eastAsia="Times New Roman" w:hint="default"/>
          <w:spacing w:val="-1"/>
        </w:rPr>
        <w:t>“</w:t>
      </w:r>
      <w:r>
        <w:rPr>
          <w:spacing w:val="-1"/>
        </w:rPr>
        <w:t>管理层</w:t>
      </w:r>
      <w:r>
        <w:rPr>
          <w:rFonts w:ascii="Times New Roman" w:hAnsi="Times New Roman" w:cs="Times New Roman" w:eastAsia="Times New Roman" w:hint="default"/>
          <w:spacing w:val="-1"/>
        </w:rPr>
        <w:t>”</w:t>
      </w:r>
      <w:r>
        <w:rPr>
          <w:spacing w:val="-1"/>
        </w:rPr>
        <w:t>）对其他信息负责。其他信息包括</w:t>
      </w:r>
      <w:r>
        <w:rPr>
          <w:rFonts w:ascii="Times New Roman" w:hAnsi="Times New Roman" w:cs="Times New Roman" w:eastAsia="Times New Roman" w:hint="default"/>
          <w:spacing w:val="-1"/>
        </w:rPr>
        <w:t>2019</w:t>
      </w:r>
      <w:r>
        <w:rPr>
          <w:spacing w:val="-1"/>
        </w:rPr>
        <w:t>年年度报告中涵盖的信息，但不包括财务报</w:t>
      </w:r>
      <w:r>
        <w:rPr/>
        <w:t> 表和我们的审计报告。</w:t>
      </w:r>
    </w:p>
    <w:p>
      <w:pPr>
        <w:pStyle w:val="BodyText"/>
        <w:spacing w:line="436" w:lineRule="exact" w:before="25"/>
        <w:ind w:left="501" w:right="1133"/>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240" w:lineRule="auto" w:before="17"/>
        <w:ind w:right="1100"/>
        <w:jc w:val="left"/>
      </w:pPr>
      <w:r>
        <w:rPr/>
        <w:t>程中了解到的情况存在重大不一致或者存在重大错报。</w:t>
      </w:r>
    </w:p>
    <w:p>
      <w:pPr>
        <w:spacing w:line="240" w:lineRule="auto" w:before="2"/>
        <w:rPr>
          <w:rFonts w:ascii="宋体" w:hAnsi="宋体" w:cs="宋体" w:eastAsia="宋体" w:hint="default"/>
          <w:sz w:val="14"/>
          <w:szCs w:val="14"/>
        </w:rPr>
      </w:pPr>
    </w:p>
    <w:p>
      <w:pPr>
        <w:pStyle w:val="BodyText"/>
        <w:spacing w:line="321" w:lineRule="auto"/>
        <w:ind w:right="1100" w:firstLine="360"/>
        <w:jc w:val="left"/>
      </w:pPr>
      <w:r>
        <w:rPr>
          <w:spacing w:val="-2"/>
        </w:rPr>
        <w:t>基于我们已执行的工作，如果我们确定其他信息存在重大错报，我们应当报告该事实。在这方面，我们无任何事项需要</w:t>
      </w:r>
      <w:r>
        <w:rPr/>
        <w:t> 报告。</w:t>
      </w:r>
    </w:p>
    <w:p>
      <w:pPr>
        <w:spacing w:line="556" w:lineRule="exact" w:before="24"/>
        <w:ind w:left="501" w:right="1100" w:firstLine="0"/>
        <w:jc w:val="left"/>
        <w:rPr>
          <w:rFonts w:ascii="宋体" w:hAnsi="宋体" w:cs="宋体" w:eastAsia="宋体" w:hint="default"/>
          <w:sz w:val="18"/>
          <w:szCs w:val="18"/>
        </w:rPr>
      </w:pPr>
      <w:r>
        <w:rPr>
          <w:rFonts w:ascii="宋体" w:hAnsi="宋体" w:cs="宋体" w:eastAsia="宋体" w:hint="default"/>
          <w:b/>
          <w:bCs/>
          <w:sz w:val="18"/>
          <w:szCs w:val="18"/>
        </w:rPr>
        <w:t>五、管理层和治理层对合并财务报表的责任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管理层负责按照企业会计准则的规定编制财务报表，使其实现公允反映，并设计、执行和维护必要的内部控制，以使财</w:t>
      </w:r>
    </w:p>
    <w:p>
      <w:pPr>
        <w:pStyle w:val="BodyText"/>
        <w:spacing w:line="229" w:lineRule="exact"/>
        <w:ind w:right="1100"/>
        <w:jc w:val="left"/>
      </w:pPr>
      <w:r>
        <w:rPr/>
        <w:t>务报表不存在由于舞弊或错误导致的重大错报。</w:t>
      </w:r>
    </w:p>
    <w:p>
      <w:pPr>
        <w:spacing w:line="240" w:lineRule="auto" w:before="2"/>
        <w:rPr>
          <w:rFonts w:ascii="宋体" w:hAnsi="宋体" w:cs="宋体" w:eastAsia="宋体" w:hint="default"/>
          <w:sz w:val="14"/>
          <w:szCs w:val="14"/>
        </w:rPr>
      </w:pPr>
    </w:p>
    <w:p>
      <w:pPr>
        <w:pStyle w:val="BodyText"/>
        <w:spacing w:line="321" w:lineRule="auto"/>
        <w:ind w:right="1100" w:firstLine="360"/>
        <w:jc w:val="left"/>
      </w:pPr>
      <w:r>
        <w:rPr>
          <w:spacing w:val="-2"/>
        </w:rPr>
        <w:t>在编制财务报表时，管理层负责评估飞天诚信的持续经营能力，披露与持续经营相关的事项（如适用），并运用持续经</w:t>
      </w:r>
      <w:r>
        <w:rPr/>
        <w:t> 营假设，除非计划进行清算、终止运营或别无其他现实的选择。</w:t>
      </w:r>
    </w:p>
    <w:p>
      <w:pPr>
        <w:spacing w:line="566" w:lineRule="auto" w:before="138"/>
        <w:ind w:left="501" w:right="6955" w:firstLine="0"/>
        <w:jc w:val="left"/>
        <w:rPr>
          <w:rFonts w:ascii="宋体" w:hAnsi="宋体" w:cs="宋体" w:eastAsia="宋体" w:hint="default"/>
          <w:sz w:val="18"/>
          <w:szCs w:val="18"/>
        </w:rPr>
      </w:pPr>
      <w:r>
        <w:rPr>
          <w:rFonts w:ascii="宋体" w:hAnsi="宋体" w:cs="宋体" w:eastAsia="宋体" w:hint="default"/>
          <w:sz w:val="18"/>
          <w:szCs w:val="18"/>
        </w:rPr>
        <w:t>治理层负责监督飞天诚信的财务报告过程。 </w:t>
      </w:r>
      <w:r>
        <w:rPr>
          <w:rFonts w:ascii="宋体" w:hAnsi="宋体" w:cs="宋体" w:eastAsia="宋体" w:hint="default"/>
          <w:b/>
          <w:bCs/>
          <w:sz w:val="18"/>
          <w:szCs w:val="18"/>
        </w:rPr>
        <w:t>六、注册会计师对合并财务报表审计的责任</w:t>
      </w:r>
      <w:r>
        <w:rPr>
          <w:rFonts w:ascii="宋体" w:hAnsi="宋体" w:cs="宋体" w:eastAsia="宋体" w:hint="default"/>
          <w:sz w:val="18"/>
          <w:szCs w:val="18"/>
        </w:rPr>
      </w:r>
    </w:p>
    <w:p>
      <w:pPr>
        <w:spacing w:after="0" w:line="566"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1"/>
        <w:rPr>
          <w:rFonts w:ascii="宋体" w:hAnsi="宋体" w:cs="宋体" w:eastAsia="宋体" w:hint="default"/>
          <w:b/>
          <w:bCs/>
          <w:sz w:val="26"/>
          <w:szCs w:val="26"/>
        </w:rPr>
      </w:pPr>
    </w:p>
    <w:p>
      <w:pPr>
        <w:pStyle w:val="BodyText"/>
        <w:spacing w:line="316" w:lineRule="auto" w:before="44"/>
        <w:ind w:right="1121"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75"/>
        </w:rPr>
        <w:t> </w:t>
      </w:r>
      <w:r>
        <w:rPr>
          <w:spacing w:val="-75"/>
        </w:rPr>
      </w:r>
      <w:r>
        <w:rPr>
          <w:spacing w:val="-2"/>
        </w:rPr>
        <w:t>或错误导致，如果合理预期错报单独或汇总起来可能影响财务报表使用者依据财务报表作出的经济决策，则通常认为错报是</w:t>
      </w:r>
      <w:r>
        <w:rPr>
          <w:spacing w:val="-72"/>
        </w:rPr>
        <w:t> </w:t>
      </w:r>
      <w:r>
        <w:rPr>
          <w:spacing w:val="-72"/>
        </w:rPr>
      </w:r>
      <w:r>
        <w:rPr/>
        <w:t>重大的。</w:t>
      </w:r>
    </w:p>
    <w:p>
      <w:pPr>
        <w:pStyle w:val="BodyText"/>
        <w:spacing w:line="240" w:lineRule="auto" w:before="142"/>
        <w:ind w:left="501" w:right="1100"/>
        <w:jc w:val="left"/>
      </w:pPr>
      <w:r>
        <w:rPr/>
        <w:t>在按照审计准则执行审计工作的过程中，我们运用职业判断，并保持职业怀疑。同时，我们也执行以下工作：</w:t>
      </w:r>
    </w:p>
    <w:p>
      <w:pPr>
        <w:spacing w:line="240" w:lineRule="auto" w:before="6"/>
        <w:rPr>
          <w:rFonts w:ascii="宋体" w:hAnsi="宋体" w:cs="宋体" w:eastAsia="宋体" w:hint="default"/>
          <w:sz w:val="16"/>
          <w:szCs w:val="16"/>
        </w:rPr>
      </w:pPr>
    </w:p>
    <w:p>
      <w:pPr>
        <w:pStyle w:val="BodyText"/>
        <w:spacing w:line="304" w:lineRule="auto"/>
        <w:ind w:right="1029" w:firstLine="360"/>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151"/>
        <w:ind w:left="501" w:right="1100"/>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spacing w:line="240" w:lineRule="auto" w:before="3"/>
        <w:rPr>
          <w:rFonts w:ascii="宋体" w:hAnsi="宋体" w:cs="宋体" w:eastAsia="宋体" w:hint="default"/>
          <w:sz w:val="14"/>
          <w:szCs w:val="14"/>
        </w:rPr>
      </w:pPr>
    </w:p>
    <w:p>
      <w:pPr>
        <w:pStyle w:val="BodyText"/>
        <w:spacing w:line="240" w:lineRule="auto"/>
        <w:ind w:left="501" w:right="110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spacing w:line="240" w:lineRule="auto" w:before="3"/>
        <w:rPr>
          <w:rFonts w:ascii="宋体" w:hAnsi="宋体" w:cs="宋体" w:eastAsia="宋体" w:hint="default"/>
          <w:sz w:val="14"/>
          <w:szCs w:val="14"/>
        </w:rPr>
      </w:pPr>
    </w:p>
    <w:p>
      <w:pPr>
        <w:pStyle w:val="BodyText"/>
        <w:spacing w:line="304" w:lineRule="auto"/>
        <w:ind w:right="1129" w:firstLine="360"/>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）对管理层使用持续经营假设的恰当性得出结论。同时，根据获取的审计证据，就可能导致对飞天诚信持续经营能 </w:t>
      </w:r>
      <w:r>
        <w:rPr>
          <w:spacing w:val="-2"/>
        </w:rPr>
        <w:t>力产生重大疑虑的事项或情况是否存在重大不确定性得出结论。如果我们得出结论认为存在重大不确定性，审计准则要求我</w:t>
      </w:r>
      <w:r>
        <w:rPr>
          <w:spacing w:val="-72"/>
        </w:rPr>
        <w:t> </w:t>
      </w:r>
      <w:r>
        <w:rPr>
          <w:spacing w:val="-72"/>
        </w:rPr>
      </w:r>
      <w:r>
        <w:rPr>
          <w:spacing w:val="-2"/>
        </w:rPr>
        <w:t>们在审计报告中提请报表使用者注意财务报表中的相关披露；如果披露不充分，我们应当发表非无保留意见。我们的结论基</w:t>
      </w:r>
      <w:r>
        <w:rPr>
          <w:spacing w:val="-75"/>
        </w:rPr>
        <w:t> </w:t>
      </w:r>
      <w:r>
        <w:rPr>
          <w:spacing w:val="-75"/>
        </w:rPr>
      </w:r>
      <w:r>
        <w:rPr/>
        <w:t>于截至审计报告日可获得的信息。然而，未来的事项或情况可能导致飞天诚信不能持续经营。</w:t>
      </w:r>
    </w:p>
    <w:p>
      <w:pPr>
        <w:spacing w:line="240" w:lineRule="auto" w:before="9"/>
        <w:rPr>
          <w:rFonts w:ascii="宋体" w:hAnsi="宋体" w:cs="宋体" w:eastAsia="宋体" w:hint="default"/>
          <w:sz w:val="12"/>
          <w:szCs w:val="12"/>
        </w:rPr>
      </w:pPr>
    </w:p>
    <w:p>
      <w:pPr>
        <w:pStyle w:val="BodyText"/>
        <w:spacing w:line="240" w:lineRule="auto"/>
        <w:ind w:left="501" w:right="1100"/>
        <w:jc w:val="left"/>
      </w:pPr>
      <w:r>
        <w:rPr/>
        <w:t>（</w:t>
      </w:r>
      <w:r>
        <w:rPr>
          <w:rFonts w:ascii="Times New Roman" w:hAnsi="Times New Roman" w:cs="Times New Roman" w:eastAsia="Times New Roman" w:hint="default"/>
        </w:rPr>
        <w:t>5</w:t>
      </w:r>
      <w:r>
        <w:rPr/>
        <w:t>）评价财务报表的总体列报、结构和内容，并评价财务报表是否公允反映相关交易和事项。</w:t>
      </w:r>
    </w:p>
    <w:p>
      <w:pPr>
        <w:spacing w:line="240" w:lineRule="auto" w:before="3"/>
        <w:rPr>
          <w:rFonts w:ascii="宋体" w:hAnsi="宋体" w:cs="宋体" w:eastAsia="宋体" w:hint="default"/>
          <w:sz w:val="14"/>
          <w:szCs w:val="14"/>
        </w:rPr>
      </w:pPr>
    </w:p>
    <w:p>
      <w:pPr>
        <w:pStyle w:val="BodyText"/>
        <w:spacing w:line="288" w:lineRule="auto"/>
        <w:ind w:right="992" w:firstLine="360"/>
        <w:jc w:val="left"/>
      </w:pPr>
      <w:r>
        <w:rPr>
          <w:spacing w:val="-1"/>
        </w:rPr>
        <w:t>（</w:t>
      </w:r>
      <w:r>
        <w:rPr>
          <w:rFonts w:ascii="Times New Roman" w:hAnsi="Times New Roman" w:cs="Times New Roman" w:eastAsia="Times New Roman" w:hint="default"/>
          <w:spacing w:val="-1"/>
        </w:rPr>
        <w:t>6</w:t>
      </w:r>
      <w:r>
        <w:rPr>
          <w:spacing w:val="-1"/>
        </w:rPr>
        <w:t>）就飞天诚信实体或业务活动的财务信息获取充分、适当的审计证据，以对财务报表发表审计意见。我们负责指导、</w:t>
      </w:r>
      <w:r>
        <w:rPr/>
        <w:t> 监督和执行集团审计，并对审计意见承担全部责任。</w:t>
      </w:r>
    </w:p>
    <w:p>
      <w:pPr>
        <w:spacing w:line="240" w:lineRule="auto" w:before="7"/>
        <w:rPr>
          <w:rFonts w:ascii="宋体" w:hAnsi="宋体" w:cs="宋体" w:eastAsia="宋体" w:hint="default"/>
          <w:sz w:val="12"/>
          <w:szCs w:val="12"/>
        </w:rPr>
      </w:pPr>
    </w:p>
    <w:p>
      <w:pPr>
        <w:pStyle w:val="BodyText"/>
        <w:spacing w:line="304" w:lineRule="auto"/>
        <w:ind w:right="1137"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321" w:lineRule="auto" w:before="151"/>
        <w:ind w:right="1120" w:firstLine="300"/>
        <w:jc w:val="both"/>
      </w:pPr>
      <w:r>
        <w:rPr>
          <w:spacing w:val="-1"/>
        </w:rPr>
        <w:t>我们还就已遵守与独立性相关的职业道德要求向治理层提供声明，并与治理层沟通可能被合理认为影响我们独立性的所</w:t>
      </w:r>
      <w:r>
        <w:rPr/>
        <w:t> 有关系和其他事项，以及相关的防范措施（如适用）。</w:t>
      </w:r>
    </w:p>
    <w:p>
      <w:pPr>
        <w:pStyle w:val="BodyText"/>
        <w:spacing w:line="314" w:lineRule="auto" w:before="138"/>
        <w:ind w:right="1131" w:firstLine="360"/>
        <w:jc w:val="both"/>
      </w:pPr>
      <w:r>
        <w:rPr>
          <w:spacing w:val="-2"/>
        </w:rPr>
        <w:t>从与治理层沟通过的事项中，我们确定哪些事项对本期合并财务报表审计最为重要，因而构成关键审计事项。我们在审</w:t>
      </w:r>
      <w:r>
        <w:rPr/>
        <w:t> </w:t>
      </w:r>
      <w:r>
        <w:rPr>
          <w:spacing w:val="-2"/>
        </w:rPr>
        <w:t>计报告中描述这些事项，除非法律法规禁止公开披露这些事项，或在极少数情形下，如果合理预期在审计报告中沟通某事项</w:t>
      </w:r>
      <w:r>
        <w:rPr>
          <w:spacing w:val="-70"/>
        </w:rPr>
        <w:t> </w:t>
      </w:r>
      <w:r>
        <w:rPr>
          <w:spacing w:val="-70"/>
        </w:rPr>
      </w:r>
      <w:r>
        <w:rPr/>
        <w:t>造成的负面后果超过在公众利益方面产生的益处，我们确定不应在审计报告中沟通该事项。</w:t>
      </w:r>
    </w:p>
    <w:p>
      <w:pPr>
        <w:spacing w:line="240" w:lineRule="auto" w:before="9"/>
        <w:rPr>
          <w:rFonts w:ascii="宋体" w:hAnsi="宋体" w:cs="宋体" w:eastAsia="宋体" w:hint="default"/>
          <w:sz w:val="21"/>
          <w:szCs w:val="21"/>
        </w:rPr>
      </w:pPr>
    </w:p>
    <w:p>
      <w:pPr>
        <w:pStyle w:val="Heading2"/>
        <w:spacing w:line="240" w:lineRule="auto"/>
        <w:ind w:right="1100"/>
        <w:jc w:val="left"/>
        <w:rPr>
          <w:b w:val="0"/>
          <w:bCs w:val="0"/>
        </w:rPr>
      </w:pPr>
      <w:bookmarkStart w:name="二、财务报表" w:id="158"/>
      <w:bookmarkEnd w:id="158"/>
      <w:r>
        <w:rPr>
          <w:b w:val="0"/>
          <w:bCs w:val="0"/>
        </w:rPr>
      </w:r>
      <w:r>
        <w:rPr/>
        <w:t>二、财务报表</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00"/>
        <w:jc w:val="left"/>
      </w:pPr>
      <w:r>
        <w:rPr/>
        <w:t>财务附注中报表的单位为：元</w:t>
      </w:r>
    </w:p>
    <w:p>
      <w:pPr>
        <w:spacing w:line="240" w:lineRule="auto" w:before="0"/>
        <w:rPr>
          <w:rFonts w:ascii="宋体" w:hAnsi="宋体" w:cs="宋体" w:eastAsia="宋体" w:hint="default"/>
          <w:sz w:val="18"/>
          <w:szCs w:val="18"/>
        </w:rPr>
      </w:pPr>
    </w:p>
    <w:p>
      <w:pPr>
        <w:pStyle w:val="Heading4"/>
        <w:spacing w:line="240" w:lineRule="auto" w:before="154"/>
        <w:ind w:right="1100"/>
        <w:jc w:val="left"/>
        <w:rPr>
          <w:b w:val="0"/>
          <w:bCs w:val="0"/>
        </w:rPr>
      </w:pPr>
      <w:bookmarkStart w:name="1、合并资产负债表" w:id="159"/>
      <w:bookmarkEnd w:id="159"/>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9"/>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50"/>
          <w:pgMar w:header="731" w:footer="981" w:top="1040" w:bottom="1180" w:left="1000" w:right="0"/>
        </w:sectPr>
      </w:pPr>
    </w:p>
    <w:p>
      <w:pPr>
        <w:pStyle w:val="BodyText"/>
        <w:spacing w:line="240" w:lineRule="auto" w:before="44"/>
        <w:ind w:right="-20"/>
        <w:jc w:val="left"/>
      </w:pPr>
      <w:r>
        <w:rPr/>
        <w:t>编制单位：飞天诚信科技股份有限公司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2"/>
          <w:szCs w:val="12"/>
        </w:rPr>
      </w:pPr>
    </w:p>
    <w:p>
      <w:pPr>
        <w:pStyle w:val="BodyText"/>
        <w:spacing w:line="240" w:lineRule="auto"/>
        <w:ind w:right="-19"/>
        <w:jc w:val="left"/>
      </w:pPr>
      <w:r>
        <w:rPr>
          <w:rFonts w:ascii="Times New Roman" w:hAnsi="Times New Roman" w:cs="Times New Roman" w:eastAsia="Times New Roman" w:hint="default"/>
        </w:rPr>
        <w:t>2019 </w:t>
      </w:r>
      <w:r>
        <w:rPr/>
        <w:t>年</w:t>
      </w:r>
      <w:r>
        <w:rPr>
          <w:spacing w:val="-45"/>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50"/>
          <w:pgMar w:top="1040" w:bottom="1180" w:left="1000" w:right="0"/>
          <w:cols w:num="3" w:equalWidth="0">
            <w:col w:w="3202" w:space="883"/>
            <w:col w:w="1628" w:space="3223"/>
            <w:col w:w="1974"/>
          </w:cols>
        </w:sectPr>
      </w:pP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966"/>
        <w:gridCol w:w="3305"/>
        <w:gridCol w:w="3304"/>
      </w:tblGrid>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8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8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5"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2125" w:right="0"/>
              <w:jc w:val="left"/>
              <w:rPr>
                <w:rFonts w:ascii="Times New Roman" w:hAnsi="Times New Roman" w:cs="Times New Roman" w:eastAsia="Times New Roman" w:hint="default"/>
                <w:sz w:val="18"/>
                <w:szCs w:val="18"/>
              </w:rPr>
            </w:pPr>
            <w:r>
              <w:rPr>
                <w:rFonts w:ascii="Times New Roman"/>
                <w:sz w:val="18"/>
              </w:rPr>
              <w:t>503,005,768.24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132" w:right="0"/>
              <w:jc w:val="left"/>
              <w:rPr>
                <w:rFonts w:ascii="Times New Roman" w:hAnsi="Times New Roman" w:cs="Times New Roman" w:eastAsia="Times New Roman" w:hint="default"/>
                <w:sz w:val="18"/>
                <w:szCs w:val="18"/>
              </w:rPr>
            </w:pPr>
            <w:r>
              <w:rPr>
                <w:rFonts w:ascii="Times New Roman"/>
                <w:sz w:val="18"/>
              </w:rPr>
              <w:t>662,539,376.26</w:t>
            </w:r>
          </w:p>
        </w:tc>
      </w:tr>
      <w:tr>
        <w:trPr>
          <w:trHeight w:val="390"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5"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5"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50"/>
          <w:pgMar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746,272,637.59</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3,245,322.51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1,313,190.00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123,971,307.12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97,244,483.23</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15,789,683.47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13,162,512.91</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15,589,820.85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8,836,478.76</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47"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6,444.44</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3"/>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346,103,965.41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442,820,282.02</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9,580,834.20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549,742,556.44</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31"/>
              <w:jc w:val="right"/>
              <w:rPr>
                <w:rFonts w:ascii="Times New Roman" w:hAnsi="Times New Roman" w:cs="Times New Roman" w:eastAsia="Times New Roman" w:hint="default"/>
                <w:sz w:val="18"/>
                <w:szCs w:val="18"/>
              </w:rPr>
            </w:pPr>
            <w:r>
              <w:rPr>
                <w:rFonts w:ascii="Times New Roman"/>
                <w:sz w:val="18"/>
              </w:rPr>
              <w:t>1,763,559,339.39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1,775,658,879.62</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20,909,091.00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48,360,210.70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47,264,091.69</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38,348,394.04</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19,350,287.48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29,603,257.61</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543,842.86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156,915.24</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18,440,361.32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19,664,407.00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1,436,702.44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1,436,702.44</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102,294,256.35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102,294,256.35</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8,852,933.09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10,429,679.03</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3,540,358.05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3,255,433.45</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68,400.00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1,952,748.68</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241,235,746.33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236,966,582.49</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2,004,795,085.72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2,012,625,462.11</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63,434,870.38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82,563,306.90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43,308,124.45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32,903,648.71</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953"/>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953"/>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23,260,477.30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20,641,201.70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14,320,070.75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16,118,958.67</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3,222,167.38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6,094,845.83</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43"/>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80,514,840.00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2,204,121.74</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149,749,832.00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238,836,801.81</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2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5,896,872.57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9,399,091.05</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1,873,097.72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2,527,251.97</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7,769,970.29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11,926,343.02</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157,519,802.29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250,763,144.83</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418,044,000.00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418,044,000.00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2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345,687,008.56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345,687,008.56</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8,010,716.34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2,840,303.27</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114,928,013.52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111,481,562.48</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947,472,251.27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873,209,831.44</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1,834,141,989.69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1,751,262,705.75</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13,133,293.74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10,599,611.53</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1,847,275,283.43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1,761,862,317.28</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974"/>
        <w:gridCol w:w="3305"/>
        <w:gridCol w:w="3304"/>
      </w:tblGrid>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97" w:right="0"/>
              <w:jc w:val="left"/>
              <w:rPr>
                <w:rFonts w:ascii="Times New Roman" w:hAnsi="Times New Roman" w:cs="Times New Roman" w:eastAsia="Times New Roman" w:hint="default"/>
                <w:sz w:val="18"/>
                <w:szCs w:val="18"/>
              </w:rPr>
            </w:pPr>
            <w:r>
              <w:rPr>
                <w:rFonts w:ascii="Times New Roman"/>
                <w:sz w:val="18"/>
              </w:rPr>
              <w:t>2,004,795,085.72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97" w:right="0"/>
              <w:jc w:val="left"/>
              <w:rPr>
                <w:rFonts w:ascii="Times New Roman" w:hAnsi="Times New Roman" w:cs="Times New Roman" w:eastAsia="Times New Roman" w:hint="default"/>
                <w:sz w:val="18"/>
                <w:szCs w:val="18"/>
              </w:rPr>
            </w:pPr>
            <w:r>
              <w:rPr>
                <w:rFonts w:ascii="Times New Roman"/>
                <w:sz w:val="18"/>
              </w:rPr>
              <w:t>2,012,625,462.11</w:t>
            </w:r>
          </w:p>
        </w:tc>
      </w:tr>
    </w:tbl>
    <w:p>
      <w:pPr>
        <w:spacing w:line="240" w:lineRule="auto" w:before="3"/>
        <w:rPr>
          <w:rFonts w:ascii="Times New Roman" w:hAnsi="Times New Roman" w:cs="Times New Roman" w:eastAsia="Times New Roman" w:hint="default"/>
          <w:sz w:val="22"/>
          <w:szCs w:val="22"/>
        </w:rPr>
      </w:pPr>
    </w:p>
    <w:p>
      <w:pPr>
        <w:pStyle w:val="BodyText"/>
        <w:tabs>
          <w:tab w:pos="3475" w:val="left" w:leader="none"/>
          <w:tab w:pos="7710" w:val="left" w:leader="none"/>
        </w:tabs>
        <w:spacing w:line="240" w:lineRule="auto" w:before="44"/>
        <w:ind w:right="1100"/>
        <w:jc w:val="left"/>
      </w:pPr>
      <w:r>
        <w:rPr/>
        <w:t>法定代表人：黄煜</w:t>
        <w:tab/>
        <w:t>主管会计工作负责人：朱宝祥</w:t>
        <w:tab/>
        <w:t>会计机构负责人：石井平</w:t>
      </w:r>
    </w:p>
    <w:p>
      <w:pPr>
        <w:spacing w:line="240" w:lineRule="auto" w:before="0"/>
        <w:rPr>
          <w:rFonts w:ascii="宋体" w:hAnsi="宋体" w:cs="宋体" w:eastAsia="宋体" w:hint="default"/>
          <w:sz w:val="18"/>
          <w:szCs w:val="18"/>
        </w:rPr>
      </w:pPr>
    </w:p>
    <w:p>
      <w:pPr>
        <w:pStyle w:val="Heading4"/>
        <w:spacing w:line="240" w:lineRule="auto" w:before="154"/>
        <w:ind w:right="1100"/>
        <w:jc w:val="left"/>
        <w:rPr>
          <w:b w:val="0"/>
          <w:bCs w:val="0"/>
        </w:rPr>
      </w:pPr>
      <w:bookmarkStart w:name="2、母公司资产负债表" w:id="160"/>
      <w:bookmarkEnd w:id="160"/>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8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8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381,750,190.47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549,667,098.68</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678,926,123.24</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430,470.00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65,508,503.62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50,954,052.29</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9,620,490.56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7,597,864.40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8,699,227.00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7,834,580.50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6,444.44</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3"/>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306,047,623.15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416,051,037.51</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8,987,917.77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509,699,027.71</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1,459,540,075.81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1,542,234,131.09</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20,000,000.00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327,035,774.09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315,476,935.08</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20,000,000.00</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14,883,607.86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18,797,471.82</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543,842.86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156,915.24</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1,628,241.91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2,071,135.24</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8,602,763.95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10,081,885.28</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2,912,065.49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12,118,448.96</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8,400.00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1,020,312.00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375,614,696.16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379,723,103.62</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1,835,154,771.97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1,921,957,234.71</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58,780,154.01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83,244,197.23</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41,625,589.05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31,132,127.71</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15,272,351.85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15,003,771.90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5,614,577.18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11,139,811.47</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3,131,285.48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5,459,332.34</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47"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43"/>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80,514,840.00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124,423,957.57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226,494,080.65</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2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3,758,815.30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5,777,181.94</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438,918.49</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4,197,733.79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5,777,181.94</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128,621,691.36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232,271,262.59</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418,044,000.00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418,044,000.00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2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363,658,684.06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363,658,684.06</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201,322.53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67,590.64</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114,928,013.52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111,481,562.48</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809,701,060.50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796,434,134.94</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1,706,533,080.61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1,689,685,972.12</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1,835,154,771.97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1,921,957,234.71</w:t>
            </w:r>
          </w:p>
        </w:tc>
      </w:tr>
    </w:tbl>
    <w:p>
      <w:pPr>
        <w:spacing w:line="240" w:lineRule="auto" w:before="7"/>
        <w:rPr>
          <w:rFonts w:ascii="Times New Roman" w:hAnsi="Times New Roman" w:cs="Times New Roman" w:eastAsia="Times New Roman" w:hint="default"/>
          <w:sz w:val="22"/>
          <w:szCs w:val="22"/>
        </w:rPr>
      </w:pPr>
    </w:p>
    <w:p>
      <w:pPr>
        <w:pStyle w:val="Heading4"/>
        <w:spacing w:line="240" w:lineRule="auto" w:before="35"/>
        <w:ind w:right="1100"/>
        <w:jc w:val="left"/>
        <w:rPr>
          <w:b w:val="0"/>
          <w:bCs w:val="0"/>
        </w:rPr>
      </w:pPr>
      <w:bookmarkStart w:name="3、合并利润表" w:id="161"/>
      <w:bookmarkEnd w:id="161"/>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064"/>
        <w:gridCol w:w="3222"/>
        <w:gridCol w:w="3289"/>
      </w:tblGrid>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939,620,454.48</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1,071,782,404.96</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939,620,454.48</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1,071,782,404.96</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3087"/>
        <w:gridCol w:w="3207"/>
        <w:gridCol w:w="3289"/>
      </w:tblGrid>
      <w:tr>
        <w:trPr>
          <w:trHeight w:val="405" w:hRule="exact"/>
        </w:trPr>
        <w:tc>
          <w:tcPr>
            <w:tcW w:w="30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15"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07" w:type="dxa"/>
            <w:tcBorders>
              <w:top w:val="single" w:sz="6" w:space="0" w:color="000000"/>
              <w:left w:val="single" w:sz="6" w:space="0" w:color="000000"/>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903,142,470.01</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979,437,134.61</w:t>
            </w:r>
          </w:p>
        </w:tc>
      </w:tr>
      <w:tr>
        <w:trPr>
          <w:trHeight w:val="390" w:hRule="exact"/>
        </w:trPr>
        <w:tc>
          <w:tcPr>
            <w:tcW w:w="30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579,072,859.57</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668,657,426.16</w:t>
            </w:r>
          </w:p>
        </w:tc>
      </w:tr>
      <w:tr>
        <w:trPr>
          <w:trHeight w:val="405" w:hRule="exact"/>
        </w:trPr>
        <w:tc>
          <w:tcPr>
            <w:tcW w:w="30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15"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07" w:type="dxa"/>
            <w:tcBorders>
              <w:top w:val="single" w:sz="6" w:space="0" w:color="000000"/>
              <w:left w:val="single" w:sz="6" w:space="0" w:color="000000"/>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0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15"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07" w:type="dxa"/>
            <w:tcBorders>
              <w:top w:val="single" w:sz="6" w:space="0" w:color="000000"/>
              <w:left w:val="single" w:sz="6" w:space="0" w:color="000000"/>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15"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07" w:type="dxa"/>
            <w:tcBorders>
              <w:top w:val="single" w:sz="6" w:space="0" w:color="000000"/>
              <w:left w:val="single" w:sz="6" w:space="0" w:color="000000"/>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0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15"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07" w:type="dxa"/>
            <w:tcBorders>
              <w:top w:val="single" w:sz="6" w:space="0" w:color="000000"/>
              <w:left w:val="single" w:sz="6" w:space="0" w:color="000000"/>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30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15" w:right="0"/>
              <w:jc w:val="left"/>
              <w:rPr>
                <w:rFonts w:ascii="宋体" w:hAnsi="宋体" w:cs="宋体" w:eastAsia="宋体" w:hint="default"/>
                <w:sz w:val="18"/>
                <w:szCs w:val="18"/>
              </w:rPr>
            </w:pPr>
            <w:r>
              <w:rPr>
                <w:rFonts w:ascii="宋体" w:hAnsi="宋体" w:cs="宋体" w:eastAsia="宋体" w:hint="default"/>
                <w:sz w:val="18"/>
                <w:szCs w:val="18"/>
              </w:rPr>
              <w:t>提取保险责任合同准备金</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07" w:type="dxa"/>
            <w:tcBorders>
              <w:top w:val="single" w:sz="6" w:space="0" w:color="000000"/>
              <w:left w:val="single" w:sz="6" w:space="0" w:color="000000"/>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15"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07" w:type="dxa"/>
            <w:tcBorders>
              <w:top w:val="single" w:sz="6" w:space="0" w:color="000000"/>
              <w:left w:val="single" w:sz="6" w:space="0" w:color="000000"/>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0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15"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07" w:type="dxa"/>
            <w:tcBorders>
              <w:top w:val="single" w:sz="6" w:space="0" w:color="000000"/>
              <w:left w:val="single" w:sz="6" w:space="0" w:color="000000"/>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0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915"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7,306,570.58</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7,023,162.87</w:t>
            </w:r>
          </w:p>
        </w:tc>
      </w:tr>
      <w:tr>
        <w:trPr>
          <w:trHeight w:val="390" w:hRule="exact"/>
        </w:trPr>
        <w:tc>
          <w:tcPr>
            <w:tcW w:w="30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1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110,788,751.98</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104,767,771.30</w:t>
            </w:r>
          </w:p>
        </w:tc>
      </w:tr>
      <w:tr>
        <w:trPr>
          <w:trHeight w:val="405" w:hRule="exact"/>
        </w:trPr>
        <w:tc>
          <w:tcPr>
            <w:tcW w:w="30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1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118,753,054.40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86,345,812.14</w:t>
            </w:r>
          </w:p>
        </w:tc>
      </w:tr>
      <w:tr>
        <w:trPr>
          <w:trHeight w:val="406" w:hRule="exact"/>
        </w:trPr>
        <w:tc>
          <w:tcPr>
            <w:tcW w:w="30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15"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91,379,748.03</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118,343,498.99</w:t>
            </w:r>
          </w:p>
        </w:tc>
      </w:tr>
      <w:tr>
        <w:trPr>
          <w:trHeight w:val="405" w:hRule="exact"/>
        </w:trPr>
        <w:tc>
          <w:tcPr>
            <w:tcW w:w="30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1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-4,158,514.55</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-5,700,536.85</w:t>
            </w:r>
            <w:r>
              <w:rPr>
                <w:rFonts w:ascii="Times New Roman"/>
                <w:sz w:val="18"/>
              </w:rPr>
            </w:r>
          </w:p>
        </w:tc>
      </w:tr>
      <w:tr>
        <w:trPr>
          <w:trHeight w:val="405" w:hRule="exact"/>
        </w:trPr>
        <w:tc>
          <w:tcPr>
            <w:tcW w:w="30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096"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207" w:type="dxa"/>
            <w:tcBorders>
              <w:top w:val="single" w:sz="6" w:space="0" w:color="000000"/>
              <w:left w:val="single" w:sz="6" w:space="0" w:color="000000"/>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-13,879.55</w:t>
            </w:r>
            <w:r>
              <w:rPr>
                <w:rFonts w:ascii="Times New Roman"/>
                <w:sz w:val="18"/>
              </w:rPr>
            </w:r>
          </w:p>
        </w:tc>
      </w:tr>
      <w:tr>
        <w:trPr>
          <w:trHeight w:val="390" w:hRule="exact"/>
        </w:trPr>
        <w:tc>
          <w:tcPr>
            <w:tcW w:w="30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637"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2,498,975.50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2,285,979.49</w:t>
            </w:r>
          </w:p>
        </w:tc>
      </w:tr>
      <w:tr>
        <w:trPr>
          <w:trHeight w:val="406" w:hRule="exact"/>
        </w:trPr>
        <w:tc>
          <w:tcPr>
            <w:tcW w:w="30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16,498,230.44</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31,108,495.13</w:t>
            </w:r>
          </w:p>
        </w:tc>
      </w:tr>
      <w:tr>
        <w:trPr>
          <w:trHeight w:val="721" w:hRule="exact"/>
        </w:trPr>
        <w:tc>
          <w:tcPr>
            <w:tcW w:w="30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36"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24,174,995.00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25,055,787.54</w:t>
            </w:r>
          </w:p>
        </w:tc>
      </w:tr>
      <w:tr>
        <w:trPr>
          <w:trHeight w:val="705" w:hRule="exact"/>
        </w:trPr>
        <w:tc>
          <w:tcPr>
            <w:tcW w:w="30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23" w:firstLine="721"/>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962,387.12</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-461,165.55</w:t>
            </w:r>
            <w:r>
              <w:rPr>
                <w:rFonts w:ascii="Times New Roman"/>
                <w:sz w:val="18"/>
              </w:rPr>
            </w:r>
          </w:p>
        </w:tc>
      </w:tr>
      <w:tr>
        <w:trPr>
          <w:trHeight w:val="721" w:hRule="exact"/>
        </w:trPr>
        <w:tc>
          <w:tcPr>
            <w:tcW w:w="30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5" w:right="174" w:firstLine="1081"/>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w:t>
            </w:r>
          </w:p>
        </w:tc>
        <w:tc>
          <w:tcPr>
            <w:tcW w:w="3207" w:type="dxa"/>
            <w:tcBorders>
              <w:top w:val="single" w:sz="6" w:space="0" w:color="000000"/>
              <w:left w:val="single" w:sz="6" w:space="0" w:color="000000"/>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87" w:type="dxa"/>
            <w:tcBorders>
              <w:top w:val="single" w:sz="6" w:space="0" w:color="000000"/>
              <w:left w:val="single" w:sz="6" w:space="0" w:color="000000"/>
              <w:bottom w:val="single" w:sz="6" w:space="0" w:color="000000"/>
              <w:right w:val="single" w:sz="18" w:space="0" w:color="FFFFFF"/>
            </w:tcBorders>
            <w:shd w:val="clear" w:color="auto" w:fill="D2D2D2"/>
          </w:tcPr>
          <w:p>
            <w:pPr>
              <w:pStyle w:val="TableParagraph"/>
              <w:spacing w:line="240" w:lineRule="auto" w:before="59"/>
              <w:ind w:left="736" w:right="-67"/>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07" w:type="dxa"/>
            <w:tcBorders>
              <w:top w:val="single" w:sz="6" w:space="0" w:color="000000"/>
              <w:left w:val="single" w:sz="18" w:space="0" w:color="FFFFFF"/>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0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07" w:type="dxa"/>
            <w:tcBorders>
              <w:top w:val="single" w:sz="6" w:space="0" w:color="000000"/>
              <w:left w:val="single" w:sz="6" w:space="0" w:color="000000"/>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36"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9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3,272,637.59</w:t>
            </w: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0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36" w:right="0"/>
              <w:jc w:val="left"/>
              <w:rPr>
                <w:rFonts w:ascii="宋体" w:hAnsi="宋体" w:cs="宋体" w:eastAsia="宋体" w:hint="default"/>
                <w:sz w:val="18"/>
                <w:szCs w:val="18"/>
              </w:rPr>
            </w:pPr>
            <w:r>
              <w:rPr>
                <w:rFonts w:ascii="宋体" w:hAnsi="宋体" w:cs="宋体" w:eastAsia="宋体" w:hint="default"/>
                <w:sz w:val="18"/>
                <w:szCs w:val="18"/>
              </w:rPr>
              <w:t>信用减值损</w:t>
            </w:r>
            <w:r>
              <w:rPr>
                <w:rFonts w:ascii="宋体" w:hAnsi="宋体" w:cs="宋体" w:eastAsia="宋体" w:hint="default"/>
                <w:spacing w:val="-76"/>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0"/>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5"/>
                <w:w w:val="100"/>
                <w:sz w:val="18"/>
                <w:szCs w:val="18"/>
              </w:rPr>
              <w:t>”</w:t>
            </w:r>
            <w:r>
              <w:rPr>
                <w:rFonts w:ascii="宋体" w:hAnsi="宋体" w:cs="宋体" w:eastAsia="宋体" w:hint="default"/>
                <w:sz w:val="18"/>
                <w:szCs w:val="18"/>
              </w:rPr>
              <w:t>号填</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-2,215,044.69</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0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36" w:right="0"/>
              <w:jc w:val="left"/>
              <w:rPr>
                <w:rFonts w:ascii="宋体" w:hAnsi="宋体" w:cs="宋体" w:eastAsia="宋体" w:hint="default"/>
                <w:sz w:val="18"/>
                <w:szCs w:val="18"/>
              </w:rPr>
            </w:pPr>
            <w:r>
              <w:rPr>
                <w:rFonts w:ascii="宋体" w:hAnsi="宋体" w:cs="宋体" w:eastAsia="宋体" w:hint="default"/>
                <w:sz w:val="18"/>
                <w:szCs w:val="18"/>
              </w:rPr>
              <w:t>资产减值损</w:t>
            </w:r>
            <w:r>
              <w:rPr>
                <w:rFonts w:ascii="宋体" w:hAnsi="宋体" w:cs="宋体" w:eastAsia="宋体" w:hint="default"/>
                <w:spacing w:val="-76"/>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0"/>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5"/>
                <w:w w:val="100"/>
                <w:sz w:val="18"/>
                <w:szCs w:val="18"/>
              </w:rPr>
              <w:t>”</w:t>
            </w:r>
            <w:r>
              <w:rPr>
                <w:rFonts w:ascii="宋体" w:hAnsi="宋体" w:cs="宋体" w:eastAsia="宋体" w:hint="default"/>
                <w:sz w:val="18"/>
                <w:szCs w:val="18"/>
              </w:rPr>
              <w:t>号填</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-4,470,530.79</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-13,421,551.80</w:t>
            </w:r>
            <w:r>
              <w:rPr>
                <w:rFonts w:ascii="Times New Roman"/>
                <w:sz w:val="18"/>
              </w:rPr>
            </w:r>
          </w:p>
        </w:tc>
      </w:tr>
      <w:tr>
        <w:trPr>
          <w:trHeight w:val="706" w:hRule="exact"/>
        </w:trPr>
        <w:tc>
          <w:tcPr>
            <w:tcW w:w="30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36"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0"/>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5"/>
                <w:w w:val="100"/>
                <w:sz w:val="18"/>
                <w:szCs w:val="18"/>
              </w:rPr>
              <w:t>”</w:t>
            </w:r>
            <w:r>
              <w:rPr>
                <w:rFonts w:ascii="宋体" w:hAnsi="宋体" w:cs="宋体" w:eastAsia="宋体" w:hint="default"/>
                <w:sz w:val="18"/>
                <w:szCs w:val="18"/>
              </w:rPr>
              <w:t>号填</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8,574,837.24</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-43,693.49</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3064"/>
        <w:gridCol w:w="3222"/>
        <w:gridCol w:w="3289"/>
      </w:tblGrid>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82,313,109.26</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135,044,307.73</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16,094,126.84</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18,403,265.67</w:t>
            </w: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298,792.50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136,918.12</w:t>
            </w:r>
          </w:p>
        </w:tc>
      </w:tr>
      <w:tr>
        <w:trPr>
          <w:trHeight w:val="405" w:hRule="exact"/>
        </w:trPr>
        <w:tc>
          <w:tcPr>
            <w:tcW w:w="3064" w:type="dxa"/>
            <w:tcBorders>
              <w:top w:val="single" w:sz="6" w:space="0" w:color="000000"/>
              <w:left w:val="single" w:sz="6" w:space="0" w:color="000000"/>
              <w:bottom w:val="single" w:sz="6" w:space="0" w:color="000000"/>
              <w:right w:val="single" w:sz="18" w:space="0" w:color="FFFFFF"/>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pacing w:val="-7"/>
                <w:sz w:val="18"/>
                <w:szCs w:val="18"/>
              </w:rPr>
              <w:t>四、利润总额（亏损总额以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号填列</w:t>
            </w:r>
          </w:p>
        </w:tc>
        <w:tc>
          <w:tcPr>
            <w:tcW w:w="3222" w:type="dxa"/>
            <w:tcBorders>
              <w:top w:val="single" w:sz="6" w:space="0" w:color="000000"/>
              <w:left w:val="single" w:sz="24" w:space="0" w:color="FFFFFF"/>
              <w:bottom w:val="single" w:sz="6" w:space="0" w:color="000000"/>
              <w:right w:val="single" w:sz="6" w:space="0" w:color="000000"/>
            </w:tcBorders>
          </w:tcPr>
          <w:p>
            <w:pPr>
              <w:pStyle w:val="TableParagraph"/>
              <w:tabs>
                <w:tab w:pos="2132" w:val="left" w:leader="none"/>
              </w:tabs>
              <w:spacing w:line="240" w:lineRule="auto" w:before="59"/>
              <w:ind w:left="-151" w:right="14"/>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98,108,443.60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153,310,655.28</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5,340,500.26</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19,263,225.10</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92,767,943.34</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134,047,430.18</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87"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2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92,767,943.34</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134,047,430.18</w:t>
            </w: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6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87"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2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90,234,261.13</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133,273,482.46</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2,533,682.21</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773,947.72</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6,531,210.13</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2,936,069.81</w:t>
            </w:r>
          </w:p>
        </w:tc>
      </w:tr>
      <w:tr>
        <w:trPr>
          <w:trHeight w:val="72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159"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6,531,210.13</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2,936,069.81</w:t>
            </w:r>
          </w:p>
        </w:tc>
      </w:tr>
      <w:tr>
        <w:trPr>
          <w:trHeight w:val="7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8" w:firstLine="345"/>
              <w:jc w:val="left"/>
              <w:rPr>
                <w:rFonts w:ascii="宋体" w:hAnsi="宋体" w:cs="宋体" w:eastAsia="宋体" w:hint="default"/>
                <w:sz w:val="18"/>
                <w:szCs w:val="18"/>
              </w:rPr>
            </w:pPr>
            <w:r>
              <w:rPr>
                <w:rFonts w:ascii="宋体" w:hAnsi="宋体" w:cs="宋体" w:eastAsia="宋体" w:hint="default"/>
                <w:spacing w:val="-1"/>
                <w:sz w:val="18"/>
                <w:szCs w:val="18"/>
              </w:rPr>
              <w:t>（一）不能重分类进损益的其他综</w:t>
            </w:r>
            <w:r>
              <w:rPr>
                <w:rFonts w:ascii="宋体" w:hAnsi="宋体" w:cs="宋体" w:eastAsia="宋体" w:hint="default"/>
                <w:sz w:val="18"/>
                <w:szCs w:val="18"/>
              </w:rPr>
              <w:t> 合收益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5,297,328.57</w:t>
            </w: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5,297,328.57</w:t>
            </w: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8" w:firstLine="345"/>
              <w:jc w:val="left"/>
              <w:rPr>
                <w:rFonts w:ascii="宋体" w:hAnsi="宋体" w:cs="宋体" w:eastAsia="宋体" w:hint="default"/>
                <w:sz w:val="18"/>
                <w:szCs w:val="18"/>
              </w:rPr>
            </w:pPr>
            <w:r>
              <w:rPr>
                <w:rFonts w:ascii="宋体" w:hAnsi="宋体" w:cs="宋体" w:eastAsia="宋体" w:hint="default"/>
                <w:spacing w:val="-1"/>
                <w:sz w:val="18"/>
                <w:szCs w:val="18"/>
              </w:rPr>
              <w:t>（二）将重分类进损益的其他综合</w:t>
            </w:r>
            <w:r>
              <w:rPr>
                <w:rFonts w:ascii="宋体" w:hAnsi="宋体" w:cs="宋体" w:eastAsia="宋体" w:hint="default"/>
                <w:sz w:val="18"/>
                <w:szCs w:val="18"/>
              </w:rPr>
              <w:t> 收益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1,233,881.56</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2,936,069.81</w:t>
            </w: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133,731.89</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-84,547.76</w:t>
            </w:r>
            <w:r>
              <w:rPr>
                <w:rFonts w:ascii="Times New Roman"/>
                <w:sz w:val="18"/>
              </w:rPr>
            </w:r>
          </w:p>
        </w:tc>
      </w:tr>
      <w:tr>
        <w:trPr>
          <w:trHeight w:val="7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3064"/>
        <w:gridCol w:w="3222"/>
        <w:gridCol w:w="3289"/>
      </w:tblGrid>
      <w:tr>
        <w:trPr>
          <w:trHeight w:val="72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7" w:right="23"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7" w:right="23"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备</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03"/>
              <w:jc w:val="righ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1,100,149.67</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3,020,617.57</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159"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99,299,153.47</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136,983,499.99</w:t>
            </w: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9"/>
              <w:ind w:left="7"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96,765,471.26</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136,209,552.27</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8"/>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2,533,682.21</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773,947.72</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0.22</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0.32</w:t>
            </w: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0.22</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0.32</w:t>
            </w:r>
          </w:p>
        </w:tc>
      </w:tr>
    </w:tbl>
    <w:p>
      <w:pPr>
        <w:spacing w:line="240" w:lineRule="auto" w:before="2"/>
        <w:rPr>
          <w:rFonts w:ascii="Times New Roman" w:hAnsi="Times New Roman" w:cs="Times New Roman" w:eastAsia="Times New Roman" w:hint="default"/>
          <w:sz w:val="22"/>
          <w:szCs w:val="22"/>
        </w:rPr>
      </w:pPr>
    </w:p>
    <w:p>
      <w:pPr>
        <w:pStyle w:val="BodyText"/>
        <w:tabs>
          <w:tab w:pos="3475" w:val="left" w:leader="none"/>
          <w:tab w:pos="7710" w:val="left" w:leader="none"/>
        </w:tabs>
        <w:spacing w:line="240" w:lineRule="auto" w:before="44"/>
        <w:ind w:right="1100"/>
        <w:jc w:val="left"/>
      </w:pPr>
      <w:r>
        <w:rPr/>
        <w:t>法定代表人：黄煜</w:t>
        <w:tab/>
        <w:t>主管会计工作负责人：朱宝祥</w:t>
        <w:tab/>
        <w:t>会计机构负责人：石井平</w:t>
      </w:r>
    </w:p>
    <w:p>
      <w:pPr>
        <w:spacing w:line="240" w:lineRule="auto" w:before="0"/>
        <w:rPr>
          <w:rFonts w:ascii="宋体" w:hAnsi="宋体" w:cs="宋体" w:eastAsia="宋体" w:hint="default"/>
          <w:sz w:val="18"/>
          <w:szCs w:val="18"/>
        </w:rPr>
      </w:pPr>
    </w:p>
    <w:p>
      <w:pPr>
        <w:pStyle w:val="Heading4"/>
        <w:spacing w:line="240" w:lineRule="auto" w:before="155"/>
        <w:ind w:right="1100"/>
        <w:jc w:val="left"/>
        <w:rPr>
          <w:b w:val="0"/>
          <w:bCs w:val="0"/>
        </w:rPr>
      </w:pPr>
      <w:bookmarkStart w:name="4、母公司利润表" w:id="162"/>
      <w:bookmarkEnd w:id="162"/>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2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800,008,814.09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970,580,940.62</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538,560,769.20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637,948,734.91</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28"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6,031,389.93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5,166,314.93</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95,215,721.01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94,994,986.04</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99,666,668.56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67,440,703.89</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68,585,158.95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99,170,625.44</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2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-3,620,724.12</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-5,453,984.95</w:t>
            </w:r>
            <w:r>
              <w:rPr>
                <w:rFonts w:ascii="Times New Roman"/>
                <w:sz w:val="18"/>
              </w:rPr>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773"/>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772"/>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1,958,374.09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1,960,584.28</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15,341,614.70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28,525,884.28</w:t>
            </w:r>
          </w:p>
        </w:tc>
      </w:tr>
      <w:tr>
        <w:trPr>
          <w:trHeight w:val="7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28"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22,121,928.70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22,377,147.09</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974"/>
        <w:gridCol w:w="3305"/>
        <w:gridCol w:w="3304"/>
      </w:tblGrid>
      <w:tr>
        <w:trPr>
          <w:trHeight w:val="72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60" w:firstLine="721"/>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962,387.12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-461,165.55</w:t>
            </w:r>
            <w:r>
              <w:rPr>
                <w:rFonts w:ascii="Times New Roman"/>
                <w:sz w:val="18"/>
              </w:rPr>
            </w:r>
          </w:p>
        </w:tc>
      </w:tr>
      <w:tr>
        <w:trPr>
          <w:trHeight w:val="1021"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2" w:lineRule="auto" w:before="29"/>
              <w:ind w:left="15" w:right="61" w:firstLine="1081"/>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3"/>
                <w:sz w:val="18"/>
                <w:szCs w:val="18"/>
              </w:rPr>
              <w:t> </w:t>
            </w:r>
            <w:r>
              <w:rPr>
                <w:rFonts w:ascii="宋体" w:hAnsi="宋体" w:cs="宋体" w:eastAsia="宋体" w:hint="default"/>
                <w:sz w:val="18"/>
                <w:szCs w:val="18"/>
              </w:rPr>
              <w:t>列）</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36"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0" w:lineRule="auto" w:before="8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36"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9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2,926,123.24</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36"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-964,239.51</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36"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-4,471,287.60</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-27,114,088.63</w:t>
            </w:r>
            <w:r>
              <w:rPr>
                <w:rFonts w:ascii="Times New Roman"/>
                <w:sz w:val="18"/>
              </w:rPr>
            </w:r>
          </w:p>
        </w:tc>
      </w:tr>
      <w:tr>
        <w:trPr>
          <w:trHeight w:val="72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36"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-1,952.52</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-43,693.49</w:t>
            </w:r>
            <w:r>
              <w:rPr>
                <w:rFonts w:ascii="Times New Roman"/>
                <w:sz w:val="18"/>
              </w:rPr>
            </w: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30,522,017.57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95,058,809.61</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14,095,451.91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16,910,613.83</w:t>
            </w:r>
          </w:p>
        </w:tc>
      </w:tr>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75"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277,870.48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40,304.85</w:t>
            </w:r>
          </w:p>
        </w:tc>
      </w:tr>
      <w:tr>
        <w:trPr>
          <w:trHeight w:val="72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60"/>
              <w:ind w:left="15" w:right="73"/>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3"/>
                <w:sz w:val="18"/>
                <w:szCs w:val="18"/>
              </w:rPr>
              <w:t> </w:t>
            </w:r>
            <w:r>
              <w:rPr>
                <w:rFonts w:ascii="宋体" w:hAnsi="宋体" w:cs="宋体" w:eastAsia="宋体" w:hint="default"/>
                <w:sz w:val="18"/>
                <w:szCs w:val="18"/>
              </w:rPr>
              <w:t>列）</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44,339,599.00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111,929,118.59</w:t>
            </w: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9,875,088.61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13,562,292.25</w:t>
            </w: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34,464,510.39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98,366,826.34</w:t>
            </w:r>
          </w:p>
        </w:tc>
      </w:tr>
      <w:tr>
        <w:trPr>
          <w:trHeight w:val="7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before="29"/>
              <w:ind w:left="15" w:right="6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34,464,510.39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98,366,826.34</w:t>
            </w:r>
          </w:p>
        </w:tc>
      </w:tr>
      <w:tr>
        <w:trPr>
          <w:trHeight w:val="721"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6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133,731.89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-84,547.76</w:t>
            </w:r>
            <w:r>
              <w:rPr>
                <w:rFonts w:ascii="Times New Roman"/>
                <w:sz w:val="18"/>
              </w:rPr>
            </w:r>
          </w:p>
        </w:tc>
      </w:tr>
      <w:tr>
        <w:trPr>
          <w:trHeight w:val="7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62"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15" w:right="10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72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53"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133,731.89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-84,547.76</w:t>
            </w:r>
            <w:r>
              <w:rPr>
                <w:rFonts w:ascii="Times New Roman"/>
                <w:sz w:val="18"/>
              </w:rPr>
            </w:r>
          </w:p>
        </w:tc>
      </w:tr>
      <w:tr>
        <w:trPr>
          <w:trHeight w:val="7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133,731.89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-84,547.76</w:t>
            </w:r>
            <w:r>
              <w:rPr>
                <w:rFonts w:ascii="Times New Roman"/>
                <w:sz w:val="18"/>
              </w:rPr>
            </w: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7"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59"/>
              <w:ind w:left="7"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7"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34,598,242.28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98,282,278.58</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Times New Roman" w:hAnsi="Times New Roman" w:cs="Times New Roman" w:eastAsia="Times New Roman" w:hint="default"/>
          <w:sz w:val="22"/>
          <w:szCs w:val="22"/>
        </w:rPr>
      </w:pPr>
    </w:p>
    <w:p>
      <w:pPr>
        <w:pStyle w:val="Heading4"/>
        <w:spacing w:line="240" w:lineRule="auto" w:before="35"/>
        <w:ind w:right="1100"/>
        <w:jc w:val="left"/>
        <w:rPr>
          <w:b w:val="0"/>
          <w:bCs w:val="0"/>
        </w:rPr>
      </w:pPr>
      <w:bookmarkStart w:name="5、合并现金流量表" w:id="163"/>
      <w:bookmarkEnd w:id="163"/>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10"/>
        <w:jc w:val="right"/>
      </w:pPr>
      <w:r>
        <w:rPr/>
        <w:t>单位：元</w:t>
      </w:r>
    </w:p>
    <w:p>
      <w:pPr>
        <w:spacing w:line="240" w:lineRule="auto" w:before="8"/>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951"/>
        <w:gridCol w:w="3320"/>
        <w:gridCol w:w="3304"/>
      </w:tblGrid>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left="1997" w:right="0"/>
              <w:jc w:val="left"/>
              <w:rPr>
                <w:rFonts w:ascii="Times New Roman" w:hAnsi="Times New Roman" w:cs="Times New Roman" w:eastAsia="Times New Roman" w:hint="default"/>
                <w:sz w:val="18"/>
                <w:szCs w:val="18"/>
              </w:rPr>
            </w:pPr>
            <w:r>
              <w:rPr>
                <w:rFonts w:ascii="Times New Roman"/>
                <w:sz w:val="18"/>
              </w:rPr>
              <w:t>1,021,446,270.35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97" w:right="0"/>
              <w:jc w:val="left"/>
              <w:rPr>
                <w:rFonts w:ascii="Times New Roman" w:hAnsi="Times New Roman" w:cs="Times New Roman" w:eastAsia="Times New Roman" w:hint="default"/>
                <w:sz w:val="18"/>
                <w:szCs w:val="18"/>
              </w:rPr>
            </w:pPr>
            <w:r>
              <w:rPr>
                <w:rFonts w:ascii="Times New Roman"/>
                <w:sz w:val="18"/>
              </w:rPr>
              <w:t>1,200,636,999.15</w:t>
            </w:r>
          </w:p>
        </w:tc>
      </w:tr>
      <w:tr>
        <w:trPr>
          <w:trHeight w:val="72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65"/>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80"/>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47"/>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44"/>
        <w:gridCol w:w="3327"/>
        <w:gridCol w:w="3304"/>
      </w:tblGrid>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22,497,678.80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37,823,403.74</w:t>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8"/>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20,161,554.81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16,097,126.27</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1,064,105,503.96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1,254,557,529.16</w:t>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38"/>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532,389,424.52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819,174,707.77</w:t>
            </w: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9"/>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8"/>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38"/>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64"/>
              <w:ind w:left="7"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215,650,242.24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204,001,338.75</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68,287,974.73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96,989,283.04</w:t>
            </w: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38"/>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128,621,002.74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126,237,766.24</w:t>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944,948,644.23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1,246,403,095.80</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119,156,859.73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8,154,433.36</w:t>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1,981,000,000.00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2,139,454,545.00</w:t>
            </w: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27,574,612.15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25,812,880.46</w:t>
            </w:r>
          </w:p>
        </w:tc>
      </w:tr>
      <w:tr>
        <w:trPr>
          <w:trHeight w:val="72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38"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11,163,337.56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190,046.00</w:t>
            </w:r>
          </w:p>
        </w:tc>
      </w:tr>
      <w:tr>
        <w:trPr>
          <w:trHeight w:val="72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38"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38"/>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2,019,737,949.71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2,165,457,471.46</w:t>
            </w:r>
          </w:p>
        </w:tc>
      </w:tr>
      <w:tr>
        <w:trPr>
          <w:trHeight w:val="72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38"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7,428,344.26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7,473,181.73</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2,270,708,739.66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2,043,084,382.00</w:t>
            </w: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38"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31,972,660.00</w:t>
            </w: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8"/>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1"/>
        <w:gridCol w:w="3320"/>
        <w:gridCol w:w="3304"/>
      </w:tblGrid>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2,278,137,083.92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2,082,530,223.73</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-258,399,134.21</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82,927,247.73</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47"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47"/>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47"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20,902,200.00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20,902,200.00</w:t>
            </w:r>
          </w:p>
        </w:tc>
      </w:tr>
      <w:tr>
        <w:trPr>
          <w:trHeight w:val="7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47"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20,481.58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20,348.11</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20,922,681.58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20,922,548.11</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-20,922,681.58</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-20,922,548.11</w:t>
            </w:r>
            <w:r>
              <w:rPr>
                <w:rFonts w:ascii="Times New Roman"/>
                <w:sz w:val="18"/>
              </w:rPr>
            </w:r>
          </w:p>
        </w:tc>
      </w:tr>
      <w:tr>
        <w:trPr>
          <w:trHeight w:val="7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46"/>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1,437,426.67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4,075,060.75</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-158,727,529.39</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74,234,193.73</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47"/>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651,901,404.12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577,667,210.39</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493,173,874.73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651,901,404.12</w:t>
            </w:r>
          </w:p>
        </w:tc>
      </w:tr>
    </w:tbl>
    <w:p>
      <w:pPr>
        <w:spacing w:line="240" w:lineRule="auto" w:before="7"/>
        <w:rPr>
          <w:rFonts w:ascii="Times New Roman" w:hAnsi="Times New Roman" w:cs="Times New Roman" w:eastAsia="Times New Roman" w:hint="default"/>
          <w:sz w:val="22"/>
          <w:szCs w:val="22"/>
        </w:rPr>
      </w:pPr>
    </w:p>
    <w:p>
      <w:pPr>
        <w:pStyle w:val="Heading4"/>
        <w:spacing w:line="240" w:lineRule="auto" w:before="35"/>
        <w:ind w:right="1100"/>
        <w:jc w:val="left"/>
        <w:rPr>
          <w:b w:val="0"/>
          <w:bCs w:val="0"/>
        </w:rPr>
      </w:pPr>
      <w:bookmarkStart w:name="6、母公司现金流量表" w:id="164"/>
      <w:bookmarkEnd w:id="164"/>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10"/>
        <w:jc w:val="right"/>
      </w:pPr>
      <w:r>
        <w:rPr/>
        <w:t>单位：元</w:t>
      </w:r>
    </w:p>
    <w:p>
      <w:pPr>
        <w:spacing w:line="240" w:lineRule="auto" w:before="8"/>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951"/>
        <w:gridCol w:w="3320"/>
        <w:gridCol w:w="3304"/>
      </w:tblGrid>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47"/>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883,394,508.77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1,100,295,343.10</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21,447,663.06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35,100,346.41</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47"/>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18,540,986.49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16,006,566.56</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923,383,158.32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1,151,402,256.07</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484,833,773.64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798,335,015.09</w:t>
            </w:r>
          </w:p>
        </w:tc>
      </w:tr>
      <w:tr>
        <w:trPr>
          <w:trHeight w:val="72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65"/>
              <w:ind w:left="7"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177,922,587.05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175,234,262.33</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55,683,072.66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80,678,492.19</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44"/>
        <w:gridCol w:w="3327"/>
        <w:gridCol w:w="3304"/>
      </w:tblGrid>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8"/>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113,934,188.38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111,356,199.28</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832,373,621.73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1,165,603,968.89</w:t>
            </w: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91,009,536.59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-14,201,712.82</w:t>
            </w:r>
            <w:r>
              <w:rPr>
                <w:rFonts w:ascii="Times New Roman"/>
                <w:sz w:val="18"/>
              </w:rPr>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1,816,000,000.00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1,959,000,000.00</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25,367,269.67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23,117,990.07</w:t>
            </w:r>
          </w:p>
        </w:tc>
      </w:tr>
      <w:tr>
        <w:trPr>
          <w:trHeight w:val="7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38"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8,870.00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131,285.00</w:t>
            </w:r>
          </w:p>
        </w:tc>
      </w:tr>
      <w:tr>
        <w:trPr>
          <w:trHeight w:val="72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38"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8"/>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1,841,376,139.67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1,982,249,275.07</w:t>
            </w:r>
          </w:p>
        </w:tc>
      </w:tr>
      <w:tr>
        <w:trPr>
          <w:trHeight w:val="7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38"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4,134,311.56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4,815,096.38</w:t>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2,075,124,130.00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1,928,832,202.00</w:t>
            </w:r>
          </w:p>
        </w:tc>
      </w:tr>
      <w:tr>
        <w:trPr>
          <w:trHeight w:val="72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38"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38"/>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2,079,258,441.56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1,933,647,298.38</w:t>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-237,882,301.89</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48,601,976.69</w:t>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8"/>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38"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20,902,200.00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20,902,200.00</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8"/>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20,481.58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20,348.11</w:t>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20,922,681.58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20,922,548.11</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-20,922,681.58</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-20,922,548.11</w:t>
            </w:r>
            <w:r>
              <w:rPr>
                <w:rFonts w:ascii="Times New Roman"/>
                <w:sz w:val="18"/>
              </w:rPr>
            </w:r>
          </w:p>
        </w:tc>
      </w:tr>
      <w:tr>
        <w:trPr>
          <w:trHeight w:val="7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684,617.30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1,092,121.57</w:t>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-167,110,829.58</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14,569,837.33</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8"/>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539,029,126.54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524,459,289.21</w:t>
            </w: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371,918,296.96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539,029,126.54</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pStyle w:val="Heading4"/>
        <w:spacing w:line="240" w:lineRule="auto" w:before="150"/>
        <w:ind w:right="1100"/>
        <w:jc w:val="left"/>
        <w:rPr>
          <w:b w:val="0"/>
          <w:bCs w:val="0"/>
        </w:rPr>
      </w:pPr>
      <w:bookmarkStart w:name="7、合并所有者权益变动表" w:id="165"/>
      <w:bookmarkEnd w:id="165"/>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right="1100"/>
        <w:jc w:val="left"/>
      </w:pPr>
      <w:r>
        <w:rPr/>
        <w:t>本期金额</w:t>
      </w:r>
    </w:p>
    <w:p>
      <w:pPr>
        <w:pStyle w:val="BodyText"/>
        <w:spacing w:line="240" w:lineRule="auto" w:before="110"/>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254"/>
        <w:gridCol w:w="481"/>
        <w:gridCol w:w="465"/>
        <w:gridCol w:w="481"/>
        <w:gridCol w:w="466"/>
        <w:gridCol w:w="585"/>
        <w:gridCol w:w="586"/>
        <w:gridCol w:w="586"/>
        <w:gridCol w:w="571"/>
        <w:gridCol w:w="585"/>
        <w:gridCol w:w="586"/>
        <w:gridCol w:w="586"/>
        <w:gridCol w:w="586"/>
        <w:gridCol w:w="586"/>
        <w:gridCol w:w="586"/>
        <w:gridCol w:w="586"/>
      </w:tblGrid>
      <w:tr>
        <w:trPr>
          <w:trHeight w:val="447" w:hRule="exact"/>
        </w:trPr>
        <w:tc>
          <w:tcPr>
            <w:tcW w:w="1254" w:type="dxa"/>
            <w:vMerge w:val="restart"/>
            <w:tcBorders>
              <w:top w:val="single" w:sz="6" w:space="0" w:color="000000"/>
              <w:left w:val="single" w:sz="6" w:space="0" w:color="000000"/>
              <w:right w:val="single" w:sz="6" w:space="0" w:color="000000"/>
            </w:tcBorders>
            <w:shd w:val="clear" w:color="auto" w:fill="D2D2D2"/>
          </w:tcPr>
          <w:p>
            <w:pPr/>
          </w:p>
        </w:tc>
        <w:tc>
          <w:tcPr>
            <w:tcW w:w="8320" w:type="dxa"/>
            <w:gridSpan w:val="15"/>
            <w:tcBorders>
              <w:top w:val="single" w:sz="6" w:space="0" w:color="000000"/>
              <w:left w:val="single" w:sz="6" w:space="0" w:color="000000"/>
              <w:bottom w:val="single" w:sz="6" w:space="0" w:color="FFFFFF"/>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r>
      <w:tr>
        <w:trPr>
          <w:trHeight w:val="206" w:hRule="exact"/>
        </w:trPr>
        <w:tc>
          <w:tcPr>
            <w:tcW w:w="1254" w:type="dxa"/>
            <w:vMerge/>
            <w:tcBorders>
              <w:left w:val="single" w:sz="6" w:space="0" w:color="000000"/>
              <w:right w:val="single" w:sz="6" w:space="0" w:color="000000"/>
            </w:tcBorders>
            <w:shd w:val="clear" w:color="auto" w:fill="D2D2D2"/>
          </w:tcPr>
          <w:p>
            <w:pPr/>
          </w:p>
        </w:tc>
        <w:tc>
          <w:tcPr>
            <w:tcW w:w="7149" w:type="dxa"/>
            <w:gridSpan w:val="13"/>
            <w:vMerge w:val="restart"/>
            <w:tcBorders>
              <w:top w:val="single" w:sz="6" w:space="0" w:color="FFFFFF"/>
              <w:left w:val="single" w:sz="6" w:space="0" w:color="000000"/>
              <w:right w:val="single" w:sz="6" w:space="0" w:color="000000"/>
            </w:tcBorders>
            <w:shd w:val="clear" w:color="auto" w:fill="D2D2D2"/>
          </w:tcPr>
          <w:p>
            <w:pPr>
              <w:pStyle w:val="TableParagraph"/>
              <w:spacing w:line="224" w:lineRule="exact"/>
              <w:ind w:right="17"/>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tcBorders>
              <w:top w:val="single" w:sz="6" w:space="0" w:color="FFFFFF"/>
              <w:left w:val="single" w:sz="6" w:space="0" w:color="000000"/>
              <w:bottom w:val="nil" w:sz="6" w:space="0" w:color="auto"/>
              <w:right w:val="single" w:sz="6" w:space="0" w:color="000000"/>
            </w:tcBorders>
            <w:shd w:val="clear" w:color="auto" w:fill="D2D2D2"/>
          </w:tcPr>
          <w:p>
            <w:pPr/>
          </w:p>
        </w:tc>
        <w:tc>
          <w:tcPr>
            <w:tcW w:w="586" w:type="dxa"/>
            <w:vMerge w:val="restart"/>
            <w:tcBorders>
              <w:top w:val="single" w:sz="6" w:space="0" w:color="FFFFFF"/>
              <w:left w:val="single" w:sz="6" w:space="0" w:color="000000"/>
              <w:right w:val="single" w:sz="6" w:space="0" w:color="000000"/>
            </w:tcBorders>
            <w:shd w:val="clear" w:color="auto" w:fill="D2D2D2"/>
          </w:tcPr>
          <w:p>
            <w:pPr>
              <w:pStyle w:val="TableParagraph"/>
              <w:spacing w:line="316" w:lineRule="auto" w:before="78"/>
              <w:ind w:left="90" w:right="118"/>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142" w:hRule="exact"/>
        </w:trPr>
        <w:tc>
          <w:tcPr>
            <w:tcW w:w="1254" w:type="dxa"/>
            <w:vMerge/>
            <w:tcBorders>
              <w:left w:val="single" w:sz="6" w:space="0" w:color="000000"/>
              <w:bottom w:val="nil" w:sz="6" w:space="0" w:color="auto"/>
              <w:right w:val="single" w:sz="6" w:space="0" w:color="000000"/>
            </w:tcBorders>
            <w:shd w:val="clear" w:color="auto" w:fill="D2D2D2"/>
          </w:tcPr>
          <w:p>
            <w:pPr/>
          </w:p>
        </w:tc>
        <w:tc>
          <w:tcPr>
            <w:tcW w:w="7149" w:type="dxa"/>
            <w:gridSpan w:val="13"/>
            <w:vMerge/>
            <w:tcBorders>
              <w:left w:val="single" w:sz="6" w:space="0" w:color="000000"/>
              <w:bottom w:val="single" w:sz="6" w:space="0" w:color="000000"/>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Style w:val="TableParagraph"/>
              <w:spacing w:line="314" w:lineRule="auto" w:before="44"/>
              <w:ind w:left="105" w:right="10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86" w:type="dxa"/>
            <w:vMerge/>
            <w:tcBorders>
              <w:left w:val="single" w:sz="6" w:space="0" w:color="000000"/>
              <w:right w:val="single" w:sz="6" w:space="0" w:color="000000"/>
            </w:tcBorders>
            <w:shd w:val="clear" w:color="auto" w:fill="D2D2D2"/>
          </w:tcPr>
          <w:p>
            <w:pPr/>
          </w:p>
        </w:tc>
      </w:tr>
      <w:tr>
        <w:trPr>
          <w:trHeight w:val="203" w:hRule="exact"/>
        </w:trPr>
        <w:tc>
          <w:tcPr>
            <w:tcW w:w="125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7"/>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481" w:type="dxa"/>
            <w:vMerge w:val="restart"/>
            <w:tcBorders>
              <w:top w:val="single" w:sz="6" w:space="0" w:color="000000"/>
              <w:left w:val="single" w:sz="6" w:space="0" w:color="000000"/>
              <w:right w:val="single" w:sz="6" w:space="0" w:color="000000"/>
            </w:tcBorders>
            <w:shd w:val="clear" w:color="auto" w:fill="D2D2D2"/>
          </w:tcPr>
          <w:p>
            <w:pPr/>
          </w:p>
        </w:tc>
        <w:tc>
          <w:tcPr>
            <w:tcW w:w="1412"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6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5" w:type="dxa"/>
            <w:tcBorders>
              <w:top w:val="single" w:sz="6" w:space="0" w:color="000000"/>
              <w:left w:val="single" w:sz="6" w:space="0" w:color="000000"/>
              <w:bottom w:val="nil" w:sz="6" w:space="0" w:color="auto"/>
              <w:right w:val="single" w:sz="6" w:space="0" w:color="000000"/>
            </w:tcBorders>
            <w:shd w:val="clear" w:color="auto" w:fill="D2D2D2"/>
          </w:tcPr>
          <w:p>
            <w:pPr/>
          </w:p>
        </w:tc>
        <w:tc>
          <w:tcPr>
            <w:tcW w:w="586" w:type="dxa"/>
            <w:tcBorders>
              <w:top w:val="single" w:sz="6" w:space="0" w:color="000000"/>
              <w:left w:val="single" w:sz="6" w:space="0" w:color="000000"/>
              <w:bottom w:val="nil" w:sz="6" w:space="0" w:color="auto"/>
              <w:right w:val="single" w:sz="6" w:space="0" w:color="000000"/>
            </w:tcBorders>
            <w:shd w:val="clear" w:color="auto" w:fill="D2D2D2"/>
          </w:tcPr>
          <w:p>
            <w:pPr/>
          </w:p>
        </w:tc>
        <w:tc>
          <w:tcPr>
            <w:tcW w:w="586"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90"/>
              <w:ind w:left="90" w:right="118"/>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1" w:type="dxa"/>
            <w:tcBorders>
              <w:top w:val="single" w:sz="6" w:space="0" w:color="000000"/>
              <w:left w:val="single" w:sz="6" w:space="0" w:color="000000"/>
              <w:bottom w:val="nil" w:sz="6" w:space="0" w:color="auto"/>
              <w:right w:val="single" w:sz="6" w:space="0" w:color="000000"/>
            </w:tcBorders>
            <w:shd w:val="clear" w:color="auto" w:fill="D2D2D2"/>
          </w:tcPr>
          <w:p>
            <w:pPr/>
          </w:p>
        </w:tc>
        <w:tc>
          <w:tcPr>
            <w:tcW w:w="585" w:type="dxa"/>
            <w:tcBorders>
              <w:top w:val="single" w:sz="6" w:space="0" w:color="000000"/>
              <w:left w:val="single" w:sz="6" w:space="0" w:color="000000"/>
              <w:bottom w:val="nil" w:sz="6" w:space="0" w:color="auto"/>
              <w:right w:val="single" w:sz="6" w:space="0" w:color="000000"/>
            </w:tcBorders>
            <w:shd w:val="clear" w:color="auto" w:fill="D2D2D2"/>
          </w:tcPr>
          <w:p>
            <w:pPr/>
          </w:p>
        </w:tc>
        <w:tc>
          <w:tcPr>
            <w:tcW w:w="586"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90"/>
              <w:ind w:left="105"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90"/>
              <w:ind w:left="105"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6" w:type="dxa"/>
            <w:vMerge w:val="restart"/>
            <w:tcBorders>
              <w:top w:val="single" w:sz="6" w:space="0" w:color="000000"/>
              <w:left w:val="single" w:sz="6" w:space="0" w:color="000000"/>
              <w:right w:val="single" w:sz="6" w:space="0" w:color="000000"/>
            </w:tcBorders>
            <w:shd w:val="clear" w:color="auto" w:fill="D2D2D2"/>
          </w:tcPr>
          <w:p>
            <w:pPr/>
          </w:p>
        </w:tc>
        <w:tc>
          <w:tcPr>
            <w:tcW w:w="586" w:type="dxa"/>
            <w:vMerge w:val="restart"/>
            <w:tcBorders>
              <w:top w:val="single" w:sz="6" w:space="0" w:color="000000"/>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r>
      <w:tr>
        <w:trPr>
          <w:trHeight w:val="172" w:hRule="exact"/>
        </w:trPr>
        <w:tc>
          <w:tcPr>
            <w:tcW w:w="1254" w:type="dxa"/>
            <w:vMerge/>
            <w:tcBorders>
              <w:left w:val="single" w:sz="6" w:space="0" w:color="000000"/>
              <w:bottom w:val="nil" w:sz="6" w:space="0" w:color="auto"/>
              <w:right w:val="single" w:sz="6" w:space="0" w:color="000000"/>
            </w:tcBorders>
            <w:shd w:val="clear" w:color="auto" w:fill="D2D2D2"/>
          </w:tcPr>
          <w:p>
            <w:pPr/>
          </w:p>
        </w:tc>
        <w:tc>
          <w:tcPr>
            <w:tcW w:w="481" w:type="dxa"/>
            <w:vMerge/>
            <w:tcBorders>
              <w:left w:val="single" w:sz="6" w:space="0" w:color="000000"/>
              <w:bottom w:val="nil" w:sz="6" w:space="0" w:color="auto"/>
              <w:right w:val="single" w:sz="6" w:space="0" w:color="000000"/>
            </w:tcBorders>
            <w:shd w:val="clear" w:color="auto" w:fill="D2D2D2"/>
          </w:tcPr>
          <w:p>
            <w:pPr/>
          </w:p>
        </w:tc>
        <w:tc>
          <w:tcPr>
            <w:tcW w:w="1412" w:type="dxa"/>
            <w:gridSpan w:val="3"/>
            <w:vMerge/>
            <w:tcBorders>
              <w:left w:val="single" w:sz="6" w:space="0" w:color="000000"/>
              <w:bottom w:val="single" w:sz="6" w:space="0" w:color="000000"/>
              <w:right w:val="single" w:sz="6" w:space="0" w:color="000000"/>
            </w:tcBorders>
            <w:shd w:val="clear" w:color="auto" w:fill="D2D2D2"/>
          </w:tcPr>
          <w:p>
            <w:pPr/>
          </w:p>
        </w:tc>
        <w:tc>
          <w:tcPr>
            <w:tcW w:w="585"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4"/>
              <w:ind w:left="89" w:right="118"/>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4"/>
              <w:ind w:left="90" w:right="28" w:hanging="75"/>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z w:val="18"/>
                <w:szCs w:val="18"/>
              </w:rPr>
              <w:t> 存股</w:t>
            </w:r>
          </w:p>
        </w:tc>
        <w:tc>
          <w:tcPr>
            <w:tcW w:w="586" w:type="dxa"/>
            <w:vMerge/>
            <w:tcBorders>
              <w:left w:val="single" w:sz="6" w:space="0" w:color="000000"/>
              <w:right w:val="single" w:sz="6" w:space="0" w:color="000000"/>
            </w:tcBorders>
            <w:shd w:val="clear" w:color="auto" w:fill="D2D2D2"/>
          </w:tcPr>
          <w:p>
            <w:pPr/>
          </w:p>
        </w:tc>
        <w:tc>
          <w:tcPr>
            <w:tcW w:w="571"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4"/>
              <w:ind w:left="90"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5"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4"/>
              <w:ind w:left="104"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r>
      <w:tr>
        <w:trPr>
          <w:trHeight w:val="383" w:hRule="exact"/>
        </w:trPr>
        <w:tc>
          <w:tcPr>
            <w:tcW w:w="1254" w:type="dxa"/>
            <w:vMerge w:val="restart"/>
            <w:tcBorders>
              <w:top w:val="nil" w:sz="6" w:space="0" w:color="auto"/>
              <w:left w:val="single" w:sz="6" w:space="0" w:color="000000"/>
              <w:right w:val="single" w:sz="6" w:space="0" w:color="000000"/>
            </w:tcBorders>
            <w:shd w:val="clear" w:color="auto" w:fill="D2D2D2"/>
          </w:tcPr>
          <w:p>
            <w:pPr/>
          </w:p>
        </w:tc>
        <w:tc>
          <w:tcPr>
            <w:tcW w:w="48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37"/>
              <w:ind w:left="4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5"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74"/>
              <w:ind w:left="135" w:right="43" w:hanging="91"/>
              <w:jc w:val="left"/>
              <w:rPr>
                <w:rFonts w:ascii="宋体" w:hAnsi="宋体" w:cs="宋体" w:eastAsia="宋体" w:hint="default"/>
                <w:sz w:val="18"/>
                <w:szCs w:val="18"/>
              </w:rPr>
            </w:pPr>
            <w:r>
              <w:rPr>
                <w:rFonts w:ascii="宋体" w:hAnsi="宋体" w:cs="宋体" w:eastAsia="宋体" w:hint="default"/>
                <w:sz w:val="18"/>
                <w:szCs w:val="18"/>
              </w:rPr>
              <w:t>优先 股</w:t>
            </w:r>
          </w:p>
        </w:tc>
        <w:tc>
          <w:tcPr>
            <w:tcW w:w="481"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74"/>
              <w:ind w:left="135" w:right="60" w:hanging="91"/>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5"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5"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37"/>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37"/>
              <w:ind w:left="10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r>
      <w:tr>
        <w:trPr>
          <w:trHeight w:val="128" w:hRule="exact"/>
        </w:trPr>
        <w:tc>
          <w:tcPr>
            <w:tcW w:w="1254" w:type="dxa"/>
            <w:vMerge/>
            <w:tcBorders>
              <w:left w:val="single" w:sz="6" w:space="0" w:color="000000"/>
              <w:right w:val="single" w:sz="6" w:space="0" w:color="000000"/>
            </w:tcBorders>
            <w:shd w:val="clear" w:color="auto" w:fill="D2D2D2"/>
          </w:tcPr>
          <w:p>
            <w:pPr/>
          </w:p>
        </w:tc>
        <w:tc>
          <w:tcPr>
            <w:tcW w:w="481" w:type="dxa"/>
            <w:vMerge w:val="restart"/>
            <w:tcBorders>
              <w:top w:val="nil" w:sz="6" w:space="0" w:color="auto"/>
              <w:left w:val="single" w:sz="6" w:space="0" w:color="000000"/>
              <w:right w:val="single" w:sz="6" w:space="0" w:color="000000"/>
            </w:tcBorders>
            <w:shd w:val="clear" w:color="auto" w:fill="D2D2D2"/>
          </w:tcPr>
          <w:p>
            <w:pPr/>
          </w:p>
        </w:tc>
        <w:tc>
          <w:tcPr>
            <w:tcW w:w="465" w:type="dxa"/>
            <w:vMerge/>
            <w:tcBorders>
              <w:left w:val="single" w:sz="6" w:space="0" w:color="000000"/>
              <w:right w:val="single" w:sz="6" w:space="0" w:color="000000"/>
            </w:tcBorders>
            <w:shd w:val="clear" w:color="auto" w:fill="D2D2D2"/>
          </w:tcPr>
          <w:p>
            <w:pPr/>
          </w:p>
        </w:tc>
        <w:tc>
          <w:tcPr>
            <w:tcW w:w="481" w:type="dxa"/>
            <w:vMerge/>
            <w:tcBorders>
              <w:left w:val="single" w:sz="6" w:space="0" w:color="000000"/>
              <w:right w:val="single" w:sz="6" w:space="0" w:color="000000"/>
            </w:tcBorders>
            <w:shd w:val="clear" w:color="auto" w:fill="D2D2D2"/>
          </w:tcPr>
          <w:p>
            <w:pPr/>
          </w:p>
        </w:tc>
        <w:tc>
          <w:tcPr>
            <w:tcW w:w="466" w:type="dxa"/>
            <w:vMerge/>
            <w:tcBorders>
              <w:left w:val="single" w:sz="6" w:space="0" w:color="000000"/>
              <w:right w:val="single" w:sz="6" w:space="0" w:color="000000"/>
            </w:tcBorders>
            <w:shd w:val="clear" w:color="auto" w:fill="D2D2D2"/>
          </w:tcPr>
          <w:p>
            <w:pPr/>
          </w:p>
        </w:tc>
        <w:tc>
          <w:tcPr>
            <w:tcW w:w="585"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bottom w:val="nil" w:sz="6" w:space="0" w:color="auto"/>
              <w:right w:val="single" w:sz="6" w:space="0" w:color="000000"/>
            </w:tcBorders>
            <w:shd w:val="clear" w:color="auto" w:fill="D2D2D2"/>
          </w:tcPr>
          <w:p>
            <w:pPr/>
          </w:p>
        </w:tc>
        <w:tc>
          <w:tcPr>
            <w:tcW w:w="585"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r>
      <w:tr>
        <w:trPr>
          <w:trHeight w:val="131" w:hRule="exact"/>
        </w:trPr>
        <w:tc>
          <w:tcPr>
            <w:tcW w:w="1254" w:type="dxa"/>
            <w:vMerge/>
            <w:tcBorders>
              <w:left w:val="single" w:sz="6" w:space="0" w:color="000000"/>
              <w:right w:val="single" w:sz="6" w:space="0" w:color="000000"/>
            </w:tcBorders>
            <w:shd w:val="clear" w:color="auto" w:fill="D2D2D2"/>
          </w:tcPr>
          <w:p>
            <w:pPr/>
          </w:p>
        </w:tc>
        <w:tc>
          <w:tcPr>
            <w:tcW w:w="481" w:type="dxa"/>
            <w:vMerge/>
            <w:tcBorders>
              <w:left w:val="single" w:sz="6" w:space="0" w:color="000000"/>
              <w:right w:val="single" w:sz="6" w:space="0" w:color="000000"/>
            </w:tcBorders>
            <w:shd w:val="clear" w:color="auto" w:fill="D2D2D2"/>
          </w:tcPr>
          <w:p>
            <w:pPr/>
          </w:p>
        </w:tc>
        <w:tc>
          <w:tcPr>
            <w:tcW w:w="465" w:type="dxa"/>
            <w:vMerge/>
            <w:tcBorders>
              <w:left w:val="single" w:sz="6" w:space="0" w:color="000000"/>
              <w:right w:val="single" w:sz="6" w:space="0" w:color="000000"/>
            </w:tcBorders>
            <w:shd w:val="clear" w:color="auto" w:fill="D2D2D2"/>
          </w:tcPr>
          <w:p>
            <w:pPr/>
          </w:p>
        </w:tc>
        <w:tc>
          <w:tcPr>
            <w:tcW w:w="481" w:type="dxa"/>
            <w:vMerge/>
            <w:tcBorders>
              <w:left w:val="single" w:sz="6" w:space="0" w:color="000000"/>
              <w:right w:val="single" w:sz="6" w:space="0" w:color="000000"/>
            </w:tcBorders>
            <w:shd w:val="clear" w:color="auto" w:fill="D2D2D2"/>
          </w:tcPr>
          <w:p>
            <w:pPr/>
          </w:p>
        </w:tc>
        <w:tc>
          <w:tcPr>
            <w:tcW w:w="466" w:type="dxa"/>
            <w:vMerge/>
            <w:tcBorders>
              <w:left w:val="single" w:sz="6" w:space="0" w:color="000000"/>
              <w:right w:val="single" w:sz="6" w:space="0" w:color="000000"/>
            </w:tcBorders>
            <w:shd w:val="clear" w:color="auto" w:fill="D2D2D2"/>
          </w:tcPr>
          <w:p>
            <w:pPr/>
          </w:p>
        </w:tc>
        <w:tc>
          <w:tcPr>
            <w:tcW w:w="585" w:type="dxa"/>
            <w:vMerge w:val="restart"/>
            <w:tcBorders>
              <w:top w:val="nil" w:sz="6" w:space="0" w:color="auto"/>
              <w:left w:val="single" w:sz="6" w:space="0" w:color="000000"/>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val="restart"/>
            <w:tcBorders>
              <w:top w:val="nil" w:sz="6" w:space="0" w:color="auto"/>
              <w:left w:val="single" w:sz="6" w:space="0" w:color="000000"/>
              <w:right w:val="single" w:sz="6" w:space="0" w:color="000000"/>
            </w:tcBorders>
            <w:shd w:val="clear" w:color="auto" w:fill="D2D2D2"/>
          </w:tcPr>
          <w:p>
            <w:pPr/>
          </w:p>
        </w:tc>
        <w:tc>
          <w:tcPr>
            <w:tcW w:w="585" w:type="dxa"/>
            <w:vMerge w:val="restart"/>
            <w:tcBorders>
              <w:top w:val="nil" w:sz="6" w:space="0" w:color="auto"/>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r>
      <w:tr>
        <w:trPr>
          <w:trHeight w:val="98" w:hRule="exact"/>
        </w:trPr>
        <w:tc>
          <w:tcPr>
            <w:tcW w:w="1254" w:type="dxa"/>
            <w:vMerge/>
            <w:tcBorders>
              <w:left w:val="single" w:sz="6" w:space="0" w:color="000000"/>
              <w:bottom w:val="single" w:sz="6" w:space="0" w:color="000000"/>
              <w:right w:val="single" w:sz="6" w:space="0" w:color="000000"/>
            </w:tcBorders>
            <w:shd w:val="clear" w:color="auto" w:fill="D2D2D2"/>
          </w:tcPr>
          <w:p>
            <w:pPr/>
          </w:p>
        </w:tc>
        <w:tc>
          <w:tcPr>
            <w:tcW w:w="481" w:type="dxa"/>
            <w:vMerge/>
            <w:tcBorders>
              <w:left w:val="single" w:sz="6" w:space="0" w:color="000000"/>
              <w:bottom w:val="single" w:sz="6" w:space="0" w:color="000000"/>
              <w:right w:val="single" w:sz="6" w:space="0" w:color="000000"/>
            </w:tcBorders>
            <w:shd w:val="clear" w:color="auto" w:fill="D2D2D2"/>
          </w:tcPr>
          <w:p>
            <w:pPr/>
          </w:p>
        </w:tc>
        <w:tc>
          <w:tcPr>
            <w:tcW w:w="465" w:type="dxa"/>
            <w:vMerge/>
            <w:tcBorders>
              <w:left w:val="single" w:sz="6" w:space="0" w:color="000000"/>
              <w:bottom w:val="single" w:sz="6" w:space="0" w:color="000000"/>
              <w:right w:val="single" w:sz="6" w:space="0" w:color="000000"/>
            </w:tcBorders>
            <w:shd w:val="clear" w:color="auto" w:fill="D2D2D2"/>
          </w:tcPr>
          <w:p>
            <w:pPr/>
          </w:p>
        </w:tc>
        <w:tc>
          <w:tcPr>
            <w:tcW w:w="481" w:type="dxa"/>
            <w:vMerge/>
            <w:tcBorders>
              <w:left w:val="single" w:sz="6" w:space="0" w:color="000000"/>
              <w:bottom w:val="single" w:sz="6" w:space="0" w:color="000000"/>
              <w:right w:val="single" w:sz="6" w:space="0" w:color="000000"/>
            </w:tcBorders>
            <w:shd w:val="clear" w:color="auto" w:fill="D2D2D2"/>
          </w:tcPr>
          <w:p>
            <w:pPr/>
          </w:p>
        </w:tc>
        <w:tc>
          <w:tcPr>
            <w:tcW w:w="466" w:type="dxa"/>
            <w:vMerge/>
            <w:tcBorders>
              <w:left w:val="single" w:sz="6" w:space="0" w:color="000000"/>
              <w:bottom w:val="single" w:sz="6" w:space="0" w:color="000000"/>
              <w:right w:val="single" w:sz="6" w:space="0" w:color="000000"/>
            </w:tcBorders>
            <w:shd w:val="clear" w:color="auto" w:fill="D2D2D2"/>
          </w:tcPr>
          <w:p>
            <w:pPr/>
          </w:p>
        </w:tc>
        <w:tc>
          <w:tcPr>
            <w:tcW w:w="585"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585"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158" w:hRule="exact"/>
        </w:trPr>
        <w:tc>
          <w:tcPr>
            <w:tcW w:w="1254" w:type="dxa"/>
            <w:tcBorders>
              <w:top w:val="single" w:sz="6" w:space="0" w:color="000000"/>
              <w:left w:val="single" w:sz="6" w:space="0" w:color="000000"/>
              <w:bottom w:val="nil" w:sz="6" w:space="0" w:color="auto"/>
              <w:right w:val="single" w:sz="6" w:space="0" w:color="000000"/>
            </w:tcBorders>
            <w:shd w:val="clear" w:color="auto" w:fill="D2D2D2"/>
          </w:tcPr>
          <w:p>
            <w:pPr/>
          </w:p>
        </w:tc>
        <w:tc>
          <w:tcPr>
            <w:tcW w:w="481" w:type="dxa"/>
            <w:vMerge w:val="restart"/>
            <w:tcBorders>
              <w:top w:val="single" w:sz="6" w:space="0" w:color="000000"/>
              <w:left w:val="single" w:sz="18" w:space="0" w:color="D2D2D2"/>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418,0</w:t>
            </w:r>
          </w:p>
          <w:p>
            <w:pPr>
              <w:pStyle w:val="TableParagraph"/>
              <w:spacing w:line="240" w:lineRule="auto" w:before="108"/>
              <w:ind w:left="30" w:right="0"/>
              <w:jc w:val="left"/>
              <w:rPr>
                <w:rFonts w:ascii="Times New Roman" w:hAnsi="Times New Roman" w:cs="Times New Roman" w:eastAsia="Times New Roman" w:hint="default"/>
                <w:sz w:val="18"/>
                <w:szCs w:val="18"/>
              </w:rPr>
            </w:pPr>
            <w:r>
              <w:rPr>
                <w:rFonts w:ascii="Times New Roman"/>
                <w:sz w:val="18"/>
              </w:rPr>
              <w:t>44,00</w:t>
            </w:r>
          </w:p>
          <w:p>
            <w:pPr>
              <w:pStyle w:val="TableParagraph"/>
              <w:spacing w:line="240" w:lineRule="auto" w:before="108"/>
              <w:ind w:left="120" w:right="0"/>
              <w:jc w:val="left"/>
              <w:rPr>
                <w:rFonts w:ascii="Times New Roman" w:hAnsi="Times New Roman" w:cs="Times New Roman" w:eastAsia="Times New Roman" w:hint="default"/>
                <w:sz w:val="18"/>
                <w:szCs w:val="18"/>
              </w:rPr>
            </w:pPr>
            <w:r>
              <w:rPr>
                <w:rFonts w:ascii="Times New Roman"/>
                <w:sz w:val="18"/>
              </w:rPr>
              <w:t>0.00</w:t>
            </w:r>
          </w:p>
        </w:tc>
        <w:tc>
          <w:tcPr>
            <w:tcW w:w="465" w:type="dxa"/>
            <w:vMerge w:val="restart"/>
            <w:tcBorders>
              <w:top w:val="single" w:sz="6" w:space="0" w:color="000000"/>
              <w:left w:val="single" w:sz="6" w:space="0" w:color="000000"/>
              <w:right w:val="single" w:sz="6" w:space="0" w:color="000000"/>
            </w:tcBorders>
          </w:tcPr>
          <w:p>
            <w:pPr/>
          </w:p>
        </w:tc>
        <w:tc>
          <w:tcPr>
            <w:tcW w:w="481" w:type="dxa"/>
            <w:vMerge w:val="restart"/>
            <w:tcBorders>
              <w:top w:val="single" w:sz="6" w:space="0" w:color="000000"/>
              <w:left w:val="single" w:sz="6" w:space="0" w:color="000000"/>
              <w:right w:val="single" w:sz="6" w:space="0" w:color="000000"/>
            </w:tcBorders>
          </w:tcPr>
          <w:p>
            <w:pPr/>
          </w:p>
        </w:tc>
        <w:tc>
          <w:tcPr>
            <w:tcW w:w="466"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Style w:val="TableParagraph"/>
              <w:spacing w:line="240" w:lineRule="auto" w:before="87"/>
              <w:ind w:left="44" w:right="0"/>
              <w:jc w:val="left"/>
              <w:rPr>
                <w:rFonts w:ascii="Times New Roman" w:hAnsi="Times New Roman" w:cs="Times New Roman" w:eastAsia="Times New Roman" w:hint="default"/>
                <w:sz w:val="18"/>
                <w:szCs w:val="18"/>
              </w:rPr>
            </w:pPr>
            <w:r>
              <w:rPr>
                <w:rFonts w:ascii="Times New Roman"/>
                <w:sz w:val="18"/>
              </w:rPr>
              <w:t>345,68</w:t>
            </w:r>
          </w:p>
          <w:p>
            <w:pPr>
              <w:pStyle w:val="TableParagraph"/>
              <w:spacing w:line="240" w:lineRule="auto" w:before="108"/>
              <w:ind w:left="89" w:right="0"/>
              <w:jc w:val="left"/>
              <w:rPr>
                <w:rFonts w:ascii="Times New Roman" w:hAnsi="Times New Roman" w:cs="Times New Roman" w:eastAsia="Times New Roman" w:hint="default"/>
                <w:sz w:val="18"/>
                <w:szCs w:val="18"/>
              </w:rPr>
            </w:pPr>
            <w:r>
              <w:rPr>
                <w:rFonts w:ascii="Times New Roman"/>
                <w:sz w:val="18"/>
              </w:rPr>
              <w:t>7,008.</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56</w:t>
            </w: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24" w:space="0" w:color="D2D2D2"/>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2,840,</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303.27</w:t>
            </w:r>
          </w:p>
        </w:tc>
        <w:tc>
          <w:tcPr>
            <w:tcW w:w="571"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Style w:val="TableParagraph"/>
              <w:spacing w:line="240" w:lineRule="auto" w:before="87"/>
              <w:ind w:left="74" w:right="0"/>
              <w:jc w:val="left"/>
              <w:rPr>
                <w:rFonts w:ascii="Times New Roman" w:hAnsi="Times New Roman" w:cs="Times New Roman" w:eastAsia="Times New Roman" w:hint="default"/>
                <w:sz w:val="18"/>
                <w:szCs w:val="18"/>
              </w:rPr>
            </w:pPr>
            <w:r>
              <w:rPr>
                <w:rFonts w:ascii="Times New Roman"/>
                <w:sz w:val="18"/>
              </w:rPr>
              <w:t>111,48</w:t>
            </w:r>
          </w:p>
          <w:p>
            <w:pPr>
              <w:pStyle w:val="TableParagraph"/>
              <w:spacing w:line="240" w:lineRule="auto" w:before="108"/>
              <w:ind w:left="104" w:right="0"/>
              <w:jc w:val="left"/>
              <w:rPr>
                <w:rFonts w:ascii="Times New Roman" w:hAnsi="Times New Roman" w:cs="Times New Roman" w:eastAsia="Times New Roman" w:hint="default"/>
                <w:sz w:val="18"/>
                <w:szCs w:val="18"/>
              </w:rPr>
            </w:pPr>
            <w:r>
              <w:rPr>
                <w:rFonts w:ascii="Times New Roman"/>
                <w:sz w:val="18"/>
              </w:rPr>
              <w:t>1,562.</w:t>
            </w:r>
          </w:p>
          <w:p>
            <w:pPr>
              <w:pStyle w:val="TableParagraph"/>
              <w:spacing w:line="240" w:lineRule="auto" w:before="108"/>
              <w:ind w:left="374" w:right="0"/>
              <w:jc w:val="left"/>
              <w:rPr>
                <w:rFonts w:ascii="Times New Roman" w:hAnsi="Times New Roman" w:cs="Times New Roman" w:eastAsia="Times New Roman" w:hint="default"/>
                <w:sz w:val="18"/>
                <w:szCs w:val="18"/>
              </w:rPr>
            </w:pPr>
            <w:r>
              <w:rPr>
                <w:rFonts w:ascii="Times New Roman"/>
                <w:sz w:val="18"/>
              </w:rPr>
              <w:t>48</w:t>
            </w:r>
          </w:p>
        </w:tc>
        <w:tc>
          <w:tcPr>
            <w:tcW w:w="586" w:type="dxa"/>
            <w:vMerge w:val="restart"/>
            <w:tcBorders>
              <w:top w:val="single" w:sz="24" w:space="0" w:color="D2D2D2"/>
              <w:left w:val="single" w:sz="6" w:space="0" w:color="000000"/>
              <w:right w:val="single" w:sz="6" w:space="0" w:color="000000"/>
            </w:tcBorders>
          </w:tcPr>
          <w:p>
            <w:pPr/>
          </w:p>
        </w:tc>
        <w:tc>
          <w:tcPr>
            <w:tcW w:w="586" w:type="dxa"/>
            <w:vMerge w:val="restart"/>
            <w:tcBorders>
              <w:top w:val="single" w:sz="24" w:space="0" w:color="D2D2D2"/>
              <w:left w:val="single" w:sz="6" w:space="0" w:color="000000"/>
              <w:right w:val="single" w:sz="6" w:space="0" w:color="000000"/>
            </w:tcBorders>
          </w:tcPr>
          <w:p>
            <w:pPr>
              <w:pStyle w:val="TableParagraph"/>
              <w:spacing w:line="240" w:lineRule="auto" w:before="65"/>
              <w:ind w:left="60" w:right="0"/>
              <w:jc w:val="left"/>
              <w:rPr>
                <w:rFonts w:ascii="Times New Roman" w:hAnsi="Times New Roman" w:cs="Times New Roman" w:eastAsia="Times New Roman" w:hint="default"/>
                <w:sz w:val="18"/>
                <w:szCs w:val="18"/>
              </w:rPr>
            </w:pPr>
            <w:r>
              <w:rPr>
                <w:rFonts w:ascii="Times New Roman"/>
                <w:sz w:val="18"/>
              </w:rPr>
              <w:t>873,20</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9,831.</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44</w:t>
            </w: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87"/>
              <w:ind w:left="90" w:right="0"/>
              <w:jc w:val="center"/>
              <w:rPr>
                <w:rFonts w:ascii="Times New Roman" w:hAnsi="Times New Roman" w:cs="Times New Roman" w:eastAsia="Times New Roman" w:hint="default"/>
                <w:sz w:val="18"/>
                <w:szCs w:val="18"/>
              </w:rPr>
            </w:pPr>
            <w:r>
              <w:rPr>
                <w:rFonts w:ascii="Times New Roman"/>
                <w:sz w:val="18"/>
              </w:rPr>
              <w:t>1,751,</w:t>
            </w:r>
          </w:p>
          <w:p>
            <w:pPr>
              <w:pStyle w:val="TableParagraph"/>
              <w:spacing w:line="240" w:lineRule="auto" w:before="108"/>
              <w:ind w:left="45" w:right="0"/>
              <w:jc w:val="center"/>
              <w:rPr>
                <w:rFonts w:ascii="Times New Roman" w:hAnsi="Times New Roman" w:cs="Times New Roman" w:eastAsia="Times New Roman" w:hint="default"/>
                <w:sz w:val="18"/>
                <w:szCs w:val="18"/>
              </w:rPr>
            </w:pPr>
            <w:r>
              <w:rPr>
                <w:rFonts w:ascii="Times New Roman"/>
                <w:sz w:val="18"/>
              </w:rPr>
              <w:t>262,70</w:t>
            </w:r>
          </w:p>
          <w:p>
            <w:pPr>
              <w:pStyle w:val="TableParagraph"/>
              <w:spacing w:line="240" w:lineRule="auto" w:before="108"/>
              <w:ind w:left="225" w:right="0"/>
              <w:jc w:val="center"/>
              <w:rPr>
                <w:rFonts w:ascii="Times New Roman" w:hAnsi="Times New Roman" w:cs="Times New Roman" w:eastAsia="Times New Roman" w:hint="default"/>
                <w:sz w:val="18"/>
                <w:szCs w:val="18"/>
              </w:rPr>
            </w:pPr>
            <w:r>
              <w:rPr>
                <w:rFonts w:ascii="Times New Roman"/>
                <w:sz w:val="18"/>
              </w:rPr>
              <w:t>5.75</w:t>
            </w: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10,599</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,611.5</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3</w:t>
            </w:r>
          </w:p>
        </w:tc>
        <w:tc>
          <w:tcPr>
            <w:tcW w:w="586" w:type="dxa"/>
            <w:vMerge w:val="restart"/>
            <w:tcBorders>
              <w:top w:val="single" w:sz="42" w:space="0" w:color="D2D2D2"/>
              <w:left w:val="single" w:sz="6" w:space="0" w:color="000000"/>
              <w:right w:val="single" w:sz="6" w:space="0" w:color="000000"/>
            </w:tcBorders>
          </w:tcPr>
          <w:p>
            <w:pPr>
              <w:pStyle w:val="TableParagraph"/>
              <w:spacing w:line="240" w:lineRule="auto" w:before="42"/>
              <w:ind w:left="60" w:right="0"/>
              <w:jc w:val="center"/>
              <w:rPr>
                <w:rFonts w:ascii="Times New Roman" w:hAnsi="Times New Roman" w:cs="Times New Roman" w:eastAsia="Times New Roman" w:hint="default"/>
                <w:sz w:val="18"/>
                <w:szCs w:val="18"/>
              </w:rPr>
            </w:pPr>
            <w:r>
              <w:rPr>
                <w:rFonts w:ascii="Times New Roman"/>
                <w:sz w:val="18"/>
              </w:rPr>
              <w:t>1,761,</w:t>
            </w:r>
          </w:p>
          <w:p>
            <w:pPr>
              <w:pStyle w:val="TableParagraph"/>
              <w:spacing w:line="240" w:lineRule="auto" w:before="108"/>
              <w:ind w:left="14" w:right="0"/>
              <w:jc w:val="center"/>
              <w:rPr>
                <w:rFonts w:ascii="Times New Roman" w:hAnsi="Times New Roman" w:cs="Times New Roman" w:eastAsia="Times New Roman" w:hint="default"/>
                <w:sz w:val="18"/>
                <w:szCs w:val="18"/>
              </w:rPr>
            </w:pPr>
            <w:r>
              <w:rPr>
                <w:rFonts w:ascii="Times New Roman"/>
                <w:sz w:val="18"/>
              </w:rPr>
              <w:t>862,31</w:t>
            </w:r>
          </w:p>
          <w:p>
            <w:pPr>
              <w:pStyle w:val="TableParagraph"/>
              <w:spacing w:line="240" w:lineRule="auto" w:before="108"/>
              <w:ind w:left="195" w:right="0"/>
              <w:jc w:val="center"/>
              <w:rPr>
                <w:rFonts w:ascii="Times New Roman" w:hAnsi="Times New Roman" w:cs="Times New Roman" w:eastAsia="Times New Roman" w:hint="default"/>
                <w:sz w:val="18"/>
                <w:szCs w:val="18"/>
              </w:rPr>
            </w:pPr>
            <w:r>
              <w:rPr>
                <w:rFonts w:ascii="Times New Roman"/>
                <w:sz w:val="18"/>
              </w:rPr>
              <w:t>7.28</w:t>
            </w:r>
          </w:p>
        </w:tc>
      </w:tr>
      <w:tr>
        <w:trPr>
          <w:trHeight w:val="705" w:hRule="exact"/>
        </w:trPr>
        <w:tc>
          <w:tcPr>
            <w:tcW w:w="125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07" w:lineRule="auto" w:before="44"/>
              <w:ind w:left="7" w:right="29"/>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481" w:type="dxa"/>
            <w:vMerge/>
            <w:tcBorders>
              <w:left w:val="single" w:sz="18" w:space="0" w:color="D2D2D2"/>
              <w:right w:val="single" w:sz="6" w:space="0" w:color="000000"/>
            </w:tcBorders>
          </w:tcPr>
          <w:p>
            <w:pPr/>
          </w:p>
        </w:tc>
        <w:tc>
          <w:tcPr>
            <w:tcW w:w="465" w:type="dxa"/>
            <w:vMerge/>
            <w:tcBorders>
              <w:left w:val="single" w:sz="6" w:space="0" w:color="000000"/>
              <w:right w:val="single" w:sz="6" w:space="0" w:color="000000"/>
            </w:tcBorders>
          </w:tcPr>
          <w:p>
            <w:pPr/>
          </w:p>
        </w:tc>
        <w:tc>
          <w:tcPr>
            <w:tcW w:w="481" w:type="dxa"/>
            <w:vMerge/>
            <w:tcBorders>
              <w:left w:val="single" w:sz="6" w:space="0" w:color="000000"/>
              <w:right w:val="single" w:sz="6" w:space="0" w:color="000000"/>
            </w:tcBorders>
          </w:tcPr>
          <w:p>
            <w:pPr/>
          </w:p>
        </w:tc>
        <w:tc>
          <w:tcPr>
            <w:tcW w:w="466"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71"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r>
      <w:tr>
        <w:trPr>
          <w:trHeight w:val="158" w:hRule="exact"/>
        </w:trPr>
        <w:tc>
          <w:tcPr>
            <w:tcW w:w="1254" w:type="dxa"/>
            <w:tcBorders>
              <w:top w:val="nil" w:sz="6" w:space="0" w:color="auto"/>
              <w:left w:val="single" w:sz="6" w:space="0" w:color="000000"/>
              <w:bottom w:val="single" w:sz="6" w:space="0" w:color="000000"/>
              <w:right w:val="single" w:sz="6" w:space="0" w:color="000000"/>
            </w:tcBorders>
            <w:shd w:val="clear" w:color="auto" w:fill="D2D2D2"/>
          </w:tcPr>
          <w:p>
            <w:pPr/>
          </w:p>
        </w:tc>
        <w:tc>
          <w:tcPr>
            <w:tcW w:w="481" w:type="dxa"/>
            <w:vMerge/>
            <w:tcBorders>
              <w:left w:val="single" w:sz="18" w:space="0" w:color="D2D2D2"/>
              <w:bottom w:val="single" w:sz="6" w:space="0" w:color="000000"/>
              <w:right w:val="single" w:sz="6" w:space="0" w:color="000000"/>
            </w:tcBorders>
          </w:tcPr>
          <w:p>
            <w:pPr/>
          </w:p>
        </w:tc>
        <w:tc>
          <w:tcPr>
            <w:tcW w:w="465" w:type="dxa"/>
            <w:vMerge/>
            <w:tcBorders>
              <w:left w:val="single" w:sz="6" w:space="0" w:color="000000"/>
              <w:bottom w:val="single" w:sz="6" w:space="0" w:color="000000"/>
              <w:right w:val="single" w:sz="6" w:space="0" w:color="000000"/>
            </w:tcBorders>
          </w:tcPr>
          <w:p>
            <w:pPr/>
          </w:p>
        </w:tc>
        <w:tc>
          <w:tcPr>
            <w:tcW w:w="481" w:type="dxa"/>
            <w:vMerge/>
            <w:tcBorders>
              <w:left w:val="single" w:sz="6" w:space="0" w:color="000000"/>
              <w:bottom w:val="single" w:sz="6" w:space="0" w:color="000000"/>
              <w:right w:val="single" w:sz="6" w:space="0" w:color="000000"/>
            </w:tcBorders>
          </w:tcPr>
          <w:p>
            <w:pPr/>
          </w:p>
        </w:tc>
        <w:tc>
          <w:tcPr>
            <w:tcW w:w="466"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71"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r>
      <w:tr>
        <w:trPr>
          <w:trHeight w:val="721" w:hRule="exact"/>
        </w:trPr>
        <w:tc>
          <w:tcPr>
            <w:tcW w:w="12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28" w:firstLine="360"/>
              <w:jc w:val="left"/>
              <w:rPr>
                <w:rFonts w:ascii="宋体" w:hAnsi="宋体" w:cs="宋体" w:eastAsia="宋体" w:hint="default"/>
                <w:sz w:val="18"/>
                <w:szCs w:val="18"/>
              </w:rPr>
            </w:pPr>
            <w:r>
              <w:rPr>
                <w:rFonts w:ascii="宋体" w:hAnsi="宋体" w:cs="宋体" w:eastAsia="宋体" w:hint="default"/>
                <w:spacing w:val="-12"/>
                <w:sz w:val="18"/>
                <w:szCs w:val="18"/>
              </w:rPr>
              <w:t>加：会计政</w:t>
            </w:r>
            <w:r>
              <w:rPr>
                <w:rFonts w:ascii="宋体" w:hAnsi="宋体" w:cs="宋体" w:eastAsia="宋体" w:hint="default"/>
                <w:sz w:val="18"/>
                <w:szCs w:val="18"/>
              </w:rPr>
              <w:t> 策变更</w:t>
            </w:r>
          </w:p>
        </w:tc>
        <w:tc>
          <w:tcPr>
            <w:tcW w:w="481" w:type="dxa"/>
            <w:tcBorders>
              <w:top w:val="single" w:sz="6" w:space="0" w:color="000000"/>
              <w:left w:val="single" w:sz="18" w:space="0" w:color="D2D2D2"/>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-3,636,</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364.00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7,016,</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012.68</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3,379,</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648.68</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3,379,</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648.68</w:t>
            </w:r>
          </w:p>
        </w:tc>
      </w:tr>
      <w:tr>
        <w:trPr>
          <w:trHeight w:val="706" w:hRule="exact"/>
        </w:trPr>
        <w:tc>
          <w:tcPr>
            <w:tcW w:w="12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28"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9"/>
              <w:ind w:left="7"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81" w:type="dxa"/>
            <w:tcBorders>
              <w:top w:val="single" w:sz="6" w:space="0" w:color="000000"/>
              <w:left w:val="single" w:sz="18" w:space="0" w:color="D2D2D2"/>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35" w:hRule="exact"/>
        </w:trPr>
        <w:tc>
          <w:tcPr>
            <w:tcW w:w="12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7" w:right="148" w:firstLine="721"/>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81" w:type="dxa"/>
            <w:tcBorders>
              <w:top w:val="single" w:sz="6" w:space="0" w:color="000000"/>
              <w:left w:val="single" w:sz="18" w:space="0" w:color="D2D2D2"/>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1" w:type="dxa"/>
            <w:tcBorders>
              <w:top w:val="single" w:sz="6" w:space="0" w:color="000000"/>
              <w:left w:val="single" w:sz="18" w:space="0" w:color="D2D2D2"/>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58" w:hRule="exact"/>
        </w:trPr>
        <w:tc>
          <w:tcPr>
            <w:tcW w:w="1254" w:type="dxa"/>
            <w:tcBorders>
              <w:top w:val="single" w:sz="6" w:space="0" w:color="000000"/>
              <w:left w:val="single" w:sz="6" w:space="0" w:color="000000"/>
              <w:bottom w:val="nil" w:sz="6" w:space="0" w:color="auto"/>
              <w:right w:val="single" w:sz="6" w:space="0" w:color="000000"/>
            </w:tcBorders>
            <w:shd w:val="clear" w:color="auto" w:fill="D2D2D2"/>
          </w:tcPr>
          <w:p>
            <w:pPr/>
          </w:p>
        </w:tc>
        <w:tc>
          <w:tcPr>
            <w:tcW w:w="481" w:type="dxa"/>
            <w:vMerge w:val="restart"/>
            <w:tcBorders>
              <w:top w:val="single" w:sz="6" w:space="0" w:color="000000"/>
              <w:left w:val="single" w:sz="18" w:space="0" w:color="D2D2D2"/>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418,0</w:t>
            </w:r>
          </w:p>
          <w:p>
            <w:pPr>
              <w:pStyle w:val="TableParagraph"/>
              <w:spacing w:line="240" w:lineRule="auto" w:before="108"/>
              <w:ind w:left="30" w:right="0"/>
              <w:jc w:val="left"/>
              <w:rPr>
                <w:rFonts w:ascii="Times New Roman" w:hAnsi="Times New Roman" w:cs="Times New Roman" w:eastAsia="Times New Roman" w:hint="default"/>
                <w:sz w:val="18"/>
                <w:szCs w:val="18"/>
              </w:rPr>
            </w:pPr>
            <w:r>
              <w:rPr>
                <w:rFonts w:ascii="Times New Roman"/>
                <w:sz w:val="18"/>
              </w:rPr>
              <w:t>44,00</w:t>
            </w:r>
          </w:p>
          <w:p>
            <w:pPr>
              <w:pStyle w:val="TableParagraph"/>
              <w:spacing w:line="240" w:lineRule="auto" w:before="108"/>
              <w:ind w:left="120" w:right="0"/>
              <w:jc w:val="left"/>
              <w:rPr>
                <w:rFonts w:ascii="Times New Roman" w:hAnsi="Times New Roman" w:cs="Times New Roman" w:eastAsia="Times New Roman" w:hint="default"/>
                <w:sz w:val="18"/>
                <w:szCs w:val="18"/>
              </w:rPr>
            </w:pPr>
            <w:r>
              <w:rPr>
                <w:rFonts w:ascii="Times New Roman"/>
                <w:sz w:val="18"/>
              </w:rPr>
              <w:t>0.00</w:t>
            </w:r>
          </w:p>
        </w:tc>
        <w:tc>
          <w:tcPr>
            <w:tcW w:w="465" w:type="dxa"/>
            <w:vMerge w:val="restart"/>
            <w:tcBorders>
              <w:top w:val="single" w:sz="6" w:space="0" w:color="000000"/>
              <w:left w:val="single" w:sz="6" w:space="0" w:color="000000"/>
              <w:right w:val="single" w:sz="6" w:space="0" w:color="000000"/>
            </w:tcBorders>
          </w:tcPr>
          <w:p>
            <w:pPr/>
          </w:p>
        </w:tc>
        <w:tc>
          <w:tcPr>
            <w:tcW w:w="481" w:type="dxa"/>
            <w:vMerge w:val="restart"/>
            <w:tcBorders>
              <w:top w:val="single" w:sz="6" w:space="0" w:color="000000"/>
              <w:left w:val="single" w:sz="6" w:space="0" w:color="000000"/>
              <w:right w:val="single" w:sz="6" w:space="0" w:color="000000"/>
            </w:tcBorders>
          </w:tcPr>
          <w:p>
            <w:pPr/>
          </w:p>
        </w:tc>
        <w:tc>
          <w:tcPr>
            <w:tcW w:w="466"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Style w:val="TableParagraph"/>
              <w:spacing w:line="240" w:lineRule="auto" w:before="87"/>
              <w:ind w:left="44" w:right="0"/>
              <w:jc w:val="left"/>
              <w:rPr>
                <w:rFonts w:ascii="Times New Roman" w:hAnsi="Times New Roman" w:cs="Times New Roman" w:eastAsia="Times New Roman" w:hint="default"/>
                <w:sz w:val="18"/>
                <w:szCs w:val="18"/>
              </w:rPr>
            </w:pPr>
            <w:r>
              <w:rPr>
                <w:rFonts w:ascii="Times New Roman"/>
                <w:sz w:val="18"/>
              </w:rPr>
              <w:t>345,68</w:t>
            </w:r>
          </w:p>
          <w:p>
            <w:pPr>
              <w:pStyle w:val="TableParagraph"/>
              <w:spacing w:line="240" w:lineRule="auto" w:before="108"/>
              <w:ind w:left="89" w:right="0"/>
              <w:jc w:val="left"/>
              <w:rPr>
                <w:rFonts w:ascii="Times New Roman" w:hAnsi="Times New Roman" w:cs="Times New Roman" w:eastAsia="Times New Roman" w:hint="default"/>
                <w:sz w:val="18"/>
                <w:szCs w:val="18"/>
              </w:rPr>
            </w:pPr>
            <w:r>
              <w:rPr>
                <w:rFonts w:ascii="Times New Roman"/>
                <w:sz w:val="18"/>
              </w:rPr>
              <w:t>7,008.</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56</w:t>
            </w: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-796,0</w:t>
            </w:r>
          </w:p>
          <w:p>
            <w:pPr>
              <w:pStyle w:val="TableParagraph"/>
              <w:spacing w:line="240" w:lineRule="auto" w:before="93"/>
              <w:ind w:left="135" w:right="0"/>
              <w:jc w:val="left"/>
              <w:rPr>
                <w:rFonts w:ascii="Times New Roman" w:hAnsi="Times New Roman" w:cs="Times New Roman" w:eastAsia="Times New Roman" w:hint="default"/>
                <w:sz w:val="18"/>
                <w:szCs w:val="18"/>
              </w:rPr>
            </w:pPr>
            <w:r>
              <w:rPr>
                <w:rFonts w:ascii="Times New Roman"/>
                <w:sz w:val="18"/>
              </w:rPr>
              <w:t>60.73</w:t>
            </w:r>
          </w:p>
        </w:tc>
        <w:tc>
          <w:tcPr>
            <w:tcW w:w="571"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Style w:val="TableParagraph"/>
              <w:spacing w:line="240" w:lineRule="auto" w:before="87"/>
              <w:ind w:left="74" w:right="0"/>
              <w:jc w:val="left"/>
              <w:rPr>
                <w:rFonts w:ascii="Times New Roman" w:hAnsi="Times New Roman" w:cs="Times New Roman" w:eastAsia="Times New Roman" w:hint="default"/>
                <w:sz w:val="18"/>
                <w:szCs w:val="18"/>
              </w:rPr>
            </w:pPr>
            <w:r>
              <w:rPr>
                <w:rFonts w:ascii="Times New Roman"/>
                <w:sz w:val="18"/>
              </w:rPr>
              <w:t>111,48</w:t>
            </w:r>
          </w:p>
          <w:p>
            <w:pPr>
              <w:pStyle w:val="TableParagraph"/>
              <w:spacing w:line="240" w:lineRule="auto" w:before="108"/>
              <w:ind w:left="104" w:right="0"/>
              <w:jc w:val="left"/>
              <w:rPr>
                <w:rFonts w:ascii="Times New Roman" w:hAnsi="Times New Roman" w:cs="Times New Roman" w:eastAsia="Times New Roman" w:hint="default"/>
                <w:sz w:val="18"/>
                <w:szCs w:val="18"/>
              </w:rPr>
            </w:pPr>
            <w:r>
              <w:rPr>
                <w:rFonts w:ascii="Times New Roman"/>
                <w:sz w:val="18"/>
              </w:rPr>
              <w:t>1,562.</w:t>
            </w:r>
          </w:p>
          <w:p>
            <w:pPr>
              <w:pStyle w:val="TableParagraph"/>
              <w:spacing w:line="240" w:lineRule="auto" w:before="108"/>
              <w:ind w:left="374" w:right="0"/>
              <w:jc w:val="left"/>
              <w:rPr>
                <w:rFonts w:ascii="Times New Roman" w:hAnsi="Times New Roman" w:cs="Times New Roman" w:eastAsia="Times New Roman" w:hint="default"/>
                <w:sz w:val="18"/>
                <w:szCs w:val="18"/>
              </w:rPr>
            </w:pPr>
            <w:r>
              <w:rPr>
                <w:rFonts w:ascii="Times New Roman"/>
                <w:sz w:val="18"/>
              </w:rPr>
              <w:t>48</w:t>
            </w: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880,22</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5,844.</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12</w:t>
            </w: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87"/>
              <w:ind w:left="90" w:right="0"/>
              <w:jc w:val="center"/>
              <w:rPr>
                <w:rFonts w:ascii="Times New Roman" w:hAnsi="Times New Roman" w:cs="Times New Roman" w:eastAsia="Times New Roman" w:hint="default"/>
                <w:sz w:val="18"/>
                <w:szCs w:val="18"/>
              </w:rPr>
            </w:pPr>
            <w:r>
              <w:rPr>
                <w:rFonts w:ascii="Times New Roman"/>
                <w:sz w:val="18"/>
              </w:rPr>
              <w:t>1,754,</w:t>
            </w:r>
          </w:p>
          <w:p>
            <w:pPr>
              <w:pStyle w:val="TableParagraph"/>
              <w:spacing w:line="240" w:lineRule="auto" w:before="108"/>
              <w:ind w:left="45" w:right="0"/>
              <w:jc w:val="center"/>
              <w:rPr>
                <w:rFonts w:ascii="Times New Roman" w:hAnsi="Times New Roman" w:cs="Times New Roman" w:eastAsia="Times New Roman" w:hint="default"/>
                <w:sz w:val="18"/>
                <w:szCs w:val="18"/>
              </w:rPr>
            </w:pPr>
            <w:r>
              <w:rPr>
                <w:rFonts w:ascii="Times New Roman"/>
                <w:sz w:val="18"/>
              </w:rPr>
              <w:t>642,35</w:t>
            </w:r>
          </w:p>
          <w:p>
            <w:pPr>
              <w:pStyle w:val="TableParagraph"/>
              <w:spacing w:line="240" w:lineRule="auto" w:before="108"/>
              <w:ind w:left="225" w:right="0"/>
              <w:jc w:val="center"/>
              <w:rPr>
                <w:rFonts w:ascii="Times New Roman" w:hAnsi="Times New Roman" w:cs="Times New Roman" w:eastAsia="Times New Roman" w:hint="default"/>
                <w:sz w:val="18"/>
                <w:szCs w:val="18"/>
              </w:rPr>
            </w:pPr>
            <w:r>
              <w:rPr>
                <w:rFonts w:ascii="Times New Roman"/>
                <w:sz w:val="18"/>
              </w:rPr>
              <w:t>4.43</w:t>
            </w: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10,599</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,611.5</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3</w:t>
            </w: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87"/>
              <w:ind w:left="60" w:right="0"/>
              <w:jc w:val="center"/>
              <w:rPr>
                <w:rFonts w:ascii="Times New Roman" w:hAnsi="Times New Roman" w:cs="Times New Roman" w:eastAsia="Times New Roman" w:hint="default"/>
                <w:sz w:val="18"/>
                <w:szCs w:val="18"/>
              </w:rPr>
            </w:pPr>
            <w:r>
              <w:rPr>
                <w:rFonts w:ascii="Times New Roman"/>
                <w:sz w:val="18"/>
              </w:rPr>
              <w:t>1,765,</w:t>
            </w:r>
          </w:p>
          <w:p>
            <w:pPr>
              <w:pStyle w:val="TableParagraph"/>
              <w:spacing w:line="240" w:lineRule="auto" w:before="108"/>
              <w:ind w:left="14" w:right="0"/>
              <w:jc w:val="center"/>
              <w:rPr>
                <w:rFonts w:ascii="Times New Roman" w:hAnsi="Times New Roman" w:cs="Times New Roman" w:eastAsia="Times New Roman" w:hint="default"/>
                <w:sz w:val="18"/>
                <w:szCs w:val="18"/>
              </w:rPr>
            </w:pPr>
            <w:r>
              <w:rPr>
                <w:rFonts w:ascii="Times New Roman"/>
                <w:sz w:val="18"/>
              </w:rPr>
              <w:t>241,96</w:t>
            </w:r>
          </w:p>
          <w:p>
            <w:pPr>
              <w:pStyle w:val="TableParagraph"/>
              <w:spacing w:line="240" w:lineRule="auto" w:before="108"/>
              <w:ind w:left="195" w:right="0"/>
              <w:jc w:val="center"/>
              <w:rPr>
                <w:rFonts w:ascii="Times New Roman" w:hAnsi="Times New Roman" w:cs="Times New Roman" w:eastAsia="Times New Roman" w:hint="default"/>
                <w:sz w:val="18"/>
                <w:szCs w:val="18"/>
              </w:rPr>
            </w:pPr>
            <w:r>
              <w:rPr>
                <w:rFonts w:ascii="Times New Roman"/>
                <w:sz w:val="18"/>
              </w:rPr>
              <w:t>5.96</w:t>
            </w:r>
          </w:p>
        </w:tc>
      </w:tr>
      <w:tr>
        <w:trPr>
          <w:trHeight w:val="706" w:hRule="exact"/>
        </w:trPr>
        <w:tc>
          <w:tcPr>
            <w:tcW w:w="125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04" w:lineRule="auto" w:before="45"/>
              <w:ind w:left="7" w:right="29"/>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481" w:type="dxa"/>
            <w:vMerge/>
            <w:tcBorders>
              <w:left w:val="single" w:sz="18" w:space="0" w:color="D2D2D2"/>
              <w:right w:val="single" w:sz="6" w:space="0" w:color="000000"/>
            </w:tcBorders>
          </w:tcPr>
          <w:p>
            <w:pPr/>
          </w:p>
        </w:tc>
        <w:tc>
          <w:tcPr>
            <w:tcW w:w="465" w:type="dxa"/>
            <w:vMerge/>
            <w:tcBorders>
              <w:left w:val="single" w:sz="6" w:space="0" w:color="000000"/>
              <w:right w:val="single" w:sz="6" w:space="0" w:color="000000"/>
            </w:tcBorders>
          </w:tcPr>
          <w:p>
            <w:pPr/>
          </w:p>
        </w:tc>
        <w:tc>
          <w:tcPr>
            <w:tcW w:w="481" w:type="dxa"/>
            <w:vMerge/>
            <w:tcBorders>
              <w:left w:val="single" w:sz="6" w:space="0" w:color="000000"/>
              <w:right w:val="single" w:sz="6" w:space="0" w:color="000000"/>
            </w:tcBorders>
          </w:tcPr>
          <w:p>
            <w:pPr/>
          </w:p>
        </w:tc>
        <w:tc>
          <w:tcPr>
            <w:tcW w:w="466"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71"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r>
      <w:tr>
        <w:trPr>
          <w:trHeight w:val="157" w:hRule="exact"/>
        </w:trPr>
        <w:tc>
          <w:tcPr>
            <w:tcW w:w="1254" w:type="dxa"/>
            <w:tcBorders>
              <w:top w:val="nil" w:sz="6" w:space="0" w:color="auto"/>
              <w:left w:val="single" w:sz="6" w:space="0" w:color="000000"/>
              <w:bottom w:val="single" w:sz="6" w:space="0" w:color="000000"/>
              <w:right w:val="single" w:sz="6" w:space="0" w:color="000000"/>
            </w:tcBorders>
            <w:shd w:val="clear" w:color="auto" w:fill="D2D2D2"/>
          </w:tcPr>
          <w:p>
            <w:pPr/>
          </w:p>
        </w:tc>
        <w:tc>
          <w:tcPr>
            <w:tcW w:w="481" w:type="dxa"/>
            <w:vMerge/>
            <w:tcBorders>
              <w:left w:val="single" w:sz="18" w:space="0" w:color="D2D2D2"/>
              <w:bottom w:val="single" w:sz="6" w:space="0" w:color="000000"/>
              <w:right w:val="single" w:sz="6" w:space="0" w:color="000000"/>
            </w:tcBorders>
          </w:tcPr>
          <w:p>
            <w:pPr/>
          </w:p>
        </w:tc>
        <w:tc>
          <w:tcPr>
            <w:tcW w:w="465" w:type="dxa"/>
            <w:vMerge/>
            <w:tcBorders>
              <w:left w:val="single" w:sz="6" w:space="0" w:color="000000"/>
              <w:bottom w:val="single" w:sz="6" w:space="0" w:color="000000"/>
              <w:right w:val="single" w:sz="6" w:space="0" w:color="000000"/>
            </w:tcBorders>
          </w:tcPr>
          <w:p>
            <w:pPr/>
          </w:p>
        </w:tc>
        <w:tc>
          <w:tcPr>
            <w:tcW w:w="481" w:type="dxa"/>
            <w:vMerge/>
            <w:tcBorders>
              <w:left w:val="single" w:sz="6" w:space="0" w:color="000000"/>
              <w:bottom w:val="single" w:sz="6" w:space="0" w:color="000000"/>
              <w:right w:val="single" w:sz="6" w:space="0" w:color="000000"/>
            </w:tcBorders>
          </w:tcPr>
          <w:p>
            <w:pPr/>
          </w:p>
        </w:tc>
        <w:tc>
          <w:tcPr>
            <w:tcW w:w="466"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71"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r>
      <w:tr>
        <w:trPr>
          <w:trHeight w:val="1021" w:hRule="exact"/>
        </w:trPr>
        <w:tc>
          <w:tcPr>
            <w:tcW w:w="12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29"/>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81" w:type="dxa"/>
            <w:tcBorders>
              <w:top w:val="single" w:sz="6" w:space="0" w:color="000000"/>
              <w:left w:val="single" w:sz="18" w:space="0" w:color="D2D2D2"/>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8,806,</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777.07</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3,446,</w:t>
            </w:r>
          </w:p>
          <w:p>
            <w:pPr>
              <w:pStyle w:val="TableParagraph"/>
              <w:spacing w:line="240" w:lineRule="auto" w:before="108"/>
              <w:ind w:left="59" w:right="0"/>
              <w:jc w:val="left"/>
              <w:rPr>
                <w:rFonts w:ascii="Times New Roman" w:hAnsi="Times New Roman" w:cs="Times New Roman" w:eastAsia="Times New Roman" w:hint="default"/>
                <w:sz w:val="18"/>
                <w:szCs w:val="18"/>
              </w:rPr>
            </w:pPr>
            <w:r>
              <w:rPr>
                <w:rFonts w:ascii="Times New Roman"/>
                <w:sz w:val="18"/>
              </w:rPr>
              <w:t>451.04</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67,246</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,407.1</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5</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79,499</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,635.2</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6</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2,533,</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682.21</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82,033</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,317.4</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7</w:t>
            </w:r>
          </w:p>
        </w:tc>
      </w:tr>
      <w:tr>
        <w:trPr>
          <w:trHeight w:val="157" w:hRule="exact"/>
        </w:trPr>
        <w:tc>
          <w:tcPr>
            <w:tcW w:w="1254" w:type="dxa"/>
            <w:tcBorders>
              <w:top w:val="single" w:sz="6" w:space="0" w:color="000000"/>
              <w:left w:val="single" w:sz="6" w:space="0" w:color="000000"/>
              <w:bottom w:val="nil" w:sz="6" w:space="0" w:color="auto"/>
              <w:right w:val="single" w:sz="6" w:space="0" w:color="000000"/>
            </w:tcBorders>
            <w:shd w:val="clear" w:color="auto" w:fill="D2D2D2"/>
          </w:tcPr>
          <w:p>
            <w:pPr/>
          </w:p>
        </w:tc>
        <w:tc>
          <w:tcPr>
            <w:tcW w:w="481" w:type="dxa"/>
            <w:vMerge w:val="restart"/>
            <w:tcBorders>
              <w:top w:val="single" w:sz="6" w:space="0" w:color="000000"/>
              <w:left w:val="single" w:sz="12" w:space="0" w:color="D2D2D2"/>
              <w:right w:val="single" w:sz="6" w:space="0" w:color="000000"/>
            </w:tcBorders>
          </w:tcPr>
          <w:p>
            <w:pPr/>
          </w:p>
        </w:tc>
        <w:tc>
          <w:tcPr>
            <w:tcW w:w="465" w:type="dxa"/>
            <w:vMerge w:val="restart"/>
            <w:tcBorders>
              <w:top w:val="single" w:sz="6" w:space="0" w:color="000000"/>
              <w:left w:val="single" w:sz="6" w:space="0" w:color="000000"/>
              <w:right w:val="single" w:sz="6" w:space="0" w:color="000000"/>
            </w:tcBorders>
          </w:tcPr>
          <w:p>
            <w:pPr/>
          </w:p>
        </w:tc>
        <w:tc>
          <w:tcPr>
            <w:tcW w:w="481" w:type="dxa"/>
            <w:vMerge w:val="restart"/>
            <w:tcBorders>
              <w:top w:val="single" w:sz="6" w:space="0" w:color="000000"/>
              <w:left w:val="single" w:sz="6" w:space="0" w:color="000000"/>
              <w:right w:val="single" w:sz="6" w:space="0" w:color="000000"/>
            </w:tcBorders>
          </w:tcPr>
          <w:p>
            <w:pPr/>
          </w:p>
        </w:tc>
        <w:tc>
          <w:tcPr>
            <w:tcW w:w="466"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10,167</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,574.1</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3</w:t>
            </w:r>
          </w:p>
        </w:tc>
        <w:tc>
          <w:tcPr>
            <w:tcW w:w="571"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90,234</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,261.1</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w:t>
            </w: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101"/>
              <w:ind w:left="60" w:right="0"/>
              <w:jc w:val="left"/>
              <w:rPr>
                <w:rFonts w:ascii="Times New Roman" w:hAnsi="Times New Roman" w:cs="Times New Roman" w:eastAsia="Times New Roman" w:hint="default"/>
                <w:sz w:val="18"/>
                <w:szCs w:val="18"/>
              </w:rPr>
            </w:pPr>
            <w:r>
              <w:rPr>
                <w:rFonts w:ascii="Times New Roman"/>
                <w:sz w:val="18"/>
              </w:rPr>
              <w:t>100,40</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1,835.</w:t>
            </w:r>
          </w:p>
          <w:p>
            <w:pPr>
              <w:pStyle w:val="TableParagraph"/>
              <w:spacing w:line="240" w:lineRule="auto" w:before="93"/>
              <w:ind w:left="375" w:right="0"/>
              <w:jc w:val="left"/>
              <w:rPr>
                <w:rFonts w:ascii="Times New Roman" w:hAnsi="Times New Roman" w:cs="Times New Roman" w:eastAsia="Times New Roman" w:hint="default"/>
                <w:sz w:val="18"/>
                <w:szCs w:val="18"/>
              </w:rPr>
            </w:pPr>
            <w:r>
              <w:rPr>
                <w:rFonts w:ascii="Times New Roman"/>
                <w:sz w:val="18"/>
              </w:rPr>
              <w:t>26</w:t>
            </w: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2,533,</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682.21</w:t>
            </w: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101"/>
              <w:ind w:left="45" w:right="0"/>
              <w:jc w:val="left"/>
              <w:rPr>
                <w:rFonts w:ascii="Times New Roman" w:hAnsi="Times New Roman" w:cs="Times New Roman" w:eastAsia="Times New Roman" w:hint="default"/>
                <w:sz w:val="18"/>
                <w:szCs w:val="18"/>
              </w:rPr>
            </w:pPr>
            <w:r>
              <w:rPr>
                <w:rFonts w:ascii="Times New Roman"/>
                <w:sz w:val="18"/>
              </w:rPr>
              <w:t>102,93</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5,517.</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47</w:t>
            </w:r>
          </w:p>
        </w:tc>
      </w:tr>
      <w:tr>
        <w:trPr>
          <w:trHeight w:val="705" w:hRule="exact"/>
        </w:trPr>
        <w:tc>
          <w:tcPr>
            <w:tcW w:w="125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21" w:lineRule="auto" w:before="44"/>
              <w:ind w:left="7" w:right="29"/>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481" w:type="dxa"/>
            <w:vMerge/>
            <w:tcBorders>
              <w:left w:val="single" w:sz="12" w:space="0" w:color="D2D2D2"/>
              <w:right w:val="single" w:sz="6" w:space="0" w:color="000000"/>
            </w:tcBorders>
          </w:tcPr>
          <w:p>
            <w:pPr/>
          </w:p>
        </w:tc>
        <w:tc>
          <w:tcPr>
            <w:tcW w:w="465" w:type="dxa"/>
            <w:vMerge/>
            <w:tcBorders>
              <w:left w:val="single" w:sz="6" w:space="0" w:color="000000"/>
              <w:right w:val="single" w:sz="6" w:space="0" w:color="000000"/>
            </w:tcBorders>
          </w:tcPr>
          <w:p>
            <w:pPr/>
          </w:p>
        </w:tc>
        <w:tc>
          <w:tcPr>
            <w:tcW w:w="481" w:type="dxa"/>
            <w:vMerge/>
            <w:tcBorders>
              <w:left w:val="single" w:sz="6" w:space="0" w:color="000000"/>
              <w:right w:val="single" w:sz="6" w:space="0" w:color="000000"/>
            </w:tcBorders>
          </w:tcPr>
          <w:p>
            <w:pPr/>
          </w:p>
        </w:tc>
        <w:tc>
          <w:tcPr>
            <w:tcW w:w="466"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71"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r>
      <w:tr>
        <w:trPr>
          <w:trHeight w:val="173" w:hRule="exact"/>
        </w:trPr>
        <w:tc>
          <w:tcPr>
            <w:tcW w:w="1254" w:type="dxa"/>
            <w:tcBorders>
              <w:top w:val="nil" w:sz="6" w:space="0" w:color="auto"/>
              <w:left w:val="single" w:sz="6" w:space="0" w:color="000000"/>
              <w:bottom w:val="single" w:sz="6" w:space="0" w:color="000000"/>
              <w:right w:val="single" w:sz="6" w:space="0" w:color="000000"/>
            </w:tcBorders>
            <w:shd w:val="clear" w:color="auto" w:fill="D2D2D2"/>
          </w:tcPr>
          <w:p>
            <w:pPr/>
          </w:p>
        </w:tc>
        <w:tc>
          <w:tcPr>
            <w:tcW w:w="481" w:type="dxa"/>
            <w:vMerge/>
            <w:tcBorders>
              <w:left w:val="single" w:sz="12" w:space="0" w:color="D2D2D2"/>
              <w:bottom w:val="single" w:sz="6" w:space="0" w:color="000000"/>
              <w:right w:val="single" w:sz="6" w:space="0" w:color="000000"/>
            </w:tcBorders>
          </w:tcPr>
          <w:p>
            <w:pPr/>
          </w:p>
        </w:tc>
        <w:tc>
          <w:tcPr>
            <w:tcW w:w="465" w:type="dxa"/>
            <w:vMerge/>
            <w:tcBorders>
              <w:left w:val="single" w:sz="6" w:space="0" w:color="000000"/>
              <w:bottom w:val="single" w:sz="6" w:space="0" w:color="000000"/>
              <w:right w:val="single" w:sz="6" w:space="0" w:color="000000"/>
            </w:tcBorders>
          </w:tcPr>
          <w:p>
            <w:pPr/>
          </w:p>
        </w:tc>
        <w:tc>
          <w:tcPr>
            <w:tcW w:w="481" w:type="dxa"/>
            <w:vMerge/>
            <w:tcBorders>
              <w:left w:val="single" w:sz="6" w:space="0" w:color="000000"/>
              <w:bottom w:val="single" w:sz="6" w:space="0" w:color="000000"/>
              <w:right w:val="single" w:sz="6" w:space="0" w:color="000000"/>
            </w:tcBorders>
          </w:tcPr>
          <w:p>
            <w:pPr/>
          </w:p>
        </w:tc>
        <w:tc>
          <w:tcPr>
            <w:tcW w:w="466"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71"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r>
      <w:tr>
        <w:trPr>
          <w:trHeight w:val="705" w:hRule="exact"/>
        </w:trPr>
        <w:tc>
          <w:tcPr>
            <w:tcW w:w="12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29"/>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481" w:type="dxa"/>
            <w:tcBorders>
              <w:top w:val="single" w:sz="6" w:space="0" w:color="000000"/>
              <w:left w:val="single" w:sz="18" w:space="0" w:color="D2D2D2"/>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59"/>
              <w:ind w:left="7"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81" w:type="dxa"/>
            <w:tcBorders>
              <w:top w:val="single" w:sz="6" w:space="0" w:color="000000"/>
              <w:left w:val="single" w:sz="18" w:space="0" w:color="D2D2D2"/>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7"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81" w:type="dxa"/>
            <w:tcBorders>
              <w:top w:val="single" w:sz="6" w:space="0" w:color="000000"/>
              <w:left w:val="single" w:sz="18" w:space="0" w:color="D2D2D2"/>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7"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81" w:type="dxa"/>
            <w:tcBorders>
              <w:top w:val="single" w:sz="6" w:space="0" w:color="000000"/>
              <w:left w:val="single" w:sz="18" w:space="0" w:color="D2D2D2"/>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262"/>
        <w:gridCol w:w="481"/>
        <w:gridCol w:w="465"/>
        <w:gridCol w:w="481"/>
        <w:gridCol w:w="466"/>
        <w:gridCol w:w="585"/>
        <w:gridCol w:w="586"/>
        <w:gridCol w:w="586"/>
        <w:gridCol w:w="571"/>
        <w:gridCol w:w="585"/>
        <w:gridCol w:w="586"/>
        <w:gridCol w:w="586"/>
        <w:gridCol w:w="586"/>
        <w:gridCol w:w="586"/>
        <w:gridCol w:w="586"/>
        <w:gridCol w:w="586"/>
      </w:tblGrid>
      <w:tr>
        <w:trPr>
          <w:trHeight w:val="4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3,446,</w:t>
            </w:r>
          </w:p>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451.04</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left"/>
              <w:rPr>
                <w:rFonts w:ascii="Times New Roman" w:hAnsi="Times New Roman" w:cs="Times New Roman" w:eastAsia="Times New Roman" w:hint="default"/>
                <w:sz w:val="18"/>
                <w:szCs w:val="18"/>
              </w:rPr>
            </w:pPr>
            <w:r>
              <w:rPr>
                <w:rFonts w:ascii="Times New Roman"/>
                <w:sz w:val="18"/>
              </w:rPr>
              <w:t>-24,34</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8,651.</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04</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left"/>
              <w:rPr>
                <w:rFonts w:ascii="Times New Roman" w:hAnsi="Times New Roman" w:cs="Times New Roman" w:eastAsia="Times New Roman" w:hint="default"/>
                <w:sz w:val="18"/>
                <w:szCs w:val="18"/>
              </w:rPr>
            </w:pPr>
            <w:r>
              <w:rPr>
                <w:rFonts w:ascii="Times New Roman"/>
                <w:sz w:val="18"/>
              </w:rPr>
              <w:t>-20,90</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2,200.</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-20,90</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2,200.</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00</w:t>
            </w:r>
          </w:p>
        </w:tc>
      </w:tr>
      <w:tr>
        <w:trPr>
          <w:trHeight w:val="7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4" w:right="0"/>
              <w:jc w:val="left"/>
              <w:rPr>
                <w:rFonts w:ascii="Times New Roman" w:hAnsi="Times New Roman" w:cs="Times New Roman" w:eastAsia="Times New Roman" w:hint="default"/>
                <w:sz w:val="18"/>
                <w:szCs w:val="18"/>
              </w:rPr>
            </w:pPr>
            <w:r>
              <w:rPr>
                <w:rFonts w:ascii="Times New Roman"/>
                <w:sz w:val="18"/>
              </w:rPr>
              <w:t>3,446,</w:t>
            </w:r>
          </w:p>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451.04</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-3,446,</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451.04</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3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90" w:lineRule="auto"/>
              <w:ind w:left="15" w:right="29"/>
              <w:jc w:val="left"/>
              <w:rPr>
                <w:rFonts w:ascii="宋体" w:hAnsi="宋体" w:cs="宋体" w:eastAsia="宋体" w:hint="default"/>
                <w:sz w:val="18"/>
                <w:szCs w:val="18"/>
              </w:rPr>
            </w:pPr>
            <w:r>
              <w:rPr>
                <w:rFonts w:ascii="Times New Roman" w:hAnsi="Times New Roman" w:cs="Times New Roman" w:eastAsia="Times New Roman" w:hint="default"/>
                <w:spacing w:val="-19"/>
                <w:sz w:val="18"/>
                <w:szCs w:val="18"/>
              </w:rPr>
              <w:t>3</w:t>
            </w:r>
            <w:r>
              <w:rPr>
                <w:rFonts w:ascii="宋体" w:hAnsi="宋体" w:cs="宋体" w:eastAsia="宋体" w:hint="default"/>
                <w:spacing w:val="-19"/>
                <w:sz w:val="18"/>
                <w:szCs w:val="18"/>
              </w:rPr>
              <w:t>．对所有者（或</w:t>
            </w:r>
            <w:r>
              <w:rPr>
                <w:rFonts w:ascii="宋体" w:hAnsi="宋体" w:cs="宋体" w:eastAsia="宋体" w:hint="default"/>
                <w:sz w:val="18"/>
                <w:szCs w:val="18"/>
              </w:rPr>
              <w:t> 股东）的分配</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-20,90</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2,200.</w:t>
            </w:r>
          </w:p>
          <w:p>
            <w:pPr>
              <w:pStyle w:val="TableParagraph"/>
              <w:spacing w:line="240" w:lineRule="auto" w:before="93"/>
              <w:ind w:left="375"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-20,90</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2,200.</w:t>
            </w:r>
          </w:p>
          <w:p>
            <w:pPr>
              <w:pStyle w:val="TableParagraph"/>
              <w:spacing w:line="240" w:lineRule="auto" w:before="93"/>
              <w:ind w:left="375"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-20,90</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2,200.</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00</w:t>
            </w:r>
          </w:p>
        </w:tc>
      </w:tr>
      <w:tr>
        <w:trPr>
          <w:trHeight w:val="40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29"/>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-1,360,</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797.06</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5" w:right="0"/>
              <w:jc w:val="left"/>
              <w:rPr>
                <w:rFonts w:ascii="Times New Roman" w:hAnsi="Times New Roman" w:cs="Times New Roman" w:eastAsia="Times New Roman" w:hint="default"/>
                <w:sz w:val="18"/>
                <w:szCs w:val="18"/>
              </w:rPr>
            </w:pPr>
            <w:r>
              <w:rPr>
                <w:rFonts w:ascii="Times New Roman"/>
                <w:sz w:val="18"/>
              </w:rPr>
              <w:t>1,360,</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797.06</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-1,360,</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797.06</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1,360,</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797.06</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418,0</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44,00</w:t>
            </w:r>
          </w:p>
          <w:p>
            <w:pPr>
              <w:pStyle w:val="TableParagraph"/>
              <w:spacing w:line="240" w:lineRule="auto" w:before="93"/>
              <w:ind w:left="135" w:right="0"/>
              <w:jc w:val="left"/>
              <w:rPr>
                <w:rFonts w:ascii="Times New Roman" w:hAnsi="Times New Roman" w:cs="Times New Roman" w:eastAsia="Times New Roman" w:hint="default"/>
                <w:sz w:val="18"/>
                <w:szCs w:val="18"/>
              </w:rPr>
            </w:pPr>
            <w:r>
              <w:rPr>
                <w:rFonts w:ascii="Times New Roman"/>
                <w:sz w:val="18"/>
              </w:rPr>
              <w:t>0.00</w:t>
            </w: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4" w:right="0"/>
              <w:jc w:val="left"/>
              <w:rPr>
                <w:rFonts w:ascii="Times New Roman" w:hAnsi="Times New Roman" w:cs="Times New Roman" w:eastAsia="Times New Roman" w:hint="default"/>
                <w:sz w:val="18"/>
                <w:szCs w:val="18"/>
              </w:rPr>
            </w:pPr>
            <w:r>
              <w:rPr>
                <w:rFonts w:ascii="Times New Roman"/>
                <w:sz w:val="18"/>
              </w:rPr>
              <w:t>345,68</w:t>
            </w:r>
          </w:p>
          <w:p>
            <w:pPr>
              <w:pStyle w:val="TableParagraph"/>
              <w:spacing w:line="240" w:lineRule="auto" w:before="108"/>
              <w:ind w:left="89" w:right="0"/>
              <w:jc w:val="left"/>
              <w:rPr>
                <w:rFonts w:ascii="Times New Roman" w:hAnsi="Times New Roman" w:cs="Times New Roman" w:eastAsia="Times New Roman" w:hint="default"/>
                <w:sz w:val="18"/>
                <w:szCs w:val="18"/>
              </w:rPr>
            </w:pPr>
            <w:r>
              <w:rPr>
                <w:rFonts w:ascii="Times New Roman"/>
                <w:sz w:val="18"/>
              </w:rPr>
              <w:t>7,008.</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56</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8,010,</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716.34</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114,92</w:t>
            </w:r>
          </w:p>
          <w:p>
            <w:pPr>
              <w:pStyle w:val="TableParagraph"/>
              <w:spacing w:line="240" w:lineRule="auto" w:before="108"/>
              <w:ind w:left="104" w:right="0"/>
              <w:jc w:val="left"/>
              <w:rPr>
                <w:rFonts w:ascii="Times New Roman" w:hAnsi="Times New Roman" w:cs="Times New Roman" w:eastAsia="Times New Roman" w:hint="default"/>
                <w:sz w:val="18"/>
                <w:szCs w:val="18"/>
              </w:rPr>
            </w:pPr>
            <w:r>
              <w:rPr>
                <w:rFonts w:ascii="Times New Roman"/>
                <w:sz w:val="18"/>
              </w:rPr>
              <w:t>8,013.</w:t>
            </w:r>
          </w:p>
          <w:p>
            <w:pPr>
              <w:pStyle w:val="TableParagraph"/>
              <w:spacing w:line="240" w:lineRule="auto" w:before="93"/>
              <w:ind w:left="374" w:right="0"/>
              <w:jc w:val="left"/>
              <w:rPr>
                <w:rFonts w:ascii="Times New Roman" w:hAnsi="Times New Roman" w:cs="Times New Roman" w:eastAsia="Times New Roman" w:hint="default"/>
                <w:sz w:val="18"/>
                <w:szCs w:val="18"/>
              </w:rPr>
            </w:pPr>
            <w:r>
              <w:rPr>
                <w:rFonts w:ascii="Times New Roman"/>
                <w:sz w:val="18"/>
              </w:rPr>
              <w:t>52</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947,47</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2,251.</w:t>
            </w:r>
          </w:p>
          <w:p>
            <w:pPr>
              <w:pStyle w:val="TableParagraph"/>
              <w:spacing w:line="240" w:lineRule="auto" w:before="93"/>
              <w:ind w:left="375" w:right="0"/>
              <w:jc w:val="left"/>
              <w:rPr>
                <w:rFonts w:ascii="Times New Roman" w:hAnsi="Times New Roman" w:cs="Times New Roman" w:eastAsia="Times New Roman" w:hint="default"/>
                <w:sz w:val="18"/>
                <w:szCs w:val="18"/>
              </w:rPr>
            </w:pPr>
            <w:r>
              <w:rPr>
                <w:rFonts w:ascii="Times New Roman"/>
                <w:sz w:val="18"/>
              </w:rPr>
              <w:t>27</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center"/>
              <w:rPr>
                <w:rFonts w:ascii="Times New Roman" w:hAnsi="Times New Roman" w:cs="Times New Roman" w:eastAsia="Times New Roman" w:hint="default"/>
                <w:sz w:val="18"/>
                <w:szCs w:val="18"/>
              </w:rPr>
            </w:pPr>
            <w:r>
              <w:rPr>
                <w:rFonts w:ascii="Times New Roman"/>
                <w:sz w:val="18"/>
              </w:rPr>
              <w:t>1,834,</w:t>
            </w:r>
          </w:p>
          <w:p>
            <w:pPr>
              <w:pStyle w:val="TableParagraph"/>
              <w:spacing w:line="240" w:lineRule="auto" w:before="108"/>
              <w:ind w:left="45" w:right="0"/>
              <w:jc w:val="center"/>
              <w:rPr>
                <w:rFonts w:ascii="Times New Roman" w:hAnsi="Times New Roman" w:cs="Times New Roman" w:eastAsia="Times New Roman" w:hint="default"/>
                <w:sz w:val="18"/>
                <w:szCs w:val="18"/>
              </w:rPr>
            </w:pPr>
            <w:r>
              <w:rPr>
                <w:rFonts w:ascii="Times New Roman"/>
                <w:sz w:val="18"/>
              </w:rPr>
              <w:t>141,98</w:t>
            </w:r>
          </w:p>
          <w:p>
            <w:pPr>
              <w:pStyle w:val="TableParagraph"/>
              <w:spacing w:line="240" w:lineRule="auto" w:before="93"/>
              <w:ind w:left="225" w:right="0"/>
              <w:jc w:val="center"/>
              <w:rPr>
                <w:rFonts w:ascii="Times New Roman" w:hAnsi="Times New Roman" w:cs="Times New Roman" w:eastAsia="Times New Roman" w:hint="default"/>
                <w:sz w:val="18"/>
                <w:szCs w:val="18"/>
              </w:rPr>
            </w:pPr>
            <w:r>
              <w:rPr>
                <w:rFonts w:ascii="Times New Roman"/>
                <w:sz w:val="18"/>
              </w:rPr>
              <w:t>9.69</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13,133</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,293.7</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center"/>
              <w:rPr>
                <w:rFonts w:ascii="Times New Roman" w:hAnsi="Times New Roman" w:cs="Times New Roman" w:eastAsia="Times New Roman" w:hint="default"/>
                <w:sz w:val="18"/>
                <w:szCs w:val="18"/>
              </w:rPr>
            </w:pPr>
            <w:r>
              <w:rPr>
                <w:rFonts w:ascii="Times New Roman"/>
                <w:sz w:val="18"/>
              </w:rPr>
              <w:t>1,847,</w:t>
            </w:r>
          </w:p>
          <w:p>
            <w:pPr>
              <w:pStyle w:val="TableParagraph"/>
              <w:spacing w:line="240" w:lineRule="auto" w:before="108"/>
              <w:ind w:left="14" w:right="0"/>
              <w:jc w:val="center"/>
              <w:rPr>
                <w:rFonts w:ascii="Times New Roman" w:hAnsi="Times New Roman" w:cs="Times New Roman" w:eastAsia="Times New Roman" w:hint="default"/>
                <w:sz w:val="18"/>
                <w:szCs w:val="18"/>
              </w:rPr>
            </w:pPr>
            <w:r>
              <w:rPr>
                <w:rFonts w:ascii="Times New Roman"/>
                <w:sz w:val="18"/>
              </w:rPr>
              <w:t>275,28</w:t>
            </w:r>
          </w:p>
          <w:p>
            <w:pPr>
              <w:pStyle w:val="TableParagraph"/>
              <w:spacing w:line="240" w:lineRule="auto" w:before="93"/>
              <w:ind w:left="195" w:right="0"/>
              <w:jc w:val="center"/>
              <w:rPr>
                <w:rFonts w:ascii="Times New Roman" w:hAnsi="Times New Roman" w:cs="Times New Roman" w:eastAsia="Times New Roman" w:hint="default"/>
                <w:sz w:val="18"/>
                <w:szCs w:val="18"/>
              </w:rPr>
            </w:pPr>
            <w:r>
              <w:rPr>
                <w:rFonts w:ascii="Times New Roman"/>
                <w:sz w:val="18"/>
              </w:rPr>
              <w:t>3.43</w:t>
            </w:r>
          </w:p>
        </w:tc>
      </w:tr>
    </w:tbl>
    <w:p>
      <w:pPr>
        <w:pStyle w:val="BodyText"/>
        <w:spacing w:line="240" w:lineRule="auto" w:before="45"/>
        <w:ind w:right="1100"/>
        <w:jc w:val="left"/>
      </w:pPr>
      <w:r>
        <w:rPr/>
        <w:t>上期金额</w:t>
      </w:r>
    </w:p>
    <w:p>
      <w:pPr>
        <w:pStyle w:val="BodyText"/>
        <w:spacing w:line="240" w:lineRule="auto" w:before="124"/>
        <w:ind w:left="0" w:right="1111"/>
        <w:jc w:val="right"/>
      </w:pPr>
      <w:r>
        <w:rPr/>
        <w:t>单位：元</w:t>
      </w:r>
    </w:p>
    <w:p>
      <w:pPr>
        <w:spacing w:after="0" w:line="240" w:lineRule="auto"/>
        <w:jc w:val="right"/>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1202"/>
        <w:gridCol w:w="488"/>
        <w:gridCol w:w="450"/>
        <w:gridCol w:w="451"/>
        <w:gridCol w:w="496"/>
        <w:gridCol w:w="570"/>
        <w:gridCol w:w="586"/>
        <w:gridCol w:w="571"/>
        <w:gridCol w:w="585"/>
        <w:gridCol w:w="571"/>
        <w:gridCol w:w="586"/>
        <w:gridCol w:w="586"/>
        <w:gridCol w:w="571"/>
        <w:gridCol w:w="571"/>
        <w:gridCol w:w="631"/>
        <w:gridCol w:w="661"/>
      </w:tblGrid>
      <w:tr>
        <w:trPr>
          <w:trHeight w:val="405" w:hRule="exact"/>
        </w:trPr>
        <w:tc>
          <w:tcPr>
            <w:tcW w:w="12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8373" w:type="dxa"/>
            <w:gridSpan w:val="1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w:t>
            </w:r>
          </w:p>
        </w:tc>
      </w:tr>
      <w:tr>
        <w:trPr>
          <w:trHeight w:val="248" w:hRule="exact"/>
        </w:trPr>
        <w:tc>
          <w:tcPr>
            <w:tcW w:w="1202" w:type="dxa"/>
            <w:vMerge/>
            <w:tcBorders>
              <w:left w:val="single" w:sz="6" w:space="0" w:color="000000"/>
              <w:right w:val="single" w:sz="6" w:space="0" w:color="000000"/>
            </w:tcBorders>
            <w:shd w:val="clear" w:color="auto" w:fill="D2D2D2"/>
          </w:tcPr>
          <w:p>
            <w:pPr/>
          </w:p>
        </w:tc>
        <w:tc>
          <w:tcPr>
            <w:tcW w:w="7082" w:type="dxa"/>
            <w:gridSpan w:val="1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right="23"/>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31" w:type="dxa"/>
            <w:vMerge w:val="restart"/>
            <w:tcBorders>
              <w:top w:val="single" w:sz="6" w:space="0" w:color="000000"/>
              <w:left w:val="single" w:sz="6" w:space="0" w:color="000000"/>
              <w:right w:val="single" w:sz="6" w:space="0" w:color="000000"/>
            </w:tcBorders>
            <w:shd w:val="clear" w:color="auto" w:fill="D2D2D2"/>
          </w:tcPr>
          <w:p>
            <w:pPr/>
          </w:p>
        </w:tc>
        <w:tc>
          <w:tcPr>
            <w:tcW w:w="661"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50" w:hRule="exact"/>
        </w:trPr>
        <w:tc>
          <w:tcPr>
            <w:tcW w:w="1202" w:type="dxa"/>
            <w:vMerge/>
            <w:tcBorders>
              <w:left w:val="single" w:sz="6" w:space="0" w:color="000000"/>
              <w:right w:val="single" w:sz="6" w:space="0" w:color="000000"/>
            </w:tcBorders>
            <w:shd w:val="clear" w:color="auto" w:fill="D2D2D2"/>
          </w:tcPr>
          <w:p>
            <w:pPr/>
          </w:p>
        </w:tc>
        <w:tc>
          <w:tcPr>
            <w:tcW w:w="7082" w:type="dxa"/>
            <w:gridSpan w:val="13"/>
            <w:vMerge/>
            <w:tcBorders>
              <w:left w:val="single" w:sz="6" w:space="0" w:color="000000"/>
              <w:bottom w:val="single" w:sz="6" w:space="0" w:color="000000"/>
              <w:right w:val="single" w:sz="6" w:space="0" w:color="000000"/>
            </w:tcBorders>
            <w:shd w:val="clear" w:color="auto" w:fill="D2D2D2"/>
          </w:tcPr>
          <w:p>
            <w:pPr/>
          </w:p>
        </w:tc>
        <w:tc>
          <w:tcPr>
            <w:tcW w:w="631" w:type="dxa"/>
            <w:vMerge/>
            <w:tcBorders>
              <w:left w:val="single" w:sz="6" w:space="0" w:color="000000"/>
              <w:bottom w:val="nil" w:sz="6" w:space="0" w:color="auto"/>
              <w:right w:val="single" w:sz="6" w:space="0" w:color="000000"/>
            </w:tcBorders>
            <w:shd w:val="clear" w:color="auto" w:fill="D2D2D2"/>
          </w:tcPr>
          <w:p>
            <w:pPr/>
          </w:p>
        </w:tc>
        <w:tc>
          <w:tcPr>
            <w:tcW w:w="661" w:type="dxa"/>
            <w:vMerge w:val="restart"/>
            <w:tcBorders>
              <w:top w:val="nil" w:sz="6" w:space="0" w:color="auto"/>
              <w:left w:val="single" w:sz="6" w:space="0" w:color="000000"/>
              <w:right w:val="single" w:sz="6" w:space="0" w:color="000000"/>
            </w:tcBorders>
            <w:shd w:val="clear" w:color="auto" w:fill="D2D2D2"/>
          </w:tcPr>
          <w:p>
            <w:pPr>
              <w:pStyle w:val="TableParagraph"/>
              <w:spacing w:line="314" w:lineRule="auto" w:before="44"/>
              <w:ind w:left="60" w:right="4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10" w:hRule="exact"/>
        </w:trPr>
        <w:tc>
          <w:tcPr>
            <w:tcW w:w="1202" w:type="dxa"/>
            <w:vMerge/>
            <w:tcBorders>
              <w:left w:val="single" w:sz="6" w:space="0" w:color="000000"/>
              <w:right w:val="single" w:sz="6" w:space="0" w:color="000000"/>
            </w:tcBorders>
            <w:shd w:val="clear" w:color="auto" w:fill="D2D2D2"/>
          </w:tcPr>
          <w:p>
            <w:pPr/>
          </w:p>
        </w:tc>
        <w:tc>
          <w:tcPr>
            <w:tcW w:w="488" w:type="dxa"/>
            <w:vMerge w:val="restart"/>
            <w:tcBorders>
              <w:top w:val="single" w:sz="6" w:space="0" w:color="000000"/>
              <w:left w:val="single" w:sz="6" w:space="0" w:color="000000"/>
              <w:right w:val="single" w:sz="6" w:space="0" w:color="000000"/>
            </w:tcBorders>
            <w:shd w:val="clear" w:color="auto" w:fill="D2D2D2"/>
          </w:tcPr>
          <w:p>
            <w:pPr/>
          </w:p>
        </w:tc>
        <w:tc>
          <w:tcPr>
            <w:tcW w:w="1397"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7"/>
              <w:ind w:left="1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0" w:type="dxa"/>
            <w:tcBorders>
              <w:top w:val="single" w:sz="6" w:space="0" w:color="000000"/>
              <w:left w:val="single" w:sz="6" w:space="0" w:color="000000"/>
              <w:bottom w:val="nil" w:sz="6" w:space="0" w:color="auto"/>
              <w:right w:val="single" w:sz="6" w:space="0" w:color="000000"/>
            </w:tcBorders>
            <w:shd w:val="clear" w:color="auto" w:fill="D2D2D2"/>
          </w:tcPr>
          <w:p>
            <w:pPr/>
          </w:p>
        </w:tc>
        <w:tc>
          <w:tcPr>
            <w:tcW w:w="586" w:type="dxa"/>
            <w:tcBorders>
              <w:top w:val="single" w:sz="6" w:space="0" w:color="000000"/>
              <w:left w:val="single" w:sz="6" w:space="0" w:color="000000"/>
              <w:bottom w:val="nil" w:sz="6" w:space="0" w:color="auto"/>
              <w:right w:val="single" w:sz="6" w:space="0" w:color="000000"/>
            </w:tcBorders>
            <w:shd w:val="clear" w:color="auto" w:fill="D2D2D2"/>
          </w:tcPr>
          <w:p>
            <w:pPr/>
          </w:p>
        </w:tc>
        <w:tc>
          <w:tcPr>
            <w:tcW w:w="57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90"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5" w:type="dxa"/>
            <w:tcBorders>
              <w:top w:val="single" w:sz="6" w:space="0" w:color="000000"/>
              <w:left w:val="single" w:sz="6" w:space="0" w:color="000000"/>
              <w:bottom w:val="nil" w:sz="6" w:space="0" w:color="auto"/>
              <w:right w:val="single" w:sz="6" w:space="0" w:color="000000"/>
            </w:tcBorders>
            <w:shd w:val="clear" w:color="auto" w:fill="D2D2D2"/>
          </w:tcPr>
          <w:p>
            <w:pPr/>
          </w:p>
        </w:tc>
        <w:tc>
          <w:tcPr>
            <w:tcW w:w="571" w:type="dxa"/>
            <w:tcBorders>
              <w:top w:val="single" w:sz="6" w:space="0" w:color="000000"/>
              <w:left w:val="single" w:sz="6" w:space="0" w:color="000000"/>
              <w:bottom w:val="nil" w:sz="6" w:space="0" w:color="auto"/>
              <w:right w:val="single" w:sz="6" w:space="0" w:color="000000"/>
            </w:tcBorders>
            <w:shd w:val="clear" w:color="auto" w:fill="D2D2D2"/>
          </w:tcPr>
          <w:p>
            <w:pPr/>
          </w:p>
        </w:tc>
        <w:tc>
          <w:tcPr>
            <w:tcW w:w="58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105"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105"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71" w:type="dxa"/>
            <w:vMerge w:val="restart"/>
            <w:tcBorders>
              <w:top w:val="single" w:sz="6" w:space="0" w:color="000000"/>
              <w:left w:val="single" w:sz="6" w:space="0" w:color="000000"/>
              <w:right w:val="single" w:sz="6" w:space="0" w:color="000000"/>
            </w:tcBorders>
            <w:shd w:val="clear" w:color="auto" w:fill="D2D2D2"/>
          </w:tcPr>
          <w:p>
            <w:pPr/>
          </w:p>
        </w:tc>
        <w:tc>
          <w:tcPr>
            <w:tcW w:w="571" w:type="dxa"/>
            <w:vMerge w:val="restart"/>
            <w:tcBorders>
              <w:top w:val="single" w:sz="6" w:space="0" w:color="000000"/>
              <w:left w:val="single" w:sz="6" w:space="0" w:color="000000"/>
              <w:right w:val="single" w:sz="6" w:space="0" w:color="000000"/>
            </w:tcBorders>
            <w:shd w:val="clear" w:color="auto" w:fill="D2D2D2"/>
          </w:tcPr>
          <w:p>
            <w:pPr/>
          </w:p>
        </w:tc>
        <w:tc>
          <w:tcPr>
            <w:tcW w:w="631"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4"/>
              <w:ind w:left="30" w:right="43"/>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1" w:type="dxa"/>
            <w:vMerge/>
            <w:tcBorders>
              <w:left w:val="single" w:sz="6" w:space="0" w:color="000000"/>
              <w:right w:val="single" w:sz="6" w:space="0" w:color="000000"/>
            </w:tcBorders>
            <w:shd w:val="clear" w:color="auto" w:fill="D2D2D2"/>
          </w:tcPr>
          <w:p>
            <w:pPr/>
          </w:p>
        </w:tc>
      </w:tr>
      <w:tr>
        <w:trPr>
          <w:trHeight w:val="169" w:hRule="exact"/>
        </w:trPr>
        <w:tc>
          <w:tcPr>
            <w:tcW w:w="1202" w:type="dxa"/>
            <w:vMerge/>
            <w:tcBorders>
              <w:left w:val="single" w:sz="6" w:space="0" w:color="000000"/>
              <w:right w:val="single" w:sz="6" w:space="0" w:color="000000"/>
            </w:tcBorders>
            <w:shd w:val="clear" w:color="auto" w:fill="D2D2D2"/>
          </w:tcPr>
          <w:p>
            <w:pPr/>
          </w:p>
        </w:tc>
        <w:tc>
          <w:tcPr>
            <w:tcW w:w="488" w:type="dxa"/>
            <w:vMerge/>
            <w:tcBorders>
              <w:left w:val="single" w:sz="6" w:space="0" w:color="000000"/>
              <w:bottom w:val="nil" w:sz="6" w:space="0" w:color="auto"/>
              <w:right w:val="single" w:sz="6" w:space="0" w:color="000000"/>
            </w:tcBorders>
            <w:shd w:val="clear" w:color="auto" w:fill="D2D2D2"/>
          </w:tcPr>
          <w:p>
            <w:pPr/>
          </w:p>
        </w:tc>
        <w:tc>
          <w:tcPr>
            <w:tcW w:w="1397" w:type="dxa"/>
            <w:gridSpan w:val="3"/>
            <w:vMerge/>
            <w:tcBorders>
              <w:left w:val="single" w:sz="6" w:space="0" w:color="000000"/>
              <w:bottom w:val="single" w:sz="6" w:space="0" w:color="000000"/>
              <w:right w:val="single" w:sz="6" w:space="0" w:color="000000"/>
            </w:tcBorders>
            <w:shd w:val="clear" w:color="auto" w:fill="D2D2D2"/>
          </w:tcPr>
          <w:p>
            <w:pPr/>
          </w:p>
        </w:tc>
        <w:tc>
          <w:tcPr>
            <w:tcW w:w="570"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104" w:right="88"/>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105" w:right="13" w:hanging="75"/>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z w:val="18"/>
                <w:szCs w:val="18"/>
              </w:rPr>
              <w:t> 存股</w:t>
            </w:r>
          </w:p>
        </w:tc>
        <w:tc>
          <w:tcPr>
            <w:tcW w:w="571" w:type="dxa"/>
            <w:vMerge/>
            <w:tcBorders>
              <w:left w:val="single" w:sz="6" w:space="0" w:color="000000"/>
              <w:right w:val="single" w:sz="6" w:space="0" w:color="000000"/>
            </w:tcBorders>
            <w:shd w:val="clear" w:color="auto" w:fill="D2D2D2"/>
          </w:tcPr>
          <w:p>
            <w:pPr/>
          </w:p>
        </w:tc>
        <w:tc>
          <w:tcPr>
            <w:tcW w:w="585"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105" w:right="103"/>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1"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90"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bottom w:val="nil" w:sz="6" w:space="0" w:color="auto"/>
              <w:right w:val="single" w:sz="6" w:space="0" w:color="000000"/>
            </w:tcBorders>
            <w:shd w:val="clear" w:color="auto" w:fill="D2D2D2"/>
          </w:tcPr>
          <w:p>
            <w:pPr/>
          </w:p>
        </w:tc>
        <w:tc>
          <w:tcPr>
            <w:tcW w:w="571" w:type="dxa"/>
            <w:vMerge/>
            <w:tcBorders>
              <w:left w:val="single" w:sz="6" w:space="0" w:color="000000"/>
              <w:bottom w:val="nil" w:sz="6" w:space="0" w:color="auto"/>
              <w:right w:val="single" w:sz="6" w:space="0" w:color="000000"/>
            </w:tcBorders>
            <w:shd w:val="clear" w:color="auto" w:fill="D2D2D2"/>
          </w:tcPr>
          <w:p>
            <w:pPr/>
          </w:p>
        </w:tc>
        <w:tc>
          <w:tcPr>
            <w:tcW w:w="631" w:type="dxa"/>
            <w:vMerge/>
            <w:tcBorders>
              <w:left w:val="single" w:sz="6" w:space="0" w:color="000000"/>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r>
      <w:tr>
        <w:trPr>
          <w:trHeight w:val="176" w:hRule="exact"/>
        </w:trPr>
        <w:tc>
          <w:tcPr>
            <w:tcW w:w="1202" w:type="dxa"/>
            <w:vMerge/>
            <w:tcBorders>
              <w:left w:val="single" w:sz="6" w:space="0" w:color="000000"/>
              <w:right w:val="single" w:sz="6" w:space="0" w:color="000000"/>
            </w:tcBorders>
            <w:shd w:val="clear" w:color="auto" w:fill="D2D2D2"/>
          </w:tcPr>
          <w:p>
            <w:pPr/>
          </w:p>
        </w:tc>
        <w:tc>
          <w:tcPr>
            <w:tcW w:w="488"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26"/>
              <w:ind w:left="5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50"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63"/>
              <w:ind w:left="135" w:right="2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5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63"/>
              <w:ind w:left="135" w:right="28" w:hanging="91"/>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6" w:type="dxa"/>
            <w:tcBorders>
              <w:top w:val="single" w:sz="6" w:space="0" w:color="000000"/>
              <w:left w:val="single" w:sz="6" w:space="0" w:color="000000"/>
              <w:bottom w:val="nil" w:sz="6" w:space="0" w:color="auto"/>
              <w:right w:val="single" w:sz="6" w:space="0" w:color="000000"/>
            </w:tcBorders>
            <w:shd w:val="clear" w:color="auto" w:fill="D2D2D2"/>
          </w:tcPr>
          <w:p>
            <w:pPr/>
          </w:p>
        </w:tc>
        <w:tc>
          <w:tcPr>
            <w:tcW w:w="570"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5"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26"/>
              <w:ind w:left="9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26"/>
              <w:ind w:left="9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31" w:type="dxa"/>
            <w:vMerge/>
            <w:tcBorders>
              <w:left w:val="single" w:sz="6" w:space="0" w:color="000000"/>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r>
      <w:tr>
        <w:trPr>
          <w:trHeight w:val="184" w:hRule="exact"/>
        </w:trPr>
        <w:tc>
          <w:tcPr>
            <w:tcW w:w="1202" w:type="dxa"/>
            <w:vMerge/>
            <w:tcBorders>
              <w:left w:val="single" w:sz="6" w:space="0" w:color="000000"/>
              <w:right w:val="single" w:sz="6" w:space="0" w:color="000000"/>
            </w:tcBorders>
            <w:shd w:val="clear" w:color="auto" w:fill="D2D2D2"/>
          </w:tcPr>
          <w:p>
            <w:pPr/>
          </w:p>
        </w:tc>
        <w:tc>
          <w:tcPr>
            <w:tcW w:w="488" w:type="dxa"/>
            <w:vMerge/>
            <w:tcBorders>
              <w:left w:val="single" w:sz="6" w:space="0" w:color="000000"/>
              <w:bottom w:val="nil" w:sz="6" w:space="0" w:color="auto"/>
              <w:right w:val="single" w:sz="6" w:space="0" w:color="000000"/>
            </w:tcBorders>
            <w:shd w:val="clear" w:color="auto" w:fill="D2D2D2"/>
          </w:tcPr>
          <w:p>
            <w:pPr/>
          </w:p>
        </w:tc>
        <w:tc>
          <w:tcPr>
            <w:tcW w:w="450" w:type="dxa"/>
            <w:vMerge/>
            <w:tcBorders>
              <w:left w:val="single" w:sz="6" w:space="0" w:color="000000"/>
              <w:right w:val="single" w:sz="6" w:space="0" w:color="000000"/>
            </w:tcBorders>
            <w:shd w:val="clear" w:color="auto" w:fill="D2D2D2"/>
          </w:tcPr>
          <w:p>
            <w:pPr/>
          </w:p>
        </w:tc>
        <w:tc>
          <w:tcPr>
            <w:tcW w:w="451" w:type="dxa"/>
            <w:vMerge/>
            <w:tcBorders>
              <w:left w:val="single" w:sz="6" w:space="0" w:color="000000"/>
              <w:right w:val="single" w:sz="6" w:space="0" w:color="000000"/>
            </w:tcBorders>
            <w:shd w:val="clear" w:color="auto" w:fill="D2D2D2"/>
          </w:tcPr>
          <w:p>
            <w:pPr/>
          </w:p>
        </w:tc>
        <w:tc>
          <w:tcPr>
            <w:tcW w:w="4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0"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5"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71" w:type="dxa"/>
            <w:vMerge/>
            <w:tcBorders>
              <w:left w:val="single" w:sz="6" w:space="0" w:color="000000"/>
              <w:bottom w:val="single" w:sz="18" w:space="0" w:color="FFFFFF"/>
              <w:right w:val="single" w:sz="6" w:space="0" w:color="000000"/>
            </w:tcBorders>
            <w:shd w:val="clear" w:color="auto" w:fill="D2D2D2"/>
          </w:tcPr>
          <w:p>
            <w:pPr/>
          </w:p>
        </w:tc>
        <w:tc>
          <w:tcPr>
            <w:tcW w:w="631" w:type="dxa"/>
            <w:vMerge/>
            <w:tcBorders>
              <w:left w:val="single" w:sz="6" w:space="0" w:color="000000"/>
              <w:bottom w:val="single" w:sz="18" w:space="0" w:color="FFFFFF"/>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r>
      <w:tr>
        <w:trPr>
          <w:trHeight w:val="154" w:hRule="exact"/>
        </w:trPr>
        <w:tc>
          <w:tcPr>
            <w:tcW w:w="1202" w:type="dxa"/>
            <w:vMerge/>
            <w:tcBorders>
              <w:left w:val="single" w:sz="6" w:space="0" w:color="000000"/>
              <w:right w:val="single" w:sz="6" w:space="0" w:color="000000"/>
            </w:tcBorders>
            <w:shd w:val="clear" w:color="auto" w:fill="D2D2D2"/>
          </w:tcPr>
          <w:p>
            <w:pPr/>
          </w:p>
        </w:tc>
        <w:tc>
          <w:tcPr>
            <w:tcW w:w="488" w:type="dxa"/>
            <w:vMerge w:val="restart"/>
            <w:tcBorders>
              <w:top w:val="nil" w:sz="6" w:space="0" w:color="auto"/>
              <w:left w:val="single" w:sz="6" w:space="0" w:color="000000"/>
              <w:right w:val="single" w:sz="6" w:space="0" w:color="000000"/>
            </w:tcBorders>
            <w:shd w:val="clear" w:color="auto" w:fill="D2D2D2"/>
          </w:tcPr>
          <w:p>
            <w:pPr/>
          </w:p>
        </w:tc>
        <w:tc>
          <w:tcPr>
            <w:tcW w:w="450" w:type="dxa"/>
            <w:vMerge/>
            <w:tcBorders>
              <w:left w:val="single" w:sz="6" w:space="0" w:color="000000"/>
              <w:right w:val="single" w:sz="6" w:space="0" w:color="000000"/>
            </w:tcBorders>
            <w:shd w:val="clear" w:color="auto" w:fill="D2D2D2"/>
          </w:tcPr>
          <w:p>
            <w:pPr/>
          </w:p>
        </w:tc>
        <w:tc>
          <w:tcPr>
            <w:tcW w:w="451" w:type="dxa"/>
            <w:vMerge/>
            <w:tcBorders>
              <w:left w:val="single" w:sz="6" w:space="0" w:color="000000"/>
              <w:right w:val="single" w:sz="6" w:space="0" w:color="000000"/>
            </w:tcBorders>
            <w:shd w:val="clear" w:color="auto" w:fill="D2D2D2"/>
          </w:tcPr>
          <w:p>
            <w:pPr/>
          </w:p>
        </w:tc>
        <w:tc>
          <w:tcPr>
            <w:tcW w:w="496" w:type="dxa"/>
            <w:vMerge/>
            <w:tcBorders>
              <w:left w:val="single" w:sz="6" w:space="0" w:color="000000"/>
              <w:bottom w:val="nil" w:sz="6" w:space="0" w:color="auto"/>
              <w:right w:val="single" w:sz="6" w:space="0" w:color="000000"/>
            </w:tcBorders>
            <w:shd w:val="clear" w:color="auto" w:fill="D2D2D2"/>
          </w:tcPr>
          <w:p>
            <w:pPr/>
          </w:p>
        </w:tc>
        <w:tc>
          <w:tcPr>
            <w:tcW w:w="570"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5" w:type="dxa"/>
            <w:vMerge/>
            <w:tcBorders>
              <w:left w:val="single" w:sz="6" w:space="0" w:color="000000"/>
              <w:bottom w:val="nil" w:sz="6" w:space="0" w:color="auto"/>
              <w:right w:val="single" w:sz="6" w:space="0" w:color="000000"/>
            </w:tcBorders>
            <w:shd w:val="clear" w:color="auto" w:fill="D2D2D2"/>
          </w:tcPr>
          <w:p>
            <w:pPr/>
          </w:p>
        </w:tc>
        <w:tc>
          <w:tcPr>
            <w:tcW w:w="571"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71" w:type="dxa"/>
            <w:vMerge w:val="restart"/>
            <w:tcBorders>
              <w:top w:val="single" w:sz="18" w:space="0" w:color="FFFFFF"/>
              <w:left w:val="single" w:sz="6" w:space="0" w:color="000000"/>
              <w:right w:val="single" w:sz="6" w:space="0" w:color="000000"/>
            </w:tcBorders>
            <w:shd w:val="clear" w:color="auto" w:fill="D2D2D2"/>
          </w:tcPr>
          <w:p>
            <w:pPr/>
          </w:p>
        </w:tc>
        <w:tc>
          <w:tcPr>
            <w:tcW w:w="631" w:type="dxa"/>
            <w:vMerge w:val="restart"/>
            <w:tcBorders>
              <w:top w:val="single" w:sz="18" w:space="0" w:color="FFFFFF"/>
              <w:left w:val="single" w:sz="6" w:space="0" w:color="000000"/>
              <w:right w:val="single" w:sz="6" w:space="0" w:color="000000"/>
            </w:tcBorders>
            <w:shd w:val="clear" w:color="auto" w:fill="D2D2D2"/>
          </w:tcPr>
          <w:p>
            <w:pPr/>
          </w:p>
        </w:tc>
        <w:tc>
          <w:tcPr>
            <w:tcW w:w="661" w:type="dxa"/>
            <w:vMerge/>
            <w:tcBorders>
              <w:left w:val="single" w:sz="6" w:space="0" w:color="000000"/>
              <w:bottom w:val="nil" w:sz="6" w:space="0" w:color="auto"/>
              <w:right w:val="single" w:sz="6" w:space="0" w:color="000000"/>
            </w:tcBorders>
            <w:shd w:val="clear" w:color="auto" w:fill="D2D2D2"/>
          </w:tcPr>
          <w:p>
            <w:pPr/>
          </w:p>
        </w:tc>
      </w:tr>
      <w:tr>
        <w:trPr>
          <w:trHeight w:val="214" w:hRule="exact"/>
        </w:trPr>
        <w:tc>
          <w:tcPr>
            <w:tcW w:w="1202" w:type="dxa"/>
            <w:vMerge/>
            <w:tcBorders>
              <w:left w:val="single" w:sz="6" w:space="0" w:color="000000"/>
              <w:bottom w:val="single" w:sz="6" w:space="0" w:color="000000"/>
              <w:right w:val="single" w:sz="6" w:space="0" w:color="000000"/>
            </w:tcBorders>
            <w:shd w:val="clear" w:color="auto" w:fill="D2D2D2"/>
          </w:tcPr>
          <w:p>
            <w:pPr/>
          </w:p>
        </w:tc>
        <w:tc>
          <w:tcPr>
            <w:tcW w:w="488" w:type="dxa"/>
            <w:vMerge/>
            <w:tcBorders>
              <w:left w:val="single" w:sz="6" w:space="0" w:color="000000"/>
              <w:bottom w:val="single" w:sz="6" w:space="0" w:color="000000"/>
              <w:right w:val="single" w:sz="6" w:space="0" w:color="000000"/>
            </w:tcBorders>
            <w:shd w:val="clear" w:color="auto" w:fill="D2D2D2"/>
          </w:tcPr>
          <w:p>
            <w:pPr/>
          </w:p>
        </w:tc>
        <w:tc>
          <w:tcPr>
            <w:tcW w:w="450" w:type="dxa"/>
            <w:vMerge/>
            <w:tcBorders>
              <w:left w:val="single" w:sz="6" w:space="0" w:color="000000"/>
              <w:bottom w:val="single" w:sz="6" w:space="0" w:color="000000"/>
              <w:right w:val="single" w:sz="6" w:space="0" w:color="000000"/>
            </w:tcBorders>
            <w:shd w:val="clear" w:color="auto" w:fill="D2D2D2"/>
          </w:tcPr>
          <w:p>
            <w:pPr/>
          </w:p>
        </w:tc>
        <w:tc>
          <w:tcPr>
            <w:tcW w:w="451" w:type="dxa"/>
            <w:vMerge/>
            <w:tcBorders>
              <w:left w:val="single" w:sz="6" w:space="0" w:color="000000"/>
              <w:bottom w:val="single" w:sz="6" w:space="0" w:color="000000"/>
              <w:right w:val="single" w:sz="6" w:space="0" w:color="000000"/>
            </w:tcBorders>
            <w:shd w:val="clear" w:color="auto" w:fill="D2D2D2"/>
          </w:tcPr>
          <w:p>
            <w:pPr/>
          </w:p>
        </w:tc>
        <w:tc>
          <w:tcPr>
            <w:tcW w:w="496" w:type="dxa"/>
            <w:tcBorders>
              <w:top w:val="nil" w:sz="6" w:space="0" w:color="auto"/>
              <w:left w:val="single" w:sz="6" w:space="0" w:color="000000"/>
              <w:bottom w:val="single" w:sz="6" w:space="0" w:color="000000"/>
              <w:right w:val="single" w:sz="6" w:space="0" w:color="000000"/>
            </w:tcBorders>
            <w:shd w:val="clear" w:color="auto" w:fill="D2D2D2"/>
          </w:tcPr>
          <w:p>
            <w:pPr/>
          </w:p>
        </w:tc>
        <w:tc>
          <w:tcPr>
            <w:tcW w:w="570" w:type="dxa"/>
            <w:tcBorders>
              <w:top w:val="nil" w:sz="6" w:space="0" w:color="auto"/>
              <w:left w:val="single" w:sz="6" w:space="0" w:color="000000"/>
              <w:bottom w:val="single" w:sz="6" w:space="0" w:color="000000"/>
              <w:right w:val="single" w:sz="6" w:space="0" w:color="000000"/>
            </w:tcBorders>
            <w:shd w:val="clear" w:color="auto" w:fill="D2D2D2"/>
          </w:tcPr>
          <w:p>
            <w:pPr/>
          </w:p>
        </w:tc>
        <w:tc>
          <w:tcPr>
            <w:tcW w:w="586" w:type="dxa"/>
            <w:tcBorders>
              <w:top w:val="nil" w:sz="6" w:space="0" w:color="auto"/>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585" w:type="dxa"/>
            <w:tcBorders>
              <w:top w:val="nil" w:sz="6" w:space="0" w:color="auto"/>
              <w:left w:val="single" w:sz="6" w:space="0" w:color="000000"/>
              <w:bottom w:val="single" w:sz="6" w:space="0" w:color="000000"/>
              <w:right w:val="single" w:sz="6" w:space="0" w:color="000000"/>
            </w:tcBorders>
            <w:shd w:val="clear" w:color="auto" w:fill="D2D2D2"/>
          </w:tcPr>
          <w:p>
            <w:pPr/>
          </w:p>
        </w:tc>
        <w:tc>
          <w:tcPr>
            <w:tcW w:w="571" w:type="dxa"/>
            <w:tcBorders>
              <w:top w:val="nil" w:sz="6" w:space="0" w:color="auto"/>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631" w:type="dxa"/>
            <w:vMerge/>
            <w:tcBorders>
              <w:left w:val="single" w:sz="6" w:space="0" w:color="000000"/>
              <w:bottom w:val="single" w:sz="6" w:space="0" w:color="000000"/>
              <w:right w:val="single" w:sz="6" w:space="0" w:color="000000"/>
            </w:tcBorders>
            <w:shd w:val="clear" w:color="auto" w:fill="D2D2D2"/>
          </w:tcPr>
          <w:p>
            <w:pPr/>
          </w:p>
        </w:tc>
        <w:tc>
          <w:tcPr>
            <w:tcW w:w="661"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1021"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7" w:right="98"/>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4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418,0</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44,00</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0.00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363,65</w:t>
            </w:r>
          </w:p>
          <w:p>
            <w:pPr>
              <w:pStyle w:val="TableParagraph"/>
              <w:spacing w:line="240" w:lineRule="auto" w:before="93"/>
              <w:ind w:right="0"/>
              <w:jc w:val="right"/>
              <w:rPr>
                <w:rFonts w:ascii="Times New Roman" w:hAnsi="Times New Roman" w:cs="Times New Roman" w:eastAsia="Times New Roman" w:hint="default"/>
                <w:sz w:val="18"/>
                <w:szCs w:val="18"/>
              </w:rPr>
            </w:pPr>
            <w:r>
              <w:rPr>
                <w:rFonts w:ascii="Times New Roman"/>
                <w:sz w:val="18"/>
              </w:rPr>
              <w:t>8,684.</w:t>
            </w:r>
          </w:p>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06</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24" w:space="0" w:color="D2D2D2"/>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-95,76</w:t>
            </w:r>
          </w:p>
          <w:p>
            <w:pPr>
              <w:pStyle w:val="TableParagraph"/>
              <w:spacing w:line="240" w:lineRule="auto" w:before="108"/>
              <w:ind w:left="209" w:right="0"/>
              <w:jc w:val="center"/>
              <w:rPr>
                <w:rFonts w:ascii="Times New Roman" w:hAnsi="Times New Roman" w:cs="Times New Roman" w:eastAsia="Times New Roman" w:hint="default"/>
                <w:sz w:val="18"/>
                <w:szCs w:val="18"/>
              </w:rPr>
            </w:pPr>
            <w:r>
              <w:rPr>
                <w:rFonts w:ascii="Times New Roman"/>
                <w:sz w:val="18"/>
              </w:rPr>
              <w:t>6.54</w:t>
            </w: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101,64</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4,879.</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85</w:t>
            </w:r>
          </w:p>
        </w:tc>
        <w:tc>
          <w:tcPr>
            <w:tcW w:w="586" w:type="dxa"/>
            <w:tcBorders>
              <w:top w:val="single" w:sz="24" w:space="0" w:color="D2D2D2"/>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770,67</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5,231.</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61</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4" w:right="0"/>
              <w:jc w:val="center"/>
              <w:rPr>
                <w:rFonts w:ascii="Times New Roman" w:hAnsi="Times New Roman" w:cs="Times New Roman" w:eastAsia="Times New Roman" w:hint="default"/>
                <w:sz w:val="18"/>
                <w:szCs w:val="18"/>
              </w:rPr>
            </w:pPr>
            <w:r>
              <w:rPr>
                <w:rFonts w:ascii="Times New Roman"/>
                <w:sz w:val="18"/>
              </w:rPr>
              <w:t>1,653,</w:t>
            </w:r>
          </w:p>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927,02</w:t>
            </w:r>
          </w:p>
          <w:p>
            <w:pPr>
              <w:pStyle w:val="TableParagraph"/>
              <w:spacing w:line="240" w:lineRule="auto" w:before="108"/>
              <w:ind w:left="180" w:right="0"/>
              <w:jc w:val="center"/>
              <w:rPr>
                <w:rFonts w:ascii="Times New Roman" w:hAnsi="Times New Roman" w:cs="Times New Roman" w:eastAsia="Times New Roman" w:hint="default"/>
                <w:sz w:val="18"/>
                <w:szCs w:val="18"/>
              </w:rPr>
            </w:pPr>
            <w:r>
              <w:rPr>
                <w:rFonts w:ascii="Times New Roman"/>
                <w:sz w:val="18"/>
              </w:rPr>
              <w:t>8.98</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6,353,9</w:t>
            </w:r>
          </w:p>
          <w:p>
            <w:pPr>
              <w:pStyle w:val="TableParagraph"/>
              <w:spacing w:line="240" w:lineRule="auto" w:before="108"/>
              <w:ind w:left="179" w:right="0"/>
              <w:jc w:val="center"/>
              <w:rPr>
                <w:rFonts w:ascii="Times New Roman" w:hAnsi="Times New Roman" w:cs="Times New Roman" w:eastAsia="Times New Roman" w:hint="default"/>
                <w:sz w:val="18"/>
                <w:szCs w:val="18"/>
              </w:rPr>
            </w:pPr>
            <w:r>
              <w:rPr>
                <w:rFonts w:ascii="Times New Roman"/>
                <w:sz w:val="18"/>
              </w:rPr>
              <w:t>88.31</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1,660,2</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81,017.</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29</w:t>
            </w:r>
          </w:p>
        </w:tc>
      </w:tr>
      <w:tr>
        <w:trPr>
          <w:trHeight w:val="720"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96"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488" w:type="dxa"/>
            <w:tcBorders>
              <w:top w:val="single" w:sz="6" w:space="0" w:color="000000"/>
              <w:left w:val="single" w:sz="12"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65"/>
              <w:ind w:left="7"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88" w:type="dxa"/>
            <w:tcBorders>
              <w:top w:val="single" w:sz="6" w:space="0" w:color="000000"/>
              <w:left w:val="single" w:sz="12"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97" w:firstLine="721"/>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88" w:type="dxa"/>
            <w:tcBorders>
              <w:top w:val="single" w:sz="6" w:space="0" w:color="000000"/>
              <w:left w:val="single" w:sz="12"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8" w:type="dxa"/>
            <w:tcBorders>
              <w:top w:val="single" w:sz="6" w:space="0" w:color="000000"/>
              <w:left w:val="single" w:sz="12"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7" w:lineRule="auto"/>
              <w:ind w:left="7" w:right="98"/>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4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418,0</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44,00</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0.00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z w:val="18"/>
              </w:rPr>
              <w:t>363,65</w:t>
            </w:r>
          </w:p>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sz w:val="18"/>
              </w:rPr>
              <w:t>8,684.</w:t>
            </w:r>
          </w:p>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06</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-95,76</w:t>
            </w:r>
          </w:p>
          <w:p>
            <w:pPr>
              <w:pStyle w:val="TableParagraph"/>
              <w:spacing w:line="240" w:lineRule="auto" w:before="93"/>
              <w:ind w:left="209" w:right="0"/>
              <w:jc w:val="center"/>
              <w:rPr>
                <w:rFonts w:ascii="Times New Roman" w:hAnsi="Times New Roman" w:cs="Times New Roman" w:eastAsia="Times New Roman" w:hint="default"/>
                <w:sz w:val="18"/>
                <w:szCs w:val="18"/>
              </w:rPr>
            </w:pPr>
            <w:r>
              <w:rPr>
                <w:rFonts w:ascii="Times New Roman"/>
                <w:sz w:val="18"/>
              </w:rPr>
              <w:t>6.54</w:t>
            </w: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101,64</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4,879.</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85</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770,67</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5,231.</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61</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4" w:right="0"/>
              <w:jc w:val="center"/>
              <w:rPr>
                <w:rFonts w:ascii="Times New Roman" w:hAnsi="Times New Roman" w:cs="Times New Roman" w:eastAsia="Times New Roman" w:hint="default"/>
                <w:sz w:val="18"/>
                <w:szCs w:val="18"/>
              </w:rPr>
            </w:pPr>
            <w:r>
              <w:rPr>
                <w:rFonts w:ascii="Times New Roman"/>
                <w:sz w:val="18"/>
              </w:rPr>
              <w:t>1,653,</w:t>
            </w:r>
          </w:p>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sz w:val="18"/>
              </w:rPr>
              <w:t>927,02</w:t>
            </w:r>
          </w:p>
          <w:p>
            <w:pPr>
              <w:pStyle w:val="TableParagraph"/>
              <w:spacing w:line="240" w:lineRule="auto" w:before="108"/>
              <w:ind w:left="180" w:right="0"/>
              <w:jc w:val="center"/>
              <w:rPr>
                <w:rFonts w:ascii="Times New Roman" w:hAnsi="Times New Roman" w:cs="Times New Roman" w:eastAsia="Times New Roman" w:hint="default"/>
                <w:sz w:val="18"/>
                <w:szCs w:val="18"/>
              </w:rPr>
            </w:pPr>
            <w:r>
              <w:rPr>
                <w:rFonts w:ascii="Times New Roman"/>
                <w:sz w:val="18"/>
              </w:rPr>
              <w:t>8.98</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6,353,9</w:t>
            </w:r>
          </w:p>
          <w:p>
            <w:pPr>
              <w:pStyle w:val="TableParagraph"/>
              <w:spacing w:line="240" w:lineRule="auto" w:before="93"/>
              <w:ind w:left="179" w:right="0"/>
              <w:jc w:val="center"/>
              <w:rPr>
                <w:rFonts w:ascii="Times New Roman" w:hAnsi="Times New Roman" w:cs="Times New Roman" w:eastAsia="Times New Roman" w:hint="default"/>
                <w:sz w:val="18"/>
                <w:szCs w:val="18"/>
              </w:rPr>
            </w:pPr>
            <w:r>
              <w:rPr>
                <w:rFonts w:ascii="Times New Roman"/>
                <w:sz w:val="18"/>
              </w:rPr>
              <w:t>88.31</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1,660,2</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81,017.</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29</w:t>
            </w:r>
          </w:p>
        </w:tc>
      </w:tr>
      <w:tr>
        <w:trPr>
          <w:trHeight w:val="1336"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98"/>
              <w:jc w:val="left"/>
              <w:rPr>
                <w:rFonts w:ascii="宋体" w:hAnsi="宋体" w:cs="宋体" w:eastAsia="宋体" w:hint="default"/>
                <w:sz w:val="18"/>
                <w:szCs w:val="18"/>
              </w:rPr>
            </w:pPr>
            <w:r>
              <w:rPr>
                <w:rFonts w:ascii="宋体" w:hAnsi="宋体" w:cs="宋体" w:eastAsia="宋体" w:hint="default"/>
                <w:sz w:val="18"/>
                <w:szCs w:val="18"/>
              </w:rPr>
              <w:t>三、本期增减 变动金额（减</w:t>
            </w:r>
          </w:p>
          <w:p>
            <w:pPr>
              <w:pStyle w:val="TableParagraph"/>
              <w:spacing w:line="290" w:lineRule="auto" w:before="44"/>
              <w:ind w:left="7" w:right="112"/>
              <w:jc w:val="left"/>
              <w:rPr>
                <w:rFonts w:ascii="宋体" w:hAnsi="宋体" w:cs="宋体" w:eastAsia="宋体" w:hint="default"/>
                <w:sz w:val="18"/>
                <w:szCs w:val="18"/>
              </w:rPr>
            </w:pP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5"/>
                <w:sz w:val="18"/>
                <w:szCs w:val="18"/>
              </w:rPr>
              <w:t> </w:t>
            </w:r>
            <w:r>
              <w:rPr>
                <w:rFonts w:ascii="宋体" w:hAnsi="宋体" w:cs="宋体" w:eastAsia="宋体" w:hint="default"/>
                <w:sz w:val="18"/>
                <w:szCs w:val="18"/>
              </w:rPr>
              <w:t>列）</w:t>
            </w:r>
          </w:p>
        </w:tc>
        <w:tc>
          <w:tcPr>
            <w:tcW w:w="488" w:type="dxa"/>
            <w:tcBorders>
              <w:top w:val="single" w:sz="6" w:space="0" w:color="000000"/>
              <w:left w:val="single" w:sz="12"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-17,97</w:t>
            </w:r>
          </w:p>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sz w:val="18"/>
              </w:rPr>
              <w:t>1,675.</w:t>
            </w:r>
          </w:p>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50</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2,936,</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069.81</w:t>
            </w: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9,836,</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682.63</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102,53</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4,599.</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83</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97,335</w:t>
            </w:r>
          </w:p>
          <w:p>
            <w:pPr>
              <w:pStyle w:val="TableParagraph"/>
              <w:spacing w:line="240" w:lineRule="auto" w:before="108"/>
              <w:ind w:right="30"/>
              <w:jc w:val="right"/>
              <w:rPr>
                <w:rFonts w:ascii="Times New Roman" w:hAnsi="Times New Roman" w:cs="Times New Roman" w:eastAsia="Times New Roman" w:hint="default"/>
                <w:sz w:val="18"/>
                <w:szCs w:val="18"/>
              </w:rPr>
            </w:pPr>
            <w:r>
              <w:rPr>
                <w:rFonts w:ascii="Times New Roman"/>
                <w:sz w:val="18"/>
              </w:rPr>
              <w:t>,676.7</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7</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4,245,6</w:t>
            </w:r>
          </w:p>
          <w:p>
            <w:pPr>
              <w:pStyle w:val="TableParagraph"/>
              <w:spacing w:line="240" w:lineRule="auto" w:before="93"/>
              <w:ind w:left="179" w:right="0"/>
              <w:jc w:val="center"/>
              <w:rPr>
                <w:rFonts w:ascii="Times New Roman" w:hAnsi="Times New Roman" w:cs="Times New Roman" w:eastAsia="Times New Roman" w:hint="default"/>
                <w:sz w:val="18"/>
                <w:szCs w:val="18"/>
              </w:rPr>
            </w:pPr>
            <w:r>
              <w:rPr>
                <w:rFonts w:ascii="Times New Roman"/>
                <w:sz w:val="18"/>
              </w:rPr>
              <w:t>23.22</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101,581</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,299.99</w:t>
            </w:r>
          </w:p>
        </w:tc>
      </w:tr>
      <w:tr>
        <w:trPr>
          <w:trHeight w:val="1036"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7" w:right="98"/>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88"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2,936,</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069.81</w:t>
            </w: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0" w:right="0"/>
              <w:jc w:val="left"/>
              <w:rPr>
                <w:rFonts w:ascii="Times New Roman" w:hAnsi="Times New Roman" w:cs="Times New Roman" w:eastAsia="Times New Roman" w:hint="default"/>
                <w:sz w:val="18"/>
                <w:szCs w:val="18"/>
              </w:rPr>
            </w:pPr>
            <w:r>
              <w:rPr>
                <w:rFonts w:ascii="Times New Roman"/>
                <w:sz w:val="18"/>
              </w:rPr>
              <w:t>133,27</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3,482.</w:t>
            </w:r>
          </w:p>
          <w:p>
            <w:pPr>
              <w:pStyle w:val="TableParagraph"/>
              <w:spacing w:line="240" w:lineRule="auto" w:before="93"/>
              <w:ind w:left="375" w:right="0"/>
              <w:jc w:val="left"/>
              <w:rPr>
                <w:rFonts w:ascii="Times New Roman" w:hAnsi="Times New Roman" w:cs="Times New Roman" w:eastAsia="Times New Roman" w:hint="default"/>
                <w:sz w:val="18"/>
                <w:szCs w:val="18"/>
              </w:rPr>
            </w:pPr>
            <w:r>
              <w:rPr>
                <w:rFonts w:ascii="Times New Roman"/>
                <w:sz w:val="18"/>
              </w:rPr>
              <w:t>46</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0" w:right="0"/>
              <w:jc w:val="left"/>
              <w:rPr>
                <w:rFonts w:ascii="Times New Roman" w:hAnsi="Times New Roman" w:cs="Times New Roman" w:eastAsia="Times New Roman" w:hint="default"/>
                <w:sz w:val="18"/>
                <w:szCs w:val="18"/>
              </w:rPr>
            </w:pPr>
            <w:r>
              <w:rPr>
                <w:rFonts w:ascii="Times New Roman"/>
                <w:sz w:val="18"/>
              </w:rPr>
              <w:t>136,20</w:t>
            </w:r>
          </w:p>
          <w:p>
            <w:pPr>
              <w:pStyle w:val="TableParagraph"/>
              <w:spacing w:line="240" w:lineRule="auto" w:before="108"/>
              <w:ind w:left="75" w:right="0"/>
              <w:jc w:val="left"/>
              <w:rPr>
                <w:rFonts w:ascii="Times New Roman" w:hAnsi="Times New Roman" w:cs="Times New Roman" w:eastAsia="Times New Roman" w:hint="default"/>
                <w:sz w:val="18"/>
                <w:szCs w:val="18"/>
              </w:rPr>
            </w:pPr>
            <w:r>
              <w:rPr>
                <w:rFonts w:ascii="Times New Roman"/>
                <w:sz w:val="18"/>
              </w:rPr>
              <w:t>9,552.</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27</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773,947</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.72</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136,983</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,499.99</w:t>
            </w:r>
          </w:p>
        </w:tc>
      </w:tr>
      <w:tr>
        <w:trPr>
          <w:trHeight w:val="1021"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98"/>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88" w:type="dxa"/>
            <w:tcBorders>
              <w:top w:val="single" w:sz="6" w:space="0" w:color="000000"/>
              <w:left w:val="single" w:sz="12"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Times New Roman" w:hAnsi="Times New Roman" w:cs="Times New Roman" w:eastAsia="Times New Roman" w:hint="default"/>
                <w:sz w:val="18"/>
                <w:szCs w:val="18"/>
              </w:rPr>
            </w:pPr>
            <w:r>
              <w:rPr>
                <w:rFonts w:ascii="Times New Roman"/>
                <w:sz w:val="18"/>
              </w:rPr>
              <w:t>-17,97</w:t>
            </w:r>
          </w:p>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sz w:val="18"/>
              </w:rPr>
              <w:t>1,675.</w:t>
            </w:r>
          </w:p>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50</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60" w:right="0"/>
              <w:jc w:val="left"/>
              <w:rPr>
                <w:rFonts w:ascii="Times New Roman" w:hAnsi="Times New Roman" w:cs="Times New Roman" w:eastAsia="Times New Roman" w:hint="default"/>
                <w:sz w:val="18"/>
                <w:szCs w:val="18"/>
              </w:rPr>
            </w:pPr>
            <w:r>
              <w:rPr>
                <w:rFonts w:ascii="Times New Roman"/>
                <w:sz w:val="18"/>
              </w:rPr>
              <w:t>-17,97</w:t>
            </w:r>
          </w:p>
          <w:p>
            <w:pPr>
              <w:pStyle w:val="TableParagraph"/>
              <w:spacing w:line="240" w:lineRule="auto" w:before="108"/>
              <w:ind w:left="75" w:right="0"/>
              <w:jc w:val="left"/>
              <w:rPr>
                <w:rFonts w:ascii="Times New Roman" w:hAnsi="Times New Roman" w:cs="Times New Roman" w:eastAsia="Times New Roman" w:hint="default"/>
                <w:sz w:val="18"/>
                <w:szCs w:val="18"/>
              </w:rPr>
            </w:pPr>
            <w:r>
              <w:rPr>
                <w:rFonts w:ascii="Times New Roman"/>
                <w:sz w:val="18"/>
              </w:rPr>
              <w:t>1,675.</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50</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3,471,6</w:t>
            </w:r>
          </w:p>
          <w:p>
            <w:pPr>
              <w:pStyle w:val="TableParagraph"/>
              <w:spacing w:line="240" w:lineRule="auto" w:before="93"/>
              <w:ind w:left="179" w:right="0"/>
              <w:jc w:val="center"/>
              <w:rPr>
                <w:rFonts w:ascii="Times New Roman" w:hAnsi="Times New Roman" w:cs="Times New Roman" w:eastAsia="Times New Roman" w:hint="default"/>
                <w:sz w:val="18"/>
                <w:szCs w:val="18"/>
              </w:rPr>
            </w:pPr>
            <w:r>
              <w:rPr>
                <w:rFonts w:ascii="Times New Roman"/>
                <w:sz w:val="18"/>
              </w:rPr>
              <w:t>75.50</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-14,500</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,000.00</w:t>
            </w:r>
          </w:p>
        </w:tc>
      </w:tr>
      <w:tr>
        <w:trPr>
          <w:trHeight w:val="720"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7" w:right="2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的普通股</w:t>
            </w:r>
          </w:p>
        </w:tc>
        <w:tc>
          <w:tcPr>
            <w:tcW w:w="488" w:type="dxa"/>
            <w:tcBorders>
              <w:top w:val="single" w:sz="6" w:space="0" w:color="000000"/>
              <w:left w:val="single" w:sz="12"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7" w:right="2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．其他权益工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具持有者投入 资本</w:t>
            </w:r>
          </w:p>
        </w:tc>
        <w:tc>
          <w:tcPr>
            <w:tcW w:w="488" w:type="dxa"/>
            <w:tcBorders>
              <w:top w:val="single" w:sz="6" w:space="0" w:color="000000"/>
              <w:left w:val="single" w:sz="12"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7" w:right="2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．股份支付计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入所有者权益 的金额</w:t>
            </w:r>
          </w:p>
        </w:tc>
        <w:tc>
          <w:tcPr>
            <w:tcW w:w="488" w:type="dxa"/>
            <w:tcBorders>
              <w:top w:val="single" w:sz="6" w:space="0" w:color="000000"/>
              <w:left w:val="single" w:sz="12"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17"/>
        <w:gridCol w:w="481"/>
        <w:gridCol w:w="450"/>
        <w:gridCol w:w="451"/>
        <w:gridCol w:w="496"/>
        <w:gridCol w:w="570"/>
        <w:gridCol w:w="586"/>
        <w:gridCol w:w="571"/>
        <w:gridCol w:w="585"/>
        <w:gridCol w:w="571"/>
        <w:gridCol w:w="586"/>
        <w:gridCol w:w="586"/>
        <w:gridCol w:w="571"/>
        <w:gridCol w:w="571"/>
        <w:gridCol w:w="631"/>
        <w:gridCol w:w="661"/>
      </w:tblGrid>
      <w:tr>
        <w:trPr>
          <w:trHeight w:val="1020"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-17,97</w:t>
            </w:r>
          </w:p>
          <w:p>
            <w:pPr>
              <w:pStyle w:val="TableParagraph"/>
              <w:spacing w:line="240" w:lineRule="auto" w:before="93"/>
              <w:ind w:right="0"/>
              <w:jc w:val="right"/>
              <w:rPr>
                <w:rFonts w:ascii="Times New Roman" w:hAnsi="Times New Roman" w:cs="Times New Roman" w:eastAsia="Times New Roman" w:hint="default"/>
                <w:sz w:val="18"/>
                <w:szCs w:val="18"/>
              </w:rPr>
            </w:pPr>
            <w:r>
              <w:rPr>
                <w:rFonts w:ascii="Times New Roman"/>
                <w:sz w:val="18"/>
              </w:rPr>
              <w:t>1,675.</w:t>
            </w:r>
          </w:p>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50</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-17,97</w:t>
            </w:r>
          </w:p>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1,675.</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50</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3,471,6</w:t>
            </w:r>
          </w:p>
          <w:p>
            <w:pPr>
              <w:pStyle w:val="TableParagraph"/>
              <w:spacing w:line="240" w:lineRule="auto" w:before="108"/>
              <w:ind w:left="179" w:right="0"/>
              <w:jc w:val="center"/>
              <w:rPr>
                <w:rFonts w:ascii="Times New Roman" w:hAnsi="Times New Roman" w:cs="Times New Roman" w:eastAsia="Times New Roman" w:hint="default"/>
                <w:sz w:val="18"/>
                <w:szCs w:val="18"/>
              </w:rPr>
            </w:pPr>
            <w:r>
              <w:rPr>
                <w:rFonts w:ascii="Times New Roman"/>
                <w:sz w:val="18"/>
              </w:rPr>
              <w:t>75.50</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-14,500</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,000.00</w:t>
            </w:r>
          </w:p>
        </w:tc>
      </w:tr>
      <w:tr>
        <w:trPr>
          <w:trHeight w:val="10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104"/>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9,836,</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682.63</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-30,73</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8,882.</w:t>
            </w:r>
          </w:p>
          <w:p>
            <w:pPr>
              <w:pStyle w:val="TableParagraph"/>
              <w:spacing w:line="240" w:lineRule="auto" w:before="93"/>
              <w:ind w:left="375" w:right="0"/>
              <w:jc w:val="left"/>
              <w:rPr>
                <w:rFonts w:ascii="Times New Roman" w:hAnsi="Times New Roman" w:cs="Times New Roman" w:eastAsia="Times New Roman" w:hint="default"/>
                <w:sz w:val="18"/>
                <w:szCs w:val="18"/>
              </w:rPr>
            </w:pPr>
            <w:r>
              <w:rPr>
                <w:rFonts w:ascii="Times New Roman"/>
                <w:sz w:val="18"/>
              </w:rPr>
              <w:t>63</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-20,90</w:t>
            </w:r>
          </w:p>
          <w:p>
            <w:pPr>
              <w:pStyle w:val="TableParagraph"/>
              <w:spacing w:line="240" w:lineRule="auto" w:before="108"/>
              <w:ind w:left="75" w:right="0"/>
              <w:jc w:val="left"/>
              <w:rPr>
                <w:rFonts w:ascii="Times New Roman" w:hAnsi="Times New Roman" w:cs="Times New Roman" w:eastAsia="Times New Roman" w:hint="default"/>
                <w:sz w:val="18"/>
                <w:szCs w:val="18"/>
              </w:rPr>
            </w:pPr>
            <w:r>
              <w:rPr>
                <w:rFonts w:ascii="Times New Roman"/>
                <w:sz w:val="18"/>
              </w:rPr>
              <w:t>2,200.</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00</w:t>
            </w: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-20,902</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,200.00</w:t>
            </w:r>
          </w:p>
        </w:tc>
      </w:tr>
      <w:tr>
        <w:trPr>
          <w:trHeight w:val="705"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．提取盈余公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积</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left"/>
              <w:rPr>
                <w:rFonts w:ascii="Times New Roman" w:hAnsi="Times New Roman" w:cs="Times New Roman" w:eastAsia="Times New Roman" w:hint="default"/>
                <w:sz w:val="18"/>
                <w:szCs w:val="18"/>
              </w:rPr>
            </w:pPr>
            <w:r>
              <w:rPr>
                <w:rFonts w:ascii="Times New Roman"/>
                <w:sz w:val="18"/>
              </w:rPr>
              <w:t>9,836,</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682.63</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-9,836,</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682.63</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60"/>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．提取一般风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险准备</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21" w:lineRule="auto" w:before="36"/>
              <w:ind w:left="15" w:right="104"/>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-20,90</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2,200.</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-20,90</w:t>
            </w:r>
          </w:p>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2,200.</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00</w:t>
            </w: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-20,902</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,200.00</w:t>
            </w:r>
          </w:p>
        </w:tc>
      </w:tr>
      <w:tr>
        <w:trPr>
          <w:trHeight w:val="40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104"/>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．资本公积转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增资本（或股 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．盈余公积转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增资本（或股 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．盈余公积弥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补亏损</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．设定受益计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划变动额结转 留存收益</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．其他综合收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益结转留存收 益</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104"/>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4" w:lineRule="auto"/>
              <w:ind w:left="15" w:right="104"/>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418,0</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44,00</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0.00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z w:val="18"/>
              </w:rPr>
              <w:t>345,68</w:t>
            </w:r>
          </w:p>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sz w:val="18"/>
              </w:rPr>
              <w:t>7,008.</w:t>
            </w:r>
          </w:p>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56</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2,840,</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303.27</w:t>
            </w: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111,48</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1,562.</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48</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873,20</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9,831.</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44</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4" w:right="0"/>
              <w:jc w:val="center"/>
              <w:rPr>
                <w:rFonts w:ascii="Times New Roman" w:hAnsi="Times New Roman" w:cs="Times New Roman" w:eastAsia="Times New Roman" w:hint="default"/>
                <w:sz w:val="18"/>
                <w:szCs w:val="18"/>
              </w:rPr>
            </w:pPr>
            <w:r>
              <w:rPr>
                <w:rFonts w:ascii="Times New Roman"/>
                <w:sz w:val="18"/>
              </w:rPr>
              <w:t>1,751,</w:t>
            </w:r>
          </w:p>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sz w:val="18"/>
              </w:rPr>
              <w:t>262,70</w:t>
            </w:r>
          </w:p>
          <w:p>
            <w:pPr>
              <w:pStyle w:val="TableParagraph"/>
              <w:spacing w:line="240" w:lineRule="auto" w:before="108"/>
              <w:ind w:left="180" w:right="0"/>
              <w:jc w:val="center"/>
              <w:rPr>
                <w:rFonts w:ascii="Times New Roman" w:hAnsi="Times New Roman" w:cs="Times New Roman" w:eastAsia="Times New Roman" w:hint="default"/>
                <w:sz w:val="18"/>
                <w:szCs w:val="18"/>
              </w:rPr>
            </w:pPr>
            <w:r>
              <w:rPr>
                <w:rFonts w:ascii="Times New Roman"/>
                <w:sz w:val="18"/>
              </w:rPr>
              <w:t>5.75</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10,599,</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611.53</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1,761,8</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62,317.</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28</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pStyle w:val="Heading4"/>
        <w:spacing w:line="240" w:lineRule="auto" w:before="150"/>
        <w:ind w:right="1100"/>
        <w:jc w:val="left"/>
        <w:rPr>
          <w:b w:val="0"/>
          <w:bCs w:val="0"/>
        </w:rPr>
      </w:pPr>
      <w:bookmarkStart w:name="8、母公司所有者权益变动表" w:id="166"/>
      <w:bookmarkEnd w:id="166"/>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right="1100"/>
        <w:jc w:val="left"/>
      </w:pPr>
      <w:r>
        <w:rPr/>
        <w:t>本期金额</w:t>
      </w:r>
    </w:p>
    <w:p>
      <w:pPr>
        <w:pStyle w:val="BodyText"/>
        <w:spacing w:line="240" w:lineRule="auto" w:before="110"/>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299"/>
        <w:gridCol w:w="631"/>
        <w:gridCol w:w="601"/>
        <w:gridCol w:w="601"/>
        <w:gridCol w:w="615"/>
        <w:gridCol w:w="721"/>
        <w:gridCol w:w="736"/>
        <w:gridCol w:w="721"/>
        <w:gridCol w:w="736"/>
        <w:gridCol w:w="721"/>
        <w:gridCol w:w="616"/>
        <w:gridCol w:w="706"/>
        <w:gridCol w:w="871"/>
      </w:tblGrid>
      <w:tr>
        <w:trPr>
          <w:trHeight w:val="398" w:hRule="exact"/>
        </w:trPr>
        <w:tc>
          <w:tcPr>
            <w:tcW w:w="129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37"/>
              <w:jc w:val="center"/>
              <w:rPr>
                <w:rFonts w:ascii="宋体" w:hAnsi="宋体" w:cs="宋体" w:eastAsia="宋体" w:hint="default"/>
                <w:sz w:val="18"/>
                <w:szCs w:val="18"/>
              </w:rPr>
            </w:pPr>
            <w:r>
              <w:rPr>
                <w:rFonts w:ascii="宋体" w:hAnsi="宋体" w:cs="宋体" w:eastAsia="宋体" w:hint="default"/>
                <w:sz w:val="18"/>
                <w:szCs w:val="18"/>
              </w:rPr>
              <w:t>项目</w:t>
            </w:r>
          </w:p>
        </w:tc>
        <w:tc>
          <w:tcPr>
            <w:tcW w:w="8275"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r>
      <w:tr>
        <w:trPr>
          <w:trHeight w:val="210" w:hRule="exact"/>
        </w:trPr>
        <w:tc>
          <w:tcPr>
            <w:tcW w:w="1299" w:type="dxa"/>
            <w:vMerge/>
            <w:tcBorders>
              <w:left w:val="single" w:sz="6" w:space="0" w:color="000000"/>
              <w:right w:val="single" w:sz="6" w:space="0" w:color="000000"/>
            </w:tcBorders>
            <w:shd w:val="clear" w:color="auto" w:fill="D2D2D2"/>
          </w:tcPr>
          <w:p>
            <w:pPr/>
          </w:p>
        </w:tc>
        <w:tc>
          <w:tcPr>
            <w:tcW w:w="631" w:type="dxa"/>
            <w:tcBorders>
              <w:top w:val="single" w:sz="6" w:space="0" w:color="000000"/>
              <w:left w:val="single" w:sz="6" w:space="0" w:color="000000"/>
              <w:bottom w:val="nil" w:sz="6" w:space="0" w:color="auto"/>
              <w:right w:val="single" w:sz="6" w:space="0" w:color="000000"/>
            </w:tcBorders>
            <w:shd w:val="clear" w:color="auto" w:fill="D2D2D2"/>
          </w:tcPr>
          <w:p>
            <w:pPr/>
          </w:p>
        </w:tc>
        <w:tc>
          <w:tcPr>
            <w:tcW w:w="1817"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7"/>
              <w:ind w:left="34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255" w:right="90"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3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270" w:right="15" w:hanging="241"/>
              <w:jc w:val="left"/>
              <w:rPr>
                <w:rFonts w:ascii="宋体" w:hAnsi="宋体" w:cs="宋体" w:eastAsia="宋体" w:hint="default"/>
                <w:sz w:val="18"/>
                <w:szCs w:val="18"/>
              </w:rPr>
            </w:pPr>
            <w:r>
              <w:rPr>
                <w:rFonts w:ascii="宋体" w:hAnsi="宋体" w:cs="宋体" w:eastAsia="宋体" w:hint="default"/>
                <w:spacing w:val="-12"/>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75" w:right="90"/>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3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270" w:right="88"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254" w:right="88"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105" w:right="44" w:hanging="91"/>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06" w:type="dxa"/>
            <w:tcBorders>
              <w:top w:val="single" w:sz="6" w:space="0" w:color="000000"/>
              <w:left w:val="single" w:sz="6" w:space="0" w:color="000000"/>
              <w:bottom w:val="nil" w:sz="6" w:space="0" w:color="auto"/>
              <w:right w:val="single" w:sz="6" w:space="0" w:color="000000"/>
            </w:tcBorders>
            <w:shd w:val="clear" w:color="auto" w:fill="D2D2D2"/>
          </w:tcPr>
          <w:p>
            <w:pPr/>
          </w:p>
        </w:tc>
        <w:tc>
          <w:tcPr>
            <w:tcW w:w="87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165" w:right="58"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8" w:hRule="exact"/>
        </w:trPr>
        <w:tc>
          <w:tcPr>
            <w:tcW w:w="1299" w:type="dxa"/>
            <w:vMerge/>
            <w:tcBorders>
              <w:left w:val="single" w:sz="6" w:space="0" w:color="000000"/>
              <w:right w:val="single" w:sz="6" w:space="0" w:color="000000"/>
            </w:tcBorders>
            <w:shd w:val="clear" w:color="auto" w:fill="D2D2D2"/>
          </w:tcPr>
          <w:p>
            <w:pPr/>
          </w:p>
        </w:tc>
        <w:tc>
          <w:tcPr>
            <w:tcW w:w="63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3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7" w:type="dxa"/>
            <w:gridSpan w:val="3"/>
            <w:vMerge/>
            <w:tcBorders>
              <w:left w:val="single" w:sz="6" w:space="0" w:color="000000"/>
              <w:bottom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616" w:type="dxa"/>
            <w:vMerge/>
            <w:tcBorders>
              <w:left w:val="single" w:sz="6" w:space="0" w:color="000000"/>
              <w:right w:val="single" w:sz="6" w:space="0" w:color="000000"/>
            </w:tcBorders>
            <w:shd w:val="clear" w:color="auto" w:fill="D2D2D2"/>
          </w:tcPr>
          <w:p>
            <w:pPr/>
          </w:p>
        </w:tc>
        <w:tc>
          <w:tcPr>
            <w:tcW w:w="70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6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1" w:type="dxa"/>
            <w:vMerge/>
            <w:tcBorders>
              <w:left w:val="single" w:sz="6" w:space="0" w:color="000000"/>
              <w:right w:val="single" w:sz="6" w:space="0" w:color="000000"/>
            </w:tcBorders>
            <w:shd w:val="clear" w:color="auto" w:fill="D2D2D2"/>
          </w:tcPr>
          <w:p>
            <w:pPr/>
          </w:p>
        </w:tc>
      </w:tr>
      <w:tr>
        <w:trPr>
          <w:trHeight w:val="203" w:hRule="exact"/>
        </w:trPr>
        <w:tc>
          <w:tcPr>
            <w:tcW w:w="1299" w:type="dxa"/>
            <w:vMerge/>
            <w:tcBorders>
              <w:left w:val="single" w:sz="6" w:space="0" w:color="000000"/>
              <w:right w:val="single" w:sz="6" w:space="0" w:color="000000"/>
            </w:tcBorders>
            <w:shd w:val="clear" w:color="auto" w:fill="D2D2D2"/>
          </w:tcPr>
          <w:p>
            <w:pPr/>
          </w:p>
        </w:tc>
        <w:tc>
          <w:tcPr>
            <w:tcW w:w="631" w:type="dxa"/>
            <w:vMerge/>
            <w:tcBorders>
              <w:left w:val="single" w:sz="6" w:space="0" w:color="000000"/>
              <w:bottom w:val="nil" w:sz="6" w:space="0" w:color="auto"/>
              <w:right w:val="single" w:sz="6" w:space="0" w:color="000000"/>
            </w:tcBorders>
            <w:shd w:val="clear" w:color="auto" w:fill="D2D2D2"/>
          </w:tcPr>
          <w:p>
            <w:pPr/>
          </w:p>
        </w:tc>
        <w:tc>
          <w:tcPr>
            <w:tcW w:w="60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1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1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616" w:type="dxa"/>
            <w:vMerge/>
            <w:tcBorders>
              <w:left w:val="single" w:sz="6" w:space="0" w:color="000000"/>
              <w:right w:val="single" w:sz="6" w:space="0" w:color="000000"/>
            </w:tcBorders>
            <w:shd w:val="clear" w:color="auto" w:fill="D2D2D2"/>
          </w:tcPr>
          <w:p>
            <w:pPr/>
          </w:p>
        </w:tc>
        <w:tc>
          <w:tcPr>
            <w:tcW w:w="706" w:type="dxa"/>
            <w:vMerge/>
            <w:tcBorders>
              <w:left w:val="single" w:sz="6" w:space="0" w:color="000000"/>
              <w:bottom w:val="nil" w:sz="6" w:space="0" w:color="auto"/>
              <w:right w:val="single" w:sz="6" w:space="0" w:color="000000"/>
            </w:tcBorders>
            <w:shd w:val="clear" w:color="auto" w:fill="D2D2D2"/>
          </w:tcPr>
          <w:p>
            <w:pPr/>
          </w:p>
        </w:tc>
        <w:tc>
          <w:tcPr>
            <w:tcW w:w="871" w:type="dxa"/>
            <w:vMerge/>
            <w:tcBorders>
              <w:left w:val="single" w:sz="6" w:space="0" w:color="000000"/>
              <w:right w:val="single" w:sz="6" w:space="0" w:color="000000"/>
            </w:tcBorders>
            <w:shd w:val="clear" w:color="auto" w:fill="D2D2D2"/>
          </w:tcPr>
          <w:p>
            <w:pPr/>
          </w:p>
        </w:tc>
      </w:tr>
      <w:tr>
        <w:trPr>
          <w:trHeight w:val="202" w:hRule="exact"/>
        </w:trPr>
        <w:tc>
          <w:tcPr>
            <w:tcW w:w="1299" w:type="dxa"/>
            <w:vMerge/>
            <w:tcBorders>
              <w:left w:val="single" w:sz="6" w:space="0" w:color="000000"/>
              <w:bottom w:val="single" w:sz="6" w:space="0" w:color="000000"/>
              <w:right w:val="single" w:sz="6" w:space="0" w:color="000000"/>
            </w:tcBorders>
            <w:shd w:val="clear" w:color="auto" w:fill="D2D2D2"/>
          </w:tcPr>
          <w:p>
            <w:pPr/>
          </w:p>
        </w:tc>
        <w:tc>
          <w:tcPr>
            <w:tcW w:w="631" w:type="dxa"/>
            <w:tcBorders>
              <w:top w:val="nil" w:sz="6" w:space="0" w:color="auto"/>
              <w:left w:val="single" w:sz="6" w:space="0" w:color="000000"/>
              <w:bottom w:val="single" w:sz="6" w:space="0" w:color="000000"/>
              <w:right w:val="single" w:sz="6" w:space="0" w:color="000000"/>
            </w:tcBorders>
            <w:shd w:val="clear" w:color="auto" w:fill="D2D2D2"/>
          </w:tcPr>
          <w:p>
            <w:pPr/>
          </w:p>
        </w:tc>
        <w:tc>
          <w:tcPr>
            <w:tcW w:w="601" w:type="dxa"/>
            <w:vMerge/>
            <w:tcBorders>
              <w:left w:val="single" w:sz="6" w:space="0" w:color="000000"/>
              <w:bottom w:val="single" w:sz="6" w:space="0" w:color="000000"/>
              <w:right w:val="single" w:sz="6" w:space="0" w:color="000000"/>
            </w:tcBorders>
            <w:shd w:val="clear" w:color="auto" w:fill="D2D2D2"/>
          </w:tcPr>
          <w:p>
            <w:pPr/>
          </w:p>
        </w:tc>
        <w:tc>
          <w:tcPr>
            <w:tcW w:w="601" w:type="dxa"/>
            <w:vMerge/>
            <w:tcBorders>
              <w:left w:val="single" w:sz="6" w:space="0" w:color="000000"/>
              <w:bottom w:val="single" w:sz="6" w:space="0" w:color="000000"/>
              <w:right w:val="single" w:sz="6" w:space="0" w:color="000000"/>
            </w:tcBorders>
            <w:shd w:val="clear" w:color="auto" w:fill="D2D2D2"/>
          </w:tcPr>
          <w:p>
            <w:pPr/>
          </w:p>
        </w:tc>
        <w:tc>
          <w:tcPr>
            <w:tcW w:w="615" w:type="dxa"/>
            <w:vMerge/>
            <w:tcBorders>
              <w:left w:val="single" w:sz="6" w:space="0" w:color="000000"/>
              <w:bottom w:val="single" w:sz="6" w:space="0" w:color="000000"/>
              <w:right w:val="single" w:sz="6" w:space="0" w:color="000000"/>
            </w:tcBorders>
            <w:shd w:val="clear" w:color="auto" w:fill="D2D2D2"/>
          </w:tcPr>
          <w:p>
            <w:pPr/>
          </w:p>
        </w:tc>
        <w:tc>
          <w:tcPr>
            <w:tcW w:w="721" w:type="dxa"/>
            <w:vMerge/>
            <w:tcBorders>
              <w:left w:val="single" w:sz="6" w:space="0" w:color="000000"/>
              <w:bottom w:val="single" w:sz="6" w:space="0" w:color="000000"/>
              <w:right w:val="single" w:sz="6" w:space="0" w:color="000000"/>
            </w:tcBorders>
            <w:shd w:val="clear" w:color="auto" w:fill="D2D2D2"/>
          </w:tcPr>
          <w:p>
            <w:pPr/>
          </w:p>
        </w:tc>
        <w:tc>
          <w:tcPr>
            <w:tcW w:w="736" w:type="dxa"/>
            <w:vMerge/>
            <w:tcBorders>
              <w:left w:val="single" w:sz="6" w:space="0" w:color="000000"/>
              <w:bottom w:val="single" w:sz="6" w:space="0" w:color="000000"/>
              <w:right w:val="single" w:sz="6" w:space="0" w:color="000000"/>
            </w:tcBorders>
            <w:shd w:val="clear" w:color="auto" w:fill="D2D2D2"/>
          </w:tcPr>
          <w:p>
            <w:pPr/>
          </w:p>
        </w:tc>
        <w:tc>
          <w:tcPr>
            <w:tcW w:w="721" w:type="dxa"/>
            <w:vMerge/>
            <w:tcBorders>
              <w:left w:val="single" w:sz="6" w:space="0" w:color="000000"/>
              <w:bottom w:val="single" w:sz="6" w:space="0" w:color="000000"/>
              <w:right w:val="single" w:sz="6" w:space="0" w:color="000000"/>
            </w:tcBorders>
            <w:shd w:val="clear" w:color="auto" w:fill="D2D2D2"/>
          </w:tcPr>
          <w:p>
            <w:pPr/>
          </w:p>
        </w:tc>
        <w:tc>
          <w:tcPr>
            <w:tcW w:w="736" w:type="dxa"/>
            <w:vMerge/>
            <w:tcBorders>
              <w:left w:val="single" w:sz="6" w:space="0" w:color="000000"/>
              <w:bottom w:val="single" w:sz="6" w:space="0" w:color="000000"/>
              <w:right w:val="single" w:sz="6" w:space="0" w:color="000000"/>
            </w:tcBorders>
            <w:shd w:val="clear" w:color="auto" w:fill="D2D2D2"/>
          </w:tcPr>
          <w:p>
            <w:pPr/>
          </w:p>
        </w:tc>
        <w:tc>
          <w:tcPr>
            <w:tcW w:w="721" w:type="dxa"/>
            <w:vMerge/>
            <w:tcBorders>
              <w:left w:val="single" w:sz="6" w:space="0" w:color="000000"/>
              <w:bottom w:val="single" w:sz="6" w:space="0" w:color="000000"/>
              <w:right w:val="single" w:sz="6" w:space="0" w:color="000000"/>
            </w:tcBorders>
            <w:shd w:val="clear" w:color="auto" w:fill="D2D2D2"/>
          </w:tcPr>
          <w:p>
            <w:pPr/>
          </w:p>
        </w:tc>
        <w:tc>
          <w:tcPr>
            <w:tcW w:w="616" w:type="dxa"/>
            <w:vMerge/>
            <w:tcBorders>
              <w:left w:val="single" w:sz="6" w:space="0" w:color="000000"/>
              <w:bottom w:val="single" w:sz="6" w:space="0" w:color="000000"/>
              <w:right w:val="single" w:sz="6" w:space="0" w:color="000000"/>
            </w:tcBorders>
            <w:shd w:val="clear" w:color="auto" w:fill="D2D2D2"/>
          </w:tcPr>
          <w:p>
            <w:pPr/>
          </w:p>
        </w:tc>
        <w:tc>
          <w:tcPr>
            <w:tcW w:w="706" w:type="dxa"/>
            <w:tcBorders>
              <w:top w:val="nil" w:sz="6" w:space="0" w:color="auto"/>
              <w:left w:val="single" w:sz="6" w:space="0" w:color="000000"/>
              <w:bottom w:val="single" w:sz="6" w:space="0" w:color="000000"/>
              <w:right w:val="single" w:sz="6" w:space="0" w:color="000000"/>
            </w:tcBorders>
            <w:shd w:val="clear" w:color="auto" w:fill="D2D2D2"/>
          </w:tcPr>
          <w:p>
            <w:pPr/>
          </w:p>
        </w:tc>
        <w:tc>
          <w:tcPr>
            <w:tcW w:w="871" w:type="dxa"/>
            <w:vMerge/>
            <w:tcBorders>
              <w:left w:val="single" w:sz="6" w:space="0" w:color="000000"/>
              <w:bottom w:val="single" w:sz="6" w:space="0" w:color="000000"/>
              <w:right w:val="single" w:sz="6" w:space="0" w:color="000000"/>
            </w:tcBorders>
            <w:shd w:val="clear" w:color="auto" w:fill="D2D2D2"/>
          </w:tcPr>
          <w:p>
            <w:pPr/>
          </w:p>
        </w:tc>
      </w:tr>
      <w:tr>
        <w:trPr>
          <w:trHeight w:val="1036" w:hRule="exact"/>
        </w:trPr>
        <w:tc>
          <w:tcPr>
            <w:tcW w:w="12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7" w:right="29"/>
              <w:jc w:val="left"/>
              <w:rPr>
                <w:rFonts w:ascii="宋体" w:hAnsi="宋体" w:cs="宋体" w:eastAsia="宋体" w:hint="default"/>
                <w:sz w:val="18"/>
                <w:szCs w:val="18"/>
              </w:rPr>
            </w:pPr>
            <w:r>
              <w:rPr>
                <w:rFonts w:ascii="宋体" w:hAnsi="宋体" w:cs="宋体" w:eastAsia="宋体" w:hint="default"/>
                <w:spacing w:val="-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418,04</w:t>
            </w:r>
          </w:p>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363,658,</w:t>
            </w:r>
          </w:p>
          <w:p>
            <w:pPr>
              <w:pStyle w:val="TableParagraph"/>
              <w:spacing w:line="240" w:lineRule="auto" w:before="108"/>
              <w:ind w:left="180" w:right="0"/>
              <w:jc w:val="center"/>
              <w:rPr>
                <w:rFonts w:ascii="Times New Roman" w:hAnsi="Times New Roman" w:cs="Times New Roman" w:eastAsia="Times New Roman" w:hint="default"/>
                <w:sz w:val="18"/>
                <w:szCs w:val="18"/>
              </w:rPr>
            </w:pPr>
            <w:r>
              <w:rPr>
                <w:rFonts w:ascii="Times New Roman"/>
                <w:sz w:val="18"/>
              </w:rPr>
              <w:t>684.06</w:t>
            </w:r>
          </w:p>
        </w:tc>
        <w:tc>
          <w:tcPr>
            <w:tcW w:w="736" w:type="dxa"/>
            <w:tcBorders>
              <w:top w:val="single" w:sz="24" w:space="0" w:color="D2D2D2"/>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67,590.6</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4</w:t>
            </w:r>
          </w:p>
        </w:tc>
        <w:tc>
          <w:tcPr>
            <w:tcW w:w="736" w:type="dxa"/>
            <w:tcBorders>
              <w:top w:val="single" w:sz="24" w:space="0" w:color="D2D2D2"/>
              <w:left w:val="single" w:sz="6" w:space="0" w:color="000000"/>
              <w:bottom w:val="single" w:sz="6" w:space="0" w:color="000000"/>
              <w:right w:val="single" w:sz="6" w:space="0" w:color="000000"/>
            </w:tcBorders>
          </w:tcPr>
          <w:p>
            <w:pPr/>
          </w:p>
        </w:tc>
        <w:tc>
          <w:tcPr>
            <w:tcW w:w="721" w:type="dxa"/>
            <w:tcBorders>
              <w:top w:val="single" w:sz="24" w:space="0" w:color="D2D2D2"/>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111,481,</w:t>
            </w:r>
          </w:p>
          <w:p>
            <w:pPr>
              <w:pStyle w:val="TableParagraph"/>
              <w:spacing w:line="240" w:lineRule="auto" w:before="108"/>
              <w:ind w:left="179" w:right="0"/>
              <w:jc w:val="center"/>
              <w:rPr>
                <w:rFonts w:ascii="Times New Roman" w:hAnsi="Times New Roman" w:cs="Times New Roman" w:eastAsia="Times New Roman" w:hint="default"/>
                <w:sz w:val="18"/>
                <w:szCs w:val="18"/>
              </w:rPr>
            </w:pPr>
            <w:r>
              <w:rPr>
                <w:rFonts w:ascii="Times New Roman"/>
                <w:sz w:val="18"/>
              </w:rPr>
              <w:t>562.48</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796,43</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4,134.9</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4</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24" w:space="0" w:color="D2D2D2"/>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1,689,685,</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972.12</w:t>
            </w:r>
          </w:p>
        </w:tc>
      </w:tr>
      <w:tr>
        <w:trPr>
          <w:trHeight w:val="706" w:hRule="exact"/>
        </w:trPr>
        <w:tc>
          <w:tcPr>
            <w:tcW w:w="12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28" w:firstLine="360"/>
              <w:jc w:val="left"/>
              <w:rPr>
                <w:rFonts w:ascii="宋体" w:hAnsi="宋体" w:cs="宋体" w:eastAsia="宋体" w:hint="default"/>
                <w:sz w:val="18"/>
                <w:szCs w:val="18"/>
              </w:rPr>
            </w:pPr>
            <w:r>
              <w:rPr>
                <w:rFonts w:ascii="宋体" w:hAnsi="宋体" w:cs="宋体" w:eastAsia="宋体" w:hint="default"/>
                <w:spacing w:val="-3"/>
                <w:sz w:val="18"/>
                <w:szCs w:val="18"/>
              </w:rPr>
              <w:t>加：会计政</w:t>
            </w:r>
            <w:r>
              <w:rPr>
                <w:rFonts w:ascii="宋体" w:hAnsi="宋体" w:cs="宋体" w:eastAsia="宋体" w:hint="default"/>
                <w:sz w:val="18"/>
                <w:szCs w:val="18"/>
              </w:rPr>
              <w:t> 策变更</w:t>
            </w:r>
          </w:p>
        </w:tc>
        <w:tc>
          <w:tcPr>
            <w:tcW w:w="631"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Times New Roman" w:hAnsi="Times New Roman" w:cs="Times New Roman" w:eastAsia="Times New Roman" w:hint="default"/>
                <w:sz w:val="18"/>
                <w:szCs w:val="18"/>
              </w:rPr>
            </w:pPr>
            <w:r>
              <w:rPr>
                <w:rFonts w:ascii="Times New Roman"/>
                <w:sz w:val="18"/>
              </w:rPr>
              <w:t>3,151,0</w:t>
            </w:r>
          </w:p>
          <w:p>
            <w:pPr>
              <w:pStyle w:val="TableParagraph"/>
              <w:spacing w:line="240" w:lineRule="auto" w:before="108"/>
              <w:ind w:left="135" w:right="0"/>
              <w:jc w:val="center"/>
              <w:rPr>
                <w:rFonts w:ascii="Times New Roman" w:hAnsi="Times New Roman" w:cs="Times New Roman" w:eastAsia="Times New Roman" w:hint="default"/>
                <w:sz w:val="18"/>
                <w:szCs w:val="18"/>
              </w:rPr>
            </w:pPr>
            <w:r>
              <w:rPr>
                <w:rFonts w:ascii="Times New Roman"/>
                <w:sz w:val="18"/>
              </w:rPr>
              <w:t>66.21</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3,151,066.</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21</w:t>
            </w:r>
          </w:p>
        </w:tc>
      </w:tr>
      <w:tr>
        <w:trPr>
          <w:trHeight w:val="721" w:hRule="exact"/>
        </w:trPr>
        <w:tc>
          <w:tcPr>
            <w:tcW w:w="12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64"/>
              <w:ind w:left="7"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31"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31"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7" w:right="29"/>
              <w:jc w:val="left"/>
              <w:rPr>
                <w:rFonts w:ascii="宋体" w:hAnsi="宋体" w:cs="宋体" w:eastAsia="宋体" w:hint="default"/>
                <w:sz w:val="18"/>
                <w:szCs w:val="18"/>
              </w:rPr>
            </w:pPr>
            <w:r>
              <w:rPr>
                <w:rFonts w:ascii="宋体" w:hAnsi="宋体" w:cs="宋体" w:eastAsia="宋体" w:hint="default"/>
                <w:spacing w:val="-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418,04</w:t>
            </w:r>
          </w:p>
          <w:p>
            <w:pPr>
              <w:pStyle w:val="TableParagraph"/>
              <w:spacing w:line="240" w:lineRule="auto" w:before="108"/>
              <w:ind w:right="15"/>
              <w:jc w:val="right"/>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363,658,</w:t>
            </w:r>
          </w:p>
          <w:p>
            <w:pPr>
              <w:pStyle w:val="TableParagraph"/>
              <w:spacing w:line="240" w:lineRule="auto" w:before="93"/>
              <w:ind w:left="180" w:right="0"/>
              <w:jc w:val="center"/>
              <w:rPr>
                <w:rFonts w:ascii="Times New Roman" w:hAnsi="Times New Roman" w:cs="Times New Roman" w:eastAsia="Times New Roman" w:hint="default"/>
                <w:sz w:val="18"/>
                <w:szCs w:val="18"/>
              </w:rPr>
            </w:pPr>
            <w:r>
              <w:rPr>
                <w:rFonts w:ascii="Times New Roman"/>
                <w:sz w:val="18"/>
              </w:rPr>
              <w:t>684.06</w:t>
            </w: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67,590.6</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4</w:t>
            </w: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111,481,</w:t>
            </w:r>
          </w:p>
          <w:p>
            <w:pPr>
              <w:pStyle w:val="TableParagraph"/>
              <w:spacing w:line="240" w:lineRule="auto" w:before="93"/>
              <w:ind w:left="179" w:right="0"/>
              <w:jc w:val="center"/>
              <w:rPr>
                <w:rFonts w:ascii="Times New Roman" w:hAnsi="Times New Roman" w:cs="Times New Roman" w:eastAsia="Times New Roman" w:hint="default"/>
                <w:sz w:val="18"/>
                <w:szCs w:val="18"/>
              </w:rPr>
            </w:pPr>
            <w:r>
              <w:rPr>
                <w:rFonts w:ascii="Times New Roman"/>
                <w:sz w:val="18"/>
              </w:rPr>
              <w:t>562.48</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799,58</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5,201.1</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5</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1,692,837,</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038.33</w:t>
            </w:r>
          </w:p>
        </w:tc>
      </w:tr>
      <w:tr>
        <w:trPr>
          <w:trHeight w:val="1021" w:hRule="exact"/>
        </w:trPr>
        <w:tc>
          <w:tcPr>
            <w:tcW w:w="12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29"/>
              <w:jc w:val="both"/>
              <w:rPr>
                <w:rFonts w:ascii="宋体" w:hAnsi="宋体" w:cs="宋体" w:eastAsia="宋体" w:hint="default"/>
                <w:sz w:val="18"/>
                <w:szCs w:val="18"/>
              </w:rPr>
            </w:pPr>
            <w:r>
              <w:rPr>
                <w:rFonts w:ascii="宋体" w:hAnsi="宋体" w:cs="宋体" w:eastAsia="宋体" w:hint="default"/>
                <w:spacing w:val="-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31"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133,731.</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89</w:t>
            </w: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3,446,45</w:t>
            </w:r>
          </w:p>
          <w:p>
            <w:pPr>
              <w:pStyle w:val="TableParagraph"/>
              <w:spacing w:line="240" w:lineRule="auto" w:before="108"/>
              <w:ind w:left="374" w:right="0"/>
              <w:jc w:val="left"/>
              <w:rPr>
                <w:rFonts w:ascii="Times New Roman" w:hAnsi="Times New Roman" w:cs="Times New Roman" w:eastAsia="Times New Roman" w:hint="default"/>
                <w:sz w:val="18"/>
                <w:szCs w:val="18"/>
              </w:rPr>
            </w:pPr>
            <w:r>
              <w:rPr>
                <w:rFonts w:ascii="Times New Roman"/>
                <w:sz w:val="18"/>
              </w:rPr>
              <w:t>1.04</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10,115,</w:t>
            </w:r>
          </w:p>
          <w:p>
            <w:pPr>
              <w:pStyle w:val="TableParagraph"/>
              <w:spacing w:line="240" w:lineRule="auto" w:before="108"/>
              <w:ind w:left="75" w:right="0"/>
              <w:jc w:val="left"/>
              <w:rPr>
                <w:rFonts w:ascii="Times New Roman" w:hAnsi="Times New Roman" w:cs="Times New Roman" w:eastAsia="Times New Roman" w:hint="default"/>
                <w:sz w:val="18"/>
                <w:szCs w:val="18"/>
              </w:rPr>
            </w:pPr>
            <w:r>
              <w:rPr>
                <w:rFonts w:ascii="Times New Roman"/>
                <w:sz w:val="18"/>
              </w:rPr>
              <w:t>859.35</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13,696,04</w:t>
            </w:r>
          </w:p>
          <w:p>
            <w:pPr>
              <w:pStyle w:val="TableParagraph"/>
              <w:spacing w:line="240" w:lineRule="auto" w:before="108"/>
              <w:ind w:left="525" w:right="0"/>
              <w:jc w:val="left"/>
              <w:rPr>
                <w:rFonts w:ascii="Times New Roman" w:hAnsi="Times New Roman" w:cs="Times New Roman" w:eastAsia="Times New Roman" w:hint="default"/>
                <w:sz w:val="18"/>
                <w:szCs w:val="18"/>
              </w:rPr>
            </w:pPr>
            <w:r>
              <w:rPr>
                <w:rFonts w:ascii="Times New Roman"/>
                <w:sz w:val="18"/>
              </w:rPr>
              <w:t>2.28</w:t>
            </w:r>
          </w:p>
        </w:tc>
      </w:tr>
      <w:tr>
        <w:trPr>
          <w:trHeight w:val="721" w:hRule="exact"/>
        </w:trPr>
        <w:tc>
          <w:tcPr>
            <w:tcW w:w="12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29"/>
              <w:jc w:val="left"/>
              <w:rPr>
                <w:rFonts w:ascii="宋体" w:hAnsi="宋体" w:cs="宋体" w:eastAsia="宋体" w:hint="default"/>
                <w:sz w:val="18"/>
                <w:szCs w:val="18"/>
              </w:rPr>
            </w:pPr>
            <w:r>
              <w:rPr>
                <w:rFonts w:ascii="宋体" w:hAnsi="宋体" w:cs="宋体" w:eastAsia="宋体" w:hint="default"/>
                <w:spacing w:val="-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631"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133,731.</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89</w:t>
            </w: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34,464,</w:t>
            </w:r>
          </w:p>
          <w:p>
            <w:pPr>
              <w:pStyle w:val="TableParagraph"/>
              <w:spacing w:line="240" w:lineRule="auto" w:before="108"/>
              <w:ind w:left="75" w:right="0"/>
              <w:jc w:val="left"/>
              <w:rPr>
                <w:rFonts w:ascii="Times New Roman" w:hAnsi="Times New Roman" w:cs="Times New Roman" w:eastAsia="Times New Roman" w:hint="default"/>
                <w:sz w:val="18"/>
                <w:szCs w:val="18"/>
              </w:rPr>
            </w:pPr>
            <w:r>
              <w:rPr>
                <w:rFonts w:ascii="Times New Roman"/>
                <w:sz w:val="18"/>
              </w:rPr>
              <w:t>510.39</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20" w:right="0"/>
              <w:jc w:val="left"/>
              <w:rPr>
                <w:rFonts w:ascii="Times New Roman" w:hAnsi="Times New Roman" w:cs="Times New Roman" w:eastAsia="Times New Roman" w:hint="default"/>
                <w:sz w:val="18"/>
                <w:szCs w:val="18"/>
              </w:rPr>
            </w:pPr>
            <w:r>
              <w:rPr>
                <w:rFonts w:ascii="Times New Roman"/>
                <w:sz w:val="18"/>
              </w:rPr>
              <w:t>34,598,24</w:t>
            </w:r>
          </w:p>
          <w:p>
            <w:pPr>
              <w:pStyle w:val="TableParagraph"/>
              <w:spacing w:line="240" w:lineRule="auto" w:before="108"/>
              <w:ind w:left="525" w:right="0"/>
              <w:jc w:val="left"/>
              <w:rPr>
                <w:rFonts w:ascii="Times New Roman" w:hAnsi="Times New Roman" w:cs="Times New Roman" w:eastAsia="Times New Roman" w:hint="default"/>
                <w:sz w:val="18"/>
                <w:szCs w:val="18"/>
              </w:rPr>
            </w:pPr>
            <w:r>
              <w:rPr>
                <w:rFonts w:ascii="Times New Roman"/>
                <w:sz w:val="18"/>
              </w:rPr>
              <w:t>2.28</w:t>
            </w:r>
          </w:p>
        </w:tc>
      </w:tr>
      <w:tr>
        <w:trPr>
          <w:trHeight w:val="720" w:hRule="exact"/>
        </w:trPr>
        <w:tc>
          <w:tcPr>
            <w:tcW w:w="12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29"/>
              <w:jc w:val="left"/>
              <w:rPr>
                <w:rFonts w:ascii="宋体" w:hAnsi="宋体" w:cs="宋体" w:eastAsia="宋体" w:hint="default"/>
                <w:sz w:val="18"/>
                <w:szCs w:val="18"/>
              </w:rPr>
            </w:pPr>
            <w:r>
              <w:rPr>
                <w:rFonts w:ascii="宋体" w:hAnsi="宋体" w:cs="宋体" w:eastAsia="宋体" w:hint="default"/>
                <w:spacing w:val="-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631"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7"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31"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7"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31"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31"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31"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2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p>
        </w:tc>
        <w:tc>
          <w:tcPr>
            <w:tcW w:w="631"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9" w:right="0"/>
              <w:jc w:val="left"/>
              <w:rPr>
                <w:rFonts w:ascii="Times New Roman" w:hAnsi="Times New Roman" w:cs="Times New Roman" w:eastAsia="Times New Roman" w:hint="default"/>
                <w:sz w:val="18"/>
                <w:szCs w:val="18"/>
              </w:rPr>
            </w:pPr>
            <w:r>
              <w:rPr>
                <w:rFonts w:ascii="Times New Roman"/>
                <w:sz w:val="18"/>
              </w:rPr>
              <w:t>3,446,45</w:t>
            </w:r>
          </w:p>
          <w:p>
            <w:pPr>
              <w:pStyle w:val="TableParagraph"/>
              <w:spacing w:line="240" w:lineRule="auto" w:before="108"/>
              <w:ind w:left="374" w:right="0"/>
              <w:jc w:val="left"/>
              <w:rPr>
                <w:rFonts w:ascii="Times New Roman" w:hAnsi="Times New Roman" w:cs="Times New Roman" w:eastAsia="Times New Roman" w:hint="default"/>
                <w:sz w:val="18"/>
                <w:szCs w:val="18"/>
              </w:rPr>
            </w:pPr>
            <w:r>
              <w:rPr>
                <w:rFonts w:ascii="Times New Roman"/>
                <w:sz w:val="18"/>
              </w:rPr>
              <w:t>1.04</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-24,348</w:t>
            </w:r>
          </w:p>
          <w:p>
            <w:pPr>
              <w:pStyle w:val="TableParagraph"/>
              <w:spacing w:line="240" w:lineRule="auto" w:before="108"/>
              <w:ind w:left="30" w:right="0"/>
              <w:jc w:val="left"/>
              <w:rPr>
                <w:rFonts w:ascii="Times New Roman" w:hAnsi="Times New Roman" w:cs="Times New Roman" w:eastAsia="Times New Roman" w:hint="default"/>
                <w:sz w:val="18"/>
                <w:szCs w:val="18"/>
              </w:rPr>
            </w:pPr>
            <w:r>
              <w:rPr>
                <w:rFonts w:ascii="Times New Roman"/>
                <w:sz w:val="18"/>
              </w:rPr>
              <w:t>,651.04</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-20,902,20</w:t>
            </w:r>
          </w:p>
          <w:p>
            <w:pPr>
              <w:pStyle w:val="TableParagraph"/>
              <w:spacing w:line="240" w:lineRule="auto" w:before="108"/>
              <w:ind w:left="525" w:right="0"/>
              <w:jc w:val="left"/>
              <w:rPr>
                <w:rFonts w:ascii="Times New Roman" w:hAnsi="Times New Roman" w:cs="Times New Roman" w:eastAsia="Times New Roman" w:hint="default"/>
                <w:sz w:val="18"/>
                <w:szCs w:val="18"/>
              </w:rPr>
            </w:pPr>
            <w:r>
              <w:rPr>
                <w:rFonts w:ascii="Times New Roman"/>
                <w:sz w:val="18"/>
              </w:rPr>
              <w:t>0.00</w:t>
            </w:r>
          </w:p>
        </w:tc>
      </w:tr>
      <w:tr>
        <w:trPr>
          <w:trHeight w:val="721" w:hRule="exact"/>
        </w:trPr>
        <w:tc>
          <w:tcPr>
            <w:tcW w:w="12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60"/>
              <w:ind w:left="7"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31"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3,446,45</w:t>
            </w:r>
          </w:p>
          <w:p>
            <w:pPr>
              <w:pStyle w:val="TableParagraph"/>
              <w:spacing w:line="240" w:lineRule="auto" w:before="108"/>
              <w:ind w:left="374" w:right="0"/>
              <w:jc w:val="left"/>
              <w:rPr>
                <w:rFonts w:ascii="Times New Roman" w:hAnsi="Times New Roman" w:cs="Times New Roman" w:eastAsia="Times New Roman" w:hint="default"/>
                <w:sz w:val="18"/>
                <w:szCs w:val="18"/>
              </w:rPr>
            </w:pPr>
            <w:r>
              <w:rPr>
                <w:rFonts w:ascii="Times New Roman"/>
                <w:sz w:val="18"/>
              </w:rPr>
              <w:t>1.04</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-3,446,</w:t>
            </w:r>
          </w:p>
          <w:p>
            <w:pPr>
              <w:pStyle w:val="TableParagraph"/>
              <w:spacing w:line="240" w:lineRule="auto" w:before="108"/>
              <w:ind w:left="75" w:right="0"/>
              <w:jc w:val="left"/>
              <w:rPr>
                <w:rFonts w:ascii="Times New Roman" w:hAnsi="Times New Roman" w:cs="Times New Roman" w:eastAsia="Times New Roman" w:hint="default"/>
                <w:sz w:val="18"/>
                <w:szCs w:val="18"/>
              </w:rPr>
            </w:pPr>
            <w:r>
              <w:rPr>
                <w:rFonts w:ascii="Times New Roman"/>
                <w:sz w:val="18"/>
              </w:rPr>
              <w:t>451.04</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307"/>
        <w:gridCol w:w="631"/>
        <w:gridCol w:w="601"/>
        <w:gridCol w:w="601"/>
        <w:gridCol w:w="615"/>
        <w:gridCol w:w="721"/>
        <w:gridCol w:w="736"/>
        <w:gridCol w:w="721"/>
        <w:gridCol w:w="736"/>
        <w:gridCol w:w="721"/>
        <w:gridCol w:w="616"/>
        <w:gridCol w:w="706"/>
        <w:gridCol w:w="871"/>
      </w:tblGrid>
      <w:tr>
        <w:trPr>
          <w:trHeight w:val="720"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14"/>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．对所有者（或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股东）的分配</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-20,902</w:t>
            </w:r>
          </w:p>
          <w:p>
            <w:pPr>
              <w:pStyle w:val="TableParagraph"/>
              <w:spacing w:line="240" w:lineRule="auto" w:before="93"/>
              <w:ind w:left="30" w:right="0"/>
              <w:jc w:val="left"/>
              <w:rPr>
                <w:rFonts w:ascii="Times New Roman" w:hAnsi="Times New Roman" w:cs="Times New Roman" w:eastAsia="Times New Roman" w:hint="default"/>
                <w:sz w:val="18"/>
                <w:szCs w:val="18"/>
              </w:rPr>
            </w:pPr>
            <w:r>
              <w:rPr>
                <w:rFonts w:ascii="Times New Roman"/>
                <w:sz w:val="18"/>
              </w:rPr>
              <w:t>,200.00</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-20,902,20</w:t>
            </w:r>
          </w:p>
          <w:p>
            <w:pPr>
              <w:pStyle w:val="TableParagraph"/>
              <w:spacing w:line="240" w:lineRule="auto" w:before="93"/>
              <w:ind w:left="525" w:right="0"/>
              <w:jc w:val="lef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29"/>
              <w:jc w:val="left"/>
              <w:rPr>
                <w:rFonts w:ascii="宋体" w:hAnsi="宋体" w:cs="宋体" w:eastAsia="宋体" w:hint="default"/>
                <w:sz w:val="18"/>
                <w:szCs w:val="18"/>
              </w:rPr>
            </w:pPr>
            <w:r>
              <w:rPr>
                <w:rFonts w:ascii="宋体" w:hAnsi="宋体" w:cs="宋体" w:eastAsia="宋体" w:hint="default"/>
                <w:spacing w:val="-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35"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35"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3"/>
                <w:sz w:val="18"/>
                <w:szCs w:val="18"/>
              </w:rPr>
              <w:t>（五）专项储备</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pacing w:val="-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418,04</w:t>
            </w:r>
          </w:p>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363,658,</w:t>
            </w:r>
          </w:p>
          <w:p>
            <w:pPr>
              <w:pStyle w:val="TableParagraph"/>
              <w:spacing w:line="240" w:lineRule="auto" w:before="108"/>
              <w:ind w:left="180" w:right="0"/>
              <w:jc w:val="center"/>
              <w:rPr>
                <w:rFonts w:ascii="Times New Roman" w:hAnsi="Times New Roman" w:cs="Times New Roman" w:eastAsia="Times New Roman" w:hint="default"/>
                <w:sz w:val="18"/>
                <w:szCs w:val="18"/>
              </w:rPr>
            </w:pPr>
            <w:r>
              <w:rPr>
                <w:rFonts w:ascii="Times New Roman"/>
                <w:sz w:val="18"/>
              </w:rPr>
              <w:t>684.06</w:t>
            </w: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201,322.</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53</w:t>
            </w: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114,928,</w:t>
            </w:r>
          </w:p>
          <w:p>
            <w:pPr>
              <w:pStyle w:val="TableParagraph"/>
              <w:spacing w:line="240" w:lineRule="auto" w:before="108"/>
              <w:ind w:left="179" w:right="0"/>
              <w:jc w:val="center"/>
              <w:rPr>
                <w:rFonts w:ascii="Times New Roman" w:hAnsi="Times New Roman" w:cs="Times New Roman" w:eastAsia="Times New Roman" w:hint="default"/>
                <w:sz w:val="18"/>
                <w:szCs w:val="18"/>
              </w:rPr>
            </w:pPr>
            <w:r>
              <w:rPr>
                <w:rFonts w:ascii="Times New Roman"/>
                <w:sz w:val="18"/>
              </w:rPr>
              <w:t>013.52</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809,70</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1,060.5</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1,706,533,</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080.61</w:t>
            </w:r>
          </w:p>
        </w:tc>
      </w:tr>
    </w:tbl>
    <w:p>
      <w:pPr>
        <w:pStyle w:val="BodyText"/>
        <w:spacing w:line="240" w:lineRule="auto" w:before="44"/>
        <w:ind w:right="1100"/>
        <w:jc w:val="left"/>
      </w:pPr>
      <w:r>
        <w:rPr/>
        <w:t>上期金额</w:t>
      </w:r>
    </w:p>
    <w:p>
      <w:pPr>
        <w:pStyle w:val="BodyText"/>
        <w:spacing w:line="240" w:lineRule="auto" w:before="110"/>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232"/>
        <w:gridCol w:w="601"/>
        <w:gridCol w:w="571"/>
        <w:gridCol w:w="570"/>
        <w:gridCol w:w="571"/>
        <w:gridCol w:w="691"/>
        <w:gridCol w:w="676"/>
        <w:gridCol w:w="691"/>
        <w:gridCol w:w="781"/>
        <w:gridCol w:w="675"/>
        <w:gridCol w:w="796"/>
        <w:gridCol w:w="796"/>
        <w:gridCol w:w="931"/>
      </w:tblGrid>
      <w:tr>
        <w:trPr>
          <w:trHeight w:val="405" w:hRule="exact"/>
        </w:trPr>
        <w:tc>
          <w:tcPr>
            <w:tcW w:w="123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8350"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w:t>
            </w:r>
          </w:p>
        </w:tc>
      </w:tr>
      <w:tr>
        <w:trPr>
          <w:trHeight w:val="203" w:hRule="exact"/>
        </w:trPr>
        <w:tc>
          <w:tcPr>
            <w:tcW w:w="1232" w:type="dxa"/>
            <w:vMerge/>
            <w:tcBorders>
              <w:left w:val="single" w:sz="6" w:space="0" w:color="000000"/>
              <w:right w:val="single" w:sz="6" w:space="0" w:color="000000"/>
            </w:tcBorders>
            <w:shd w:val="clear" w:color="auto" w:fill="D2D2D2"/>
          </w:tcPr>
          <w:p>
            <w:pPr/>
          </w:p>
        </w:tc>
        <w:tc>
          <w:tcPr>
            <w:tcW w:w="601" w:type="dxa"/>
            <w:vMerge w:val="restart"/>
            <w:tcBorders>
              <w:top w:val="single" w:sz="6" w:space="0" w:color="000000"/>
              <w:left w:val="single" w:sz="6" w:space="0" w:color="000000"/>
              <w:right w:val="single" w:sz="6" w:space="0" w:color="000000"/>
            </w:tcBorders>
            <w:shd w:val="clear" w:color="auto" w:fill="D2D2D2"/>
          </w:tcPr>
          <w:p>
            <w:pPr/>
          </w:p>
        </w:tc>
        <w:tc>
          <w:tcPr>
            <w:tcW w:w="1712"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left="30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91" w:type="dxa"/>
            <w:tcBorders>
              <w:top w:val="single" w:sz="6" w:space="0" w:color="000000"/>
              <w:left w:val="single" w:sz="6" w:space="0" w:color="000000"/>
              <w:bottom w:val="nil" w:sz="6" w:space="0" w:color="auto"/>
              <w:right w:val="single" w:sz="6" w:space="0" w:color="000000"/>
            </w:tcBorders>
            <w:shd w:val="clear" w:color="auto" w:fill="D2D2D2"/>
          </w:tcPr>
          <w:p>
            <w:pPr/>
          </w:p>
        </w:tc>
        <w:tc>
          <w:tcPr>
            <w:tcW w:w="676" w:type="dxa"/>
            <w:tcBorders>
              <w:top w:val="single" w:sz="6" w:space="0" w:color="000000"/>
              <w:left w:val="single" w:sz="6" w:space="0" w:color="000000"/>
              <w:bottom w:val="nil" w:sz="6" w:space="0" w:color="auto"/>
              <w:right w:val="single" w:sz="6" w:space="0" w:color="000000"/>
            </w:tcBorders>
            <w:shd w:val="clear" w:color="auto" w:fill="D2D2D2"/>
          </w:tcPr>
          <w:p>
            <w:pPr/>
          </w:p>
        </w:tc>
        <w:tc>
          <w:tcPr>
            <w:tcW w:w="691" w:type="dxa"/>
            <w:tcBorders>
              <w:top w:val="single" w:sz="6" w:space="0" w:color="000000"/>
              <w:left w:val="single" w:sz="6" w:space="0" w:color="000000"/>
              <w:bottom w:val="nil" w:sz="6" w:space="0" w:color="auto"/>
              <w:right w:val="single" w:sz="6" w:space="0" w:color="000000"/>
            </w:tcBorders>
            <w:shd w:val="clear" w:color="auto" w:fill="D2D2D2"/>
          </w:tcPr>
          <w:p>
            <w:pPr/>
          </w:p>
        </w:tc>
        <w:tc>
          <w:tcPr>
            <w:tcW w:w="781" w:type="dxa"/>
            <w:vMerge w:val="restart"/>
            <w:tcBorders>
              <w:top w:val="single" w:sz="6" w:space="0" w:color="000000"/>
              <w:left w:val="single" w:sz="6" w:space="0" w:color="000000"/>
              <w:right w:val="single" w:sz="6" w:space="0" w:color="000000"/>
            </w:tcBorders>
            <w:shd w:val="clear" w:color="auto" w:fill="D2D2D2"/>
          </w:tcPr>
          <w:p>
            <w:pPr/>
          </w:p>
        </w:tc>
        <w:tc>
          <w:tcPr>
            <w:tcW w:w="675"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1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307" w:lineRule="auto"/>
              <w:ind w:left="180" w:right="103"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69" w:hRule="exact"/>
        </w:trPr>
        <w:tc>
          <w:tcPr>
            <w:tcW w:w="1232" w:type="dxa"/>
            <w:vMerge/>
            <w:tcBorders>
              <w:left w:val="single" w:sz="6" w:space="0" w:color="000000"/>
              <w:right w:val="single" w:sz="6" w:space="0" w:color="000000"/>
            </w:tcBorders>
            <w:shd w:val="clear" w:color="auto" w:fill="D2D2D2"/>
          </w:tcPr>
          <w:p>
            <w:pPr/>
          </w:p>
        </w:tc>
        <w:tc>
          <w:tcPr>
            <w:tcW w:w="601" w:type="dxa"/>
            <w:vMerge/>
            <w:tcBorders>
              <w:left w:val="single" w:sz="6" w:space="0" w:color="000000"/>
              <w:bottom w:val="nil" w:sz="6" w:space="0" w:color="auto"/>
              <w:right w:val="single" w:sz="6" w:space="0" w:color="000000"/>
            </w:tcBorders>
            <w:shd w:val="clear" w:color="auto" w:fill="D2D2D2"/>
          </w:tcPr>
          <w:p>
            <w:pPr/>
          </w:p>
        </w:tc>
        <w:tc>
          <w:tcPr>
            <w:tcW w:w="1712" w:type="dxa"/>
            <w:gridSpan w:val="3"/>
            <w:vMerge/>
            <w:tcBorders>
              <w:left w:val="single" w:sz="6" w:space="0" w:color="000000"/>
              <w:bottom w:val="single" w:sz="6" w:space="0" w:color="000000"/>
              <w:right w:val="single" w:sz="6" w:space="0" w:color="000000"/>
            </w:tcBorders>
            <w:shd w:val="clear" w:color="auto" w:fill="D2D2D2"/>
          </w:tcPr>
          <w:p>
            <w:pPr/>
          </w:p>
        </w:tc>
        <w:tc>
          <w:tcPr>
            <w:tcW w:w="691"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255" w:right="58"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76"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240" w:right="15"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91"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75" w:right="60"/>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1" w:type="dxa"/>
            <w:vMerge/>
            <w:tcBorders>
              <w:left w:val="single" w:sz="6" w:space="0" w:color="000000"/>
              <w:bottom w:val="nil" w:sz="6" w:space="0" w:color="auto"/>
              <w:right w:val="single" w:sz="6" w:space="0" w:color="000000"/>
            </w:tcBorders>
            <w:shd w:val="clear" w:color="auto" w:fill="D2D2D2"/>
          </w:tcPr>
          <w:p>
            <w:pPr/>
          </w:p>
        </w:tc>
        <w:tc>
          <w:tcPr>
            <w:tcW w:w="675"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240" w:right="58"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285" w:right="43"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6" w:type="dxa"/>
            <w:vMerge/>
            <w:tcBorders>
              <w:left w:val="single" w:sz="6" w:space="0" w:color="000000"/>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372" w:hRule="exact"/>
        </w:trPr>
        <w:tc>
          <w:tcPr>
            <w:tcW w:w="1232" w:type="dxa"/>
            <w:vMerge/>
            <w:tcBorders>
              <w:left w:val="single" w:sz="6" w:space="0" w:color="000000"/>
              <w:right w:val="single" w:sz="6" w:space="0" w:color="000000"/>
            </w:tcBorders>
            <w:shd w:val="clear" w:color="auto" w:fill="D2D2D2"/>
          </w:tcPr>
          <w:p>
            <w:pPr/>
          </w:p>
        </w:tc>
        <w:tc>
          <w:tcPr>
            <w:tcW w:w="60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26"/>
              <w:ind w:left="12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64"/>
              <w:ind w:left="180" w:right="103"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0"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64"/>
              <w:ind w:left="180" w:right="103"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vMerge/>
            <w:tcBorders>
              <w:left w:val="single" w:sz="6" w:space="0" w:color="000000"/>
              <w:right w:val="single" w:sz="6" w:space="0" w:color="000000"/>
            </w:tcBorders>
            <w:shd w:val="clear" w:color="auto" w:fill="D2D2D2"/>
          </w:tcPr>
          <w:p>
            <w:pPr/>
          </w:p>
        </w:tc>
        <w:tc>
          <w:tcPr>
            <w:tcW w:w="676" w:type="dxa"/>
            <w:vMerge/>
            <w:tcBorders>
              <w:left w:val="single" w:sz="6" w:space="0" w:color="000000"/>
              <w:right w:val="single" w:sz="6" w:space="0" w:color="000000"/>
            </w:tcBorders>
            <w:shd w:val="clear" w:color="auto" w:fill="D2D2D2"/>
          </w:tcPr>
          <w:p>
            <w:pPr/>
          </w:p>
        </w:tc>
        <w:tc>
          <w:tcPr>
            <w:tcW w:w="691" w:type="dxa"/>
            <w:vMerge/>
            <w:tcBorders>
              <w:left w:val="single" w:sz="6" w:space="0" w:color="000000"/>
              <w:right w:val="single" w:sz="6" w:space="0" w:color="000000"/>
            </w:tcBorders>
            <w:shd w:val="clear" w:color="auto" w:fill="D2D2D2"/>
          </w:tcPr>
          <w:p>
            <w:pPr/>
          </w:p>
        </w:tc>
        <w:tc>
          <w:tcPr>
            <w:tcW w:w="78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26"/>
              <w:ind w:left="2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75"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165" w:hRule="exact"/>
        </w:trPr>
        <w:tc>
          <w:tcPr>
            <w:tcW w:w="1232" w:type="dxa"/>
            <w:vMerge/>
            <w:tcBorders>
              <w:left w:val="single" w:sz="6" w:space="0" w:color="000000"/>
              <w:right w:val="single" w:sz="6" w:space="0" w:color="000000"/>
            </w:tcBorders>
            <w:shd w:val="clear" w:color="auto" w:fill="D2D2D2"/>
          </w:tcPr>
          <w:p>
            <w:pPr/>
          </w:p>
        </w:tc>
        <w:tc>
          <w:tcPr>
            <w:tcW w:w="601" w:type="dxa"/>
            <w:vMerge w:val="restart"/>
            <w:tcBorders>
              <w:top w:val="nil" w:sz="6" w:space="0" w:color="auto"/>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70"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691" w:type="dxa"/>
            <w:vMerge/>
            <w:tcBorders>
              <w:left w:val="single" w:sz="6" w:space="0" w:color="000000"/>
              <w:bottom w:val="nil" w:sz="6" w:space="0" w:color="auto"/>
              <w:right w:val="single" w:sz="6" w:space="0" w:color="000000"/>
            </w:tcBorders>
            <w:shd w:val="clear" w:color="auto" w:fill="D2D2D2"/>
          </w:tcPr>
          <w:p>
            <w:pPr/>
          </w:p>
        </w:tc>
        <w:tc>
          <w:tcPr>
            <w:tcW w:w="676" w:type="dxa"/>
            <w:vMerge/>
            <w:tcBorders>
              <w:left w:val="single" w:sz="6" w:space="0" w:color="000000"/>
              <w:bottom w:val="nil" w:sz="6" w:space="0" w:color="auto"/>
              <w:right w:val="single" w:sz="6" w:space="0" w:color="000000"/>
            </w:tcBorders>
            <w:shd w:val="clear" w:color="auto" w:fill="D2D2D2"/>
          </w:tcPr>
          <w:p>
            <w:pPr/>
          </w:p>
        </w:tc>
        <w:tc>
          <w:tcPr>
            <w:tcW w:w="691" w:type="dxa"/>
            <w:vMerge/>
            <w:tcBorders>
              <w:left w:val="single" w:sz="6" w:space="0" w:color="000000"/>
              <w:bottom w:val="nil" w:sz="6" w:space="0" w:color="auto"/>
              <w:right w:val="single" w:sz="6" w:space="0" w:color="000000"/>
            </w:tcBorders>
            <w:shd w:val="clear" w:color="auto" w:fill="D2D2D2"/>
          </w:tcPr>
          <w:p>
            <w:pPr/>
          </w:p>
        </w:tc>
        <w:tc>
          <w:tcPr>
            <w:tcW w:w="781" w:type="dxa"/>
            <w:vMerge w:val="restart"/>
            <w:tcBorders>
              <w:top w:val="nil" w:sz="6" w:space="0" w:color="auto"/>
              <w:left w:val="single" w:sz="6" w:space="0" w:color="000000"/>
              <w:right w:val="single" w:sz="6" w:space="0" w:color="000000"/>
            </w:tcBorders>
            <w:shd w:val="clear" w:color="auto" w:fill="D2D2D2"/>
          </w:tcPr>
          <w:p>
            <w:pPr/>
          </w:p>
        </w:tc>
        <w:tc>
          <w:tcPr>
            <w:tcW w:w="675"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203" w:hRule="exact"/>
        </w:trPr>
        <w:tc>
          <w:tcPr>
            <w:tcW w:w="1232" w:type="dxa"/>
            <w:vMerge/>
            <w:tcBorders>
              <w:left w:val="single" w:sz="6" w:space="0" w:color="000000"/>
              <w:bottom w:val="single" w:sz="6" w:space="0" w:color="000000"/>
              <w:right w:val="single" w:sz="6" w:space="0" w:color="000000"/>
            </w:tcBorders>
            <w:shd w:val="clear" w:color="auto" w:fill="D2D2D2"/>
          </w:tcPr>
          <w:p>
            <w:pPr/>
          </w:p>
        </w:tc>
        <w:tc>
          <w:tcPr>
            <w:tcW w:w="601"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570"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691" w:type="dxa"/>
            <w:tcBorders>
              <w:top w:val="nil" w:sz="6" w:space="0" w:color="auto"/>
              <w:left w:val="single" w:sz="6" w:space="0" w:color="000000"/>
              <w:bottom w:val="single" w:sz="6" w:space="0" w:color="000000"/>
              <w:right w:val="single" w:sz="6" w:space="0" w:color="000000"/>
            </w:tcBorders>
            <w:shd w:val="clear" w:color="auto" w:fill="D2D2D2"/>
          </w:tcPr>
          <w:p>
            <w:pPr/>
          </w:p>
        </w:tc>
        <w:tc>
          <w:tcPr>
            <w:tcW w:w="676" w:type="dxa"/>
            <w:tcBorders>
              <w:top w:val="nil" w:sz="6" w:space="0" w:color="auto"/>
              <w:left w:val="single" w:sz="6" w:space="0" w:color="000000"/>
              <w:bottom w:val="single" w:sz="6" w:space="0" w:color="000000"/>
              <w:right w:val="single" w:sz="6" w:space="0" w:color="000000"/>
            </w:tcBorders>
            <w:shd w:val="clear" w:color="auto" w:fill="D2D2D2"/>
          </w:tcPr>
          <w:p>
            <w:pPr/>
          </w:p>
        </w:tc>
        <w:tc>
          <w:tcPr>
            <w:tcW w:w="691" w:type="dxa"/>
            <w:tcBorders>
              <w:top w:val="nil" w:sz="6" w:space="0" w:color="auto"/>
              <w:left w:val="single" w:sz="6" w:space="0" w:color="000000"/>
              <w:bottom w:val="single" w:sz="6" w:space="0" w:color="000000"/>
              <w:right w:val="single" w:sz="6" w:space="0" w:color="000000"/>
            </w:tcBorders>
            <w:shd w:val="clear" w:color="auto" w:fill="D2D2D2"/>
          </w:tcPr>
          <w:p>
            <w:pPr/>
          </w:p>
        </w:tc>
        <w:tc>
          <w:tcPr>
            <w:tcW w:w="781" w:type="dxa"/>
            <w:vMerge/>
            <w:tcBorders>
              <w:left w:val="single" w:sz="6" w:space="0" w:color="000000"/>
              <w:bottom w:val="single" w:sz="6" w:space="0" w:color="000000"/>
              <w:right w:val="single" w:sz="6" w:space="0" w:color="000000"/>
            </w:tcBorders>
            <w:shd w:val="clear" w:color="auto" w:fill="D2D2D2"/>
          </w:tcPr>
          <w:p>
            <w:pPr/>
          </w:p>
        </w:tc>
        <w:tc>
          <w:tcPr>
            <w:tcW w:w="675"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931" w:type="dxa"/>
            <w:vMerge/>
            <w:tcBorders>
              <w:left w:val="single" w:sz="6" w:space="0" w:color="000000"/>
              <w:bottom w:val="single" w:sz="6" w:space="0" w:color="000000"/>
              <w:right w:val="single" w:sz="6" w:space="0" w:color="000000"/>
            </w:tcBorders>
            <w:shd w:val="clear" w:color="auto" w:fill="D2D2D2"/>
          </w:tcPr>
          <w:p>
            <w:pPr/>
          </w:p>
        </w:tc>
      </w:tr>
      <w:tr>
        <w:trPr>
          <w:trHeight w:val="10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z w:val="18"/>
                <w:szCs w:val="18"/>
              </w:rPr>
              <w:t> 额</w:t>
            </w:r>
          </w:p>
        </w:tc>
        <w:tc>
          <w:tcPr>
            <w:tcW w:w="6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67" w:right="0"/>
              <w:jc w:val="left"/>
              <w:rPr>
                <w:rFonts w:ascii="Times New Roman" w:hAnsi="Times New Roman" w:cs="Times New Roman" w:eastAsia="Times New Roman" w:hint="default"/>
                <w:sz w:val="18"/>
                <w:szCs w:val="18"/>
              </w:rPr>
            </w:pPr>
            <w:r>
              <w:rPr>
                <w:rFonts w:ascii="Times New Roman"/>
                <w:sz w:val="18"/>
              </w:rPr>
              <w:t>418,04</w:t>
            </w:r>
          </w:p>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8"/>
              <w:ind w:left="383" w:right="0"/>
              <w:jc w:val="left"/>
              <w:rPr>
                <w:rFonts w:ascii="Times New Roman" w:hAnsi="Times New Roman" w:cs="Times New Roman" w:eastAsia="Times New Roman" w:hint="default"/>
                <w:sz w:val="18"/>
                <w:szCs w:val="18"/>
              </w:rPr>
            </w:pPr>
            <w:r>
              <w:rPr>
                <w:rFonts w:ascii="Times New Roman"/>
                <w:sz w:val="18"/>
              </w:rPr>
              <w:t>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363,658</w:t>
            </w:r>
          </w:p>
          <w:p>
            <w:pPr>
              <w:pStyle w:val="TableParagraph"/>
              <w:spacing w:line="240" w:lineRule="auto" w:before="108"/>
              <w:ind w:left="120" w:right="0"/>
              <w:jc w:val="left"/>
              <w:rPr>
                <w:rFonts w:ascii="Times New Roman" w:hAnsi="Times New Roman" w:cs="Times New Roman" w:eastAsia="Times New Roman" w:hint="default"/>
                <w:sz w:val="18"/>
                <w:szCs w:val="18"/>
              </w:rPr>
            </w:pPr>
            <w:r>
              <w:rPr>
                <w:rFonts w:ascii="Times New Roman"/>
                <w:sz w:val="18"/>
              </w:rPr>
              <w:t>,684.06</w:t>
            </w: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152,138</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.40</w:t>
            </w: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101,644</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,879.85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728,806,1</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91.23</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1,612,305,8</w:t>
            </w:r>
          </w:p>
          <w:p>
            <w:pPr>
              <w:pStyle w:val="TableParagraph"/>
              <w:spacing w:line="240" w:lineRule="auto" w:before="108"/>
              <w:ind w:left="480" w:right="0"/>
              <w:jc w:val="left"/>
              <w:rPr>
                <w:rFonts w:ascii="Times New Roman" w:hAnsi="Times New Roman" w:cs="Times New Roman" w:eastAsia="Times New Roman" w:hint="default"/>
                <w:sz w:val="18"/>
                <w:szCs w:val="18"/>
              </w:rPr>
            </w:pPr>
            <w:r>
              <w:rPr>
                <w:rFonts w:ascii="Times New Roman"/>
                <w:sz w:val="18"/>
              </w:rPr>
              <w:t>93.54</w:t>
            </w:r>
          </w:p>
        </w:tc>
      </w:tr>
      <w:tr>
        <w:trPr>
          <w:trHeight w:val="7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5" w:right="30" w:firstLine="360"/>
              <w:jc w:val="left"/>
              <w:rPr>
                <w:rFonts w:ascii="宋体" w:hAnsi="宋体" w:cs="宋体" w:eastAsia="宋体" w:hint="default"/>
                <w:sz w:val="18"/>
                <w:szCs w:val="18"/>
              </w:rPr>
            </w:pPr>
            <w:r>
              <w:rPr>
                <w:rFonts w:ascii="宋体" w:hAnsi="宋体" w:cs="宋体" w:eastAsia="宋体" w:hint="default"/>
                <w:spacing w:val="-18"/>
                <w:sz w:val="18"/>
                <w:szCs w:val="18"/>
              </w:rPr>
              <w:t>加：会计政</w:t>
            </w:r>
            <w:r>
              <w:rPr>
                <w:rFonts w:ascii="宋体" w:hAnsi="宋体" w:cs="宋体" w:eastAsia="宋体" w:hint="default"/>
                <w:sz w:val="18"/>
                <w:szCs w:val="18"/>
              </w:rPr>
              <w:t> 策变更</w:t>
            </w:r>
          </w:p>
        </w:tc>
        <w:tc>
          <w:tcPr>
            <w:tcW w:w="601"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32"/>
        <w:gridCol w:w="601"/>
        <w:gridCol w:w="571"/>
        <w:gridCol w:w="570"/>
        <w:gridCol w:w="571"/>
        <w:gridCol w:w="691"/>
        <w:gridCol w:w="676"/>
        <w:gridCol w:w="691"/>
        <w:gridCol w:w="781"/>
        <w:gridCol w:w="675"/>
        <w:gridCol w:w="796"/>
        <w:gridCol w:w="796"/>
        <w:gridCol w:w="931"/>
      </w:tblGrid>
      <w:tr>
        <w:trPr>
          <w:trHeight w:val="720"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36"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z w:val="18"/>
                <w:szCs w:val="18"/>
              </w:rPr>
              <w:t> 额</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418,04</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363,658</w:t>
            </w:r>
          </w:p>
          <w:p>
            <w:pPr>
              <w:pStyle w:val="TableParagraph"/>
              <w:spacing w:line="240" w:lineRule="auto" w:before="108"/>
              <w:ind w:left="120" w:right="0"/>
              <w:jc w:val="left"/>
              <w:rPr>
                <w:rFonts w:ascii="Times New Roman" w:hAnsi="Times New Roman" w:cs="Times New Roman" w:eastAsia="Times New Roman" w:hint="default"/>
                <w:sz w:val="18"/>
                <w:szCs w:val="18"/>
              </w:rPr>
            </w:pPr>
            <w:r>
              <w:rPr>
                <w:rFonts w:ascii="Times New Roman"/>
                <w:sz w:val="18"/>
              </w:rPr>
              <w:t>,684.06</w:t>
            </w: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152,138</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.40</w:t>
            </w: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101,644</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,879.85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728,806,1</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91.23</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1,612,305,8</w:t>
            </w:r>
          </w:p>
          <w:p>
            <w:pPr>
              <w:pStyle w:val="TableParagraph"/>
              <w:spacing w:line="240" w:lineRule="auto" w:before="108"/>
              <w:ind w:left="480" w:right="0"/>
              <w:jc w:val="left"/>
              <w:rPr>
                <w:rFonts w:ascii="Times New Roman" w:hAnsi="Times New Roman" w:cs="Times New Roman" w:eastAsia="Times New Roman" w:hint="default"/>
                <w:sz w:val="18"/>
                <w:szCs w:val="18"/>
              </w:rPr>
            </w:pPr>
            <w:r>
              <w:rPr>
                <w:rFonts w:ascii="Times New Roman"/>
                <w:sz w:val="18"/>
              </w:rPr>
              <w:t>93.54</w:t>
            </w:r>
          </w:p>
        </w:tc>
      </w:tr>
      <w:tr>
        <w:trPr>
          <w:trHeight w:val="10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8" w:lineRule="auto" w:before="30"/>
              <w:ind w:left="15" w:right="29"/>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z w:val="18"/>
                <w:szCs w:val="18"/>
              </w:rPr>
              <w:t> </w:t>
            </w:r>
            <w:r>
              <w:rPr>
                <w:rFonts w:ascii="宋体" w:hAnsi="宋体" w:cs="宋体" w:eastAsia="宋体" w:hint="default"/>
                <w:spacing w:val="-13"/>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-84,547.</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76</w:t>
            </w: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9,836,6</w:t>
            </w:r>
          </w:p>
          <w:p>
            <w:pPr>
              <w:pStyle w:val="TableParagraph"/>
              <w:spacing w:line="240" w:lineRule="auto" w:before="93"/>
              <w:ind w:left="224" w:right="0"/>
              <w:jc w:val="center"/>
              <w:rPr>
                <w:rFonts w:ascii="Times New Roman" w:hAnsi="Times New Roman" w:cs="Times New Roman" w:eastAsia="Times New Roman" w:hint="default"/>
                <w:sz w:val="18"/>
                <w:szCs w:val="18"/>
              </w:rPr>
            </w:pPr>
            <w:r>
              <w:rPr>
                <w:rFonts w:ascii="Times New Roman"/>
                <w:sz w:val="18"/>
              </w:rPr>
              <w:t>82.63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67,627,94</w:t>
            </w:r>
          </w:p>
          <w:p>
            <w:pPr>
              <w:pStyle w:val="TableParagraph"/>
              <w:spacing w:line="240" w:lineRule="auto" w:before="93"/>
              <w:ind w:left="436" w:right="0"/>
              <w:jc w:val="left"/>
              <w:rPr>
                <w:rFonts w:ascii="Times New Roman" w:hAnsi="Times New Roman" w:cs="Times New Roman" w:eastAsia="Times New Roman" w:hint="default"/>
                <w:sz w:val="18"/>
                <w:szCs w:val="18"/>
              </w:rPr>
            </w:pPr>
            <w:r>
              <w:rPr>
                <w:rFonts w:ascii="Times New Roman"/>
                <w:sz w:val="18"/>
              </w:rPr>
              <w:t>3.71</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77,380,078.</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58</w:t>
            </w:r>
          </w:p>
        </w:tc>
      </w:tr>
      <w:tr>
        <w:trPr>
          <w:trHeight w:val="720"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29"/>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z w:val="18"/>
                <w:szCs w:val="18"/>
              </w:rPr>
              <w:t> 总额</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-84,547.</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76</w:t>
            </w: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98,366,82</w:t>
            </w:r>
          </w:p>
          <w:p>
            <w:pPr>
              <w:pStyle w:val="TableParagraph"/>
              <w:spacing w:line="240" w:lineRule="auto" w:before="93"/>
              <w:ind w:left="436" w:right="0"/>
              <w:jc w:val="left"/>
              <w:rPr>
                <w:rFonts w:ascii="Times New Roman" w:hAnsi="Times New Roman" w:cs="Times New Roman" w:eastAsia="Times New Roman" w:hint="default"/>
                <w:sz w:val="18"/>
                <w:szCs w:val="18"/>
              </w:rPr>
            </w:pPr>
            <w:r>
              <w:rPr>
                <w:rFonts w:ascii="Times New Roman"/>
                <w:sz w:val="18"/>
              </w:rPr>
              <w:t>6.34</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98,282,278.</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58</w:t>
            </w:r>
          </w:p>
        </w:tc>
      </w:tr>
      <w:tr>
        <w:trPr>
          <w:trHeight w:val="70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29"/>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z w:val="18"/>
                <w:szCs w:val="18"/>
              </w:rPr>
              <w:t> 入和减少资本</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90"/>
                <w:sz w:val="18"/>
                <w:szCs w:val="18"/>
              </w:rPr>
              <w:t>）</w:t>
            </w:r>
            <w:r>
              <w:rPr>
                <w:rFonts w:ascii="宋体" w:hAnsi="宋体" w:cs="宋体" w:eastAsia="宋体" w:hint="default"/>
                <w:sz w:val="18"/>
                <w:szCs w:val="18"/>
              </w:rPr>
              <w:t>利润分配</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9" w:right="0"/>
              <w:jc w:val="center"/>
              <w:rPr>
                <w:rFonts w:ascii="Times New Roman" w:hAnsi="Times New Roman" w:cs="Times New Roman" w:eastAsia="Times New Roman" w:hint="default"/>
                <w:sz w:val="18"/>
                <w:szCs w:val="18"/>
              </w:rPr>
            </w:pPr>
            <w:r>
              <w:rPr>
                <w:rFonts w:ascii="Times New Roman"/>
                <w:sz w:val="18"/>
              </w:rPr>
              <w:t>9,836,6</w:t>
            </w:r>
          </w:p>
          <w:p>
            <w:pPr>
              <w:pStyle w:val="TableParagraph"/>
              <w:spacing w:line="240" w:lineRule="auto" w:before="108"/>
              <w:ind w:left="224" w:right="0"/>
              <w:jc w:val="center"/>
              <w:rPr>
                <w:rFonts w:ascii="Times New Roman" w:hAnsi="Times New Roman" w:cs="Times New Roman" w:eastAsia="Times New Roman" w:hint="default"/>
                <w:sz w:val="18"/>
                <w:szCs w:val="18"/>
              </w:rPr>
            </w:pPr>
            <w:r>
              <w:rPr>
                <w:rFonts w:ascii="Times New Roman"/>
                <w:sz w:val="18"/>
              </w:rPr>
              <w:t>82.63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-30,738,8</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82.63</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-20,902,200</w:t>
            </w:r>
            <w:r>
              <w:rPr>
                <w:rFonts w:ascii="Times New Roman"/>
                <w:sz w:val="18"/>
              </w:rPr>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.00</w:t>
            </w:r>
          </w:p>
        </w:tc>
      </w:tr>
      <w:tr>
        <w:trPr>
          <w:trHeight w:val="7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center"/>
              <w:rPr>
                <w:rFonts w:ascii="Times New Roman" w:hAnsi="Times New Roman" w:cs="Times New Roman" w:eastAsia="Times New Roman" w:hint="default"/>
                <w:sz w:val="18"/>
                <w:szCs w:val="18"/>
              </w:rPr>
            </w:pPr>
            <w:r>
              <w:rPr>
                <w:rFonts w:ascii="Times New Roman"/>
                <w:sz w:val="18"/>
              </w:rPr>
              <w:t>9,836,6</w:t>
            </w:r>
          </w:p>
          <w:p>
            <w:pPr>
              <w:pStyle w:val="TableParagraph"/>
              <w:spacing w:line="240" w:lineRule="auto" w:before="93"/>
              <w:ind w:left="224" w:right="0"/>
              <w:jc w:val="center"/>
              <w:rPr>
                <w:rFonts w:ascii="Times New Roman" w:hAnsi="Times New Roman" w:cs="Times New Roman" w:eastAsia="Times New Roman" w:hint="default"/>
                <w:sz w:val="18"/>
                <w:szCs w:val="18"/>
              </w:rPr>
            </w:pPr>
            <w:r>
              <w:rPr>
                <w:rFonts w:ascii="Times New Roman"/>
                <w:sz w:val="18"/>
              </w:rPr>
              <w:t>82.63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-9,836,68</w:t>
            </w:r>
          </w:p>
          <w:p>
            <w:pPr>
              <w:pStyle w:val="TableParagraph"/>
              <w:spacing w:line="240" w:lineRule="auto" w:before="93"/>
              <w:ind w:left="436" w:right="0"/>
              <w:jc w:val="left"/>
              <w:rPr>
                <w:rFonts w:ascii="Times New Roman" w:hAnsi="Times New Roman" w:cs="Times New Roman" w:eastAsia="Times New Roman" w:hint="default"/>
                <w:sz w:val="18"/>
                <w:szCs w:val="18"/>
              </w:rPr>
            </w:pPr>
            <w:r>
              <w:rPr>
                <w:rFonts w:ascii="Times New Roman"/>
                <w:sz w:val="18"/>
              </w:rPr>
              <w:t>2.63</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15" w:right="29"/>
              <w:jc w:val="left"/>
              <w:rPr>
                <w:rFonts w:ascii="宋体" w:hAnsi="宋体" w:cs="宋体" w:eastAsia="宋体" w:hint="default"/>
                <w:sz w:val="18"/>
                <w:szCs w:val="18"/>
              </w:rPr>
            </w:pPr>
            <w:r>
              <w:rPr>
                <w:rFonts w:ascii="Times New Roman" w:hAnsi="Times New Roman" w:cs="Times New Roman" w:eastAsia="Times New Roman" w:hint="default"/>
                <w:spacing w:val="-23"/>
                <w:sz w:val="18"/>
                <w:szCs w:val="18"/>
              </w:rPr>
              <w:t>2</w:t>
            </w:r>
            <w:r>
              <w:rPr>
                <w:rFonts w:ascii="宋体" w:hAnsi="宋体" w:cs="宋体" w:eastAsia="宋体" w:hint="default"/>
                <w:spacing w:val="-23"/>
                <w:sz w:val="18"/>
                <w:szCs w:val="18"/>
              </w:rPr>
              <w:t>．对所有者（或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股东）的分配</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60" w:right="0"/>
              <w:jc w:val="left"/>
              <w:rPr>
                <w:rFonts w:ascii="Times New Roman" w:hAnsi="Times New Roman" w:cs="Times New Roman" w:eastAsia="Times New Roman" w:hint="default"/>
                <w:sz w:val="18"/>
                <w:szCs w:val="18"/>
              </w:rPr>
            </w:pPr>
            <w:r>
              <w:rPr>
                <w:rFonts w:ascii="Times New Roman"/>
                <w:sz w:val="18"/>
              </w:rPr>
              <w:t>-20,902,2</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00.00</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w w:val="95"/>
                <w:sz w:val="18"/>
              </w:rPr>
              <w:t>-20,902,200</w:t>
            </w:r>
            <w:r>
              <w:rPr>
                <w:rFonts w:ascii="Times New Roman"/>
                <w:sz w:val="18"/>
              </w:rPr>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.00</w:t>
            </w:r>
          </w:p>
        </w:tc>
      </w:tr>
      <w:tr>
        <w:trPr>
          <w:trHeight w:val="40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29"/>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z w:val="18"/>
                <w:szCs w:val="18"/>
              </w:rPr>
              <w:t> 益内部结转</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15"/>
          <w:pgSz w:w="11910" w:h="16850"/>
          <w:pgMar w:footer="981" w:header="73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32"/>
        <w:gridCol w:w="601"/>
        <w:gridCol w:w="571"/>
        <w:gridCol w:w="570"/>
        <w:gridCol w:w="571"/>
        <w:gridCol w:w="691"/>
        <w:gridCol w:w="676"/>
        <w:gridCol w:w="691"/>
        <w:gridCol w:w="781"/>
        <w:gridCol w:w="675"/>
        <w:gridCol w:w="796"/>
        <w:gridCol w:w="796"/>
        <w:gridCol w:w="931"/>
      </w:tblGrid>
      <w:tr>
        <w:trPr>
          <w:trHeight w:val="1020"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90"/>
                <w:sz w:val="18"/>
                <w:szCs w:val="18"/>
              </w:rPr>
              <w:t>）</w:t>
            </w:r>
            <w:r>
              <w:rPr>
                <w:rFonts w:ascii="宋体" w:hAnsi="宋体" w:cs="宋体" w:eastAsia="宋体" w:hint="default"/>
                <w:sz w:val="18"/>
                <w:szCs w:val="18"/>
              </w:rPr>
              <w:t>专项储备</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7" w:lineRule="auto"/>
              <w:ind w:left="15" w:right="29"/>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z w:val="18"/>
                <w:szCs w:val="18"/>
              </w:rPr>
              <w:t> 额</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418,04</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363,658</w:t>
            </w:r>
          </w:p>
          <w:p>
            <w:pPr>
              <w:pStyle w:val="TableParagraph"/>
              <w:spacing w:line="240" w:lineRule="auto" w:before="93"/>
              <w:ind w:left="120" w:right="0"/>
              <w:jc w:val="left"/>
              <w:rPr>
                <w:rFonts w:ascii="Times New Roman" w:hAnsi="Times New Roman" w:cs="Times New Roman" w:eastAsia="Times New Roman" w:hint="default"/>
                <w:sz w:val="18"/>
                <w:szCs w:val="18"/>
              </w:rPr>
            </w:pPr>
            <w:r>
              <w:rPr>
                <w:rFonts w:ascii="Times New Roman"/>
                <w:sz w:val="18"/>
              </w:rPr>
              <w:t>,684.06</w:t>
            </w: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67,590.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64</w:t>
            </w: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111,481</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,562.48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796,434,1</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34.94</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1,689,685,9</w:t>
            </w:r>
          </w:p>
          <w:p>
            <w:pPr>
              <w:pStyle w:val="TableParagraph"/>
              <w:spacing w:line="240" w:lineRule="auto" w:before="93"/>
              <w:ind w:left="480" w:right="0"/>
              <w:jc w:val="left"/>
              <w:rPr>
                <w:rFonts w:ascii="Times New Roman" w:hAnsi="Times New Roman" w:cs="Times New Roman" w:eastAsia="Times New Roman" w:hint="default"/>
                <w:sz w:val="18"/>
                <w:szCs w:val="18"/>
              </w:rPr>
            </w:pPr>
            <w:r>
              <w:rPr>
                <w:rFonts w:ascii="Times New Roman"/>
                <w:sz w:val="18"/>
              </w:rPr>
              <w:t>72.12</w:t>
            </w:r>
          </w:p>
        </w:tc>
      </w:tr>
    </w:tbl>
    <w:p>
      <w:pPr>
        <w:spacing w:line="240" w:lineRule="auto" w:before="4"/>
        <w:rPr>
          <w:rFonts w:ascii="Times New Roman" w:hAnsi="Times New Roman" w:cs="Times New Roman" w:eastAsia="Times New Roman" w:hint="default"/>
          <w:sz w:val="20"/>
          <w:szCs w:val="20"/>
        </w:rPr>
      </w:pPr>
    </w:p>
    <w:p>
      <w:pPr>
        <w:pStyle w:val="Heading2"/>
        <w:spacing w:line="240" w:lineRule="auto" w:before="26"/>
        <w:ind w:right="1100"/>
        <w:jc w:val="left"/>
        <w:rPr>
          <w:b w:val="0"/>
          <w:bCs w:val="0"/>
        </w:rPr>
      </w:pPr>
      <w:bookmarkStart w:name="三、公司基本情况" w:id="167"/>
      <w:bookmarkEnd w:id="167"/>
      <w:r>
        <w:rPr>
          <w:b w:val="0"/>
          <w:bCs w:val="0"/>
        </w:rPr>
      </w:r>
      <w:r>
        <w:rPr/>
        <w:t>三、公司基本情况</w:t>
      </w:r>
      <w:r>
        <w:rPr>
          <w:b w:val="0"/>
          <w:bCs w:val="0"/>
        </w:rPr>
      </w:r>
    </w:p>
    <w:p>
      <w:pPr>
        <w:spacing w:line="240" w:lineRule="auto" w:before="4"/>
        <w:rPr>
          <w:rFonts w:ascii="宋体" w:hAnsi="宋体" w:cs="宋体" w:eastAsia="宋体" w:hint="default"/>
          <w:b/>
          <w:bCs/>
          <w:sz w:val="27"/>
          <w:szCs w:val="27"/>
        </w:rPr>
      </w:pPr>
    </w:p>
    <w:p>
      <w:pPr>
        <w:pStyle w:val="BodyText"/>
        <w:spacing w:line="297" w:lineRule="auto"/>
        <w:ind w:right="1029" w:firstLine="420"/>
        <w:jc w:val="left"/>
      </w:pPr>
      <w:r>
        <w:rPr/>
        <w:t>飞天诚信科技股份有限公司（以下简称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）的前身为成立于</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16</w:t>
      </w:r>
      <w:r>
        <w:rPr/>
        <w:t>日的北京飞天诚信科技有限公 </w:t>
      </w:r>
      <w:r>
        <w:rPr>
          <w:spacing w:val="-2"/>
        </w:rPr>
        <w:t>司，</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5</w:t>
      </w:r>
      <w:r>
        <w:rPr>
          <w:spacing w:val="-2"/>
        </w:rPr>
        <w:t>日以经审计的</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日的净资产整体折合</w:t>
      </w:r>
      <w:r>
        <w:rPr>
          <w:rFonts w:ascii="Times New Roman" w:hAnsi="Times New Roman" w:cs="Times New Roman" w:eastAsia="Times New Roman" w:hint="default"/>
          <w:spacing w:val="-2"/>
        </w:rPr>
        <w:t>7,500.00</w:t>
      </w:r>
      <w:r>
        <w:rPr>
          <w:spacing w:val="-2"/>
        </w:rPr>
        <w:t>万股变更为股份有限公司。</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26</w:t>
      </w:r>
      <w:r>
        <w:rPr>
          <w:spacing w:val="-2"/>
        </w:rPr>
        <w:t>日，公司在</w:t>
      </w:r>
      <w:r>
        <w:rPr>
          <w:spacing w:val="-39"/>
        </w:rPr>
        <w:t> </w:t>
      </w:r>
      <w:r>
        <w:rPr>
          <w:spacing w:val="-39"/>
        </w:rPr>
      </w:r>
      <w:r>
        <w:rPr/>
        <w:t>深圳证券交易所创业板</w:t>
      </w:r>
      <w:r>
        <w:rPr>
          <w:rFonts w:ascii="Times New Roman" w:hAnsi="Times New Roman" w:cs="Times New Roman" w:eastAsia="Times New Roman" w:hint="default"/>
        </w:rPr>
        <w:t>A</w:t>
      </w:r>
      <w:r>
        <w:rPr/>
        <w:t>股上市，首次公开发行</w:t>
      </w:r>
      <w:r>
        <w:rPr>
          <w:rFonts w:ascii="Times New Roman" w:hAnsi="Times New Roman" w:cs="Times New Roman" w:eastAsia="Times New Roman" w:hint="default"/>
        </w:rPr>
        <w:t>2,001.00</w:t>
      </w:r>
      <w:r>
        <w:rPr/>
        <w:t>万股股票，发行后总股本为</w:t>
      </w:r>
      <w:r>
        <w:rPr>
          <w:rFonts w:ascii="Times New Roman" w:hAnsi="Times New Roman" w:cs="Times New Roman" w:eastAsia="Times New Roman" w:hint="default"/>
        </w:rPr>
        <w:t>9,501.00</w:t>
      </w:r>
      <w:r>
        <w:rPr/>
        <w:t>万股，股票简称</w:t>
      </w:r>
      <w:r>
        <w:rPr>
          <w:rFonts w:ascii="Times New Roman" w:hAnsi="Times New Roman" w:cs="Times New Roman" w:eastAsia="Times New Roman" w:hint="default"/>
        </w:rPr>
        <w:t>“</w:t>
      </w:r>
      <w:r>
        <w:rPr/>
        <w:t>飞天诚信</w:t>
      </w:r>
      <w:r>
        <w:rPr>
          <w:rFonts w:ascii="Times New Roman" w:hAnsi="Times New Roman" w:cs="Times New Roman" w:eastAsia="Times New Roman" w:hint="default"/>
        </w:rPr>
        <w:t>”</w:t>
      </w:r>
      <w:r>
        <w:rPr/>
        <w:t>，股</w:t>
      </w:r>
      <w:r>
        <w:rPr>
          <w:spacing w:val="-71"/>
        </w:rPr>
        <w:t> </w:t>
      </w:r>
      <w:r>
        <w:rPr/>
        <w:t>票代码</w:t>
      </w:r>
      <w:r>
        <w:rPr>
          <w:rFonts w:ascii="Times New Roman" w:hAnsi="Times New Roman" w:cs="Times New Roman" w:eastAsia="Times New Roman" w:hint="default"/>
        </w:rPr>
        <w:t>300386</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日，以股份总数</w:t>
      </w:r>
      <w:r>
        <w:rPr>
          <w:rFonts w:ascii="Times New Roman" w:hAnsi="Times New Roman" w:cs="Times New Roman" w:eastAsia="Times New Roman" w:hint="default"/>
        </w:rPr>
        <w:t>9,501.00</w:t>
      </w:r>
      <w:r>
        <w:rPr/>
        <w:t>万股为基数，以资本公积向全体股东每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12</w:t>
      </w:r>
      <w:r>
        <w:rPr/>
        <w:t>股，合计转增股数</w:t>
      </w:r>
      <w:r>
        <w:rPr>
          <w:spacing w:val="-84"/>
        </w:rPr>
        <w:t> </w:t>
      </w:r>
      <w:r>
        <w:rPr>
          <w:rFonts w:ascii="Times New Roman" w:hAnsi="Times New Roman" w:cs="Times New Roman" w:eastAsia="Times New Roman" w:hint="default"/>
          <w:spacing w:val="-1"/>
        </w:rPr>
        <w:t>11,401.20</w:t>
      </w:r>
      <w:r>
        <w:rPr>
          <w:spacing w:val="-1"/>
        </w:rPr>
        <w:t>万股，转增后公司总股本变更为</w:t>
      </w:r>
      <w:r>
        <w:rPr>
          <w:rFonts w:ascii="Times New Roman" w:hAnsi="Times New Roman" w:cs="Times New Roman" w:eastAsia="Times New Roman" w:hint="default"/>
          <w:spacing w:val="-1"/>
        </w:rPr>
        <w:t>20,902.20</w:t>
      </w:r>
      <w:r>
        <w:rPr>
          <w:spacing w:val="-1"/>
        </w:rPr>
        <w:t>万股。</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4</w:t>
      </w:r>
      <w:r>
        <w:rPr>
          <w:spacing w:val="-1"/>
        </w:rPr>
        <w:t>日，以股份总数</w:t>
      </w:r>
      <w:r>
        <w:rPr>
          <w:rFonts w:ascii="Times New Roman" w:hAnsi="Times New Roman" w:cs="Times New Roman" w:eastAsia="Times New Roman" w:hint="default"/>
          <w:spacing w:val="-1"/>
        </w:rPr>
        <w:t>20,902.20</w:t>
      </w:r>
      <w:r>
        <w:rPr>
          <w:spacing w:val="-1"/>
        </w:rPr>
        <w:t>万股为基数，以资本公积金向</w:t>
      </w:r>
      <w:r>
        <w:rPr>
          <w:spacing w:val="-73"/>
        </w:rPr>
        <w:t> </w:t>
      </w:r>
      <w:r>
        <w:rPr>
          <w:spacing w:val="-73"/>
        </w:rPr>
      </w:r>
      <w:r>
        <w:rPr/>
        <w:t>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股，共计转增</w:t>
      </w:r>
      <w:r>
        <w:rPr>
          <w:rFonts w:ascii="Times New Roman" w:hAnsi="Times New Roman" w:cs="Times New Roman" w:eastAsia="Times New Roman" w:hint="default"/>
        </w:rPr>
        <w:t>20,902.20</w:t>
      </w:r>
      <w:r>
        <w:rPr/>
        <w:t>万股，转增后公司总股本变更为</w:t>
      </w:r>
      <w:r>
        <w:rPr>
          <w:rFonts w:ascii="Times New Roman" w:hAnsi="Times New Roman" w:cs="Times New Roman" w:eastAsia="Times New Roman" w:hint="default"/>
        </w:rPr>
        <w:t>41,804.40</w:t>
      </w:r>
      <w:r>
        <w:rPr/>
        <w:t>万股。企业统一社会信用代码为</w:t>
      </w:r>
      <w:r>
        <w:rPr>
          <w:spacing w:val="-85"/>
        </w:rPr>
        <w:t> </w:t>
      </w:r>
      <w:r>
        <w:rPr>
          <w:rFonts w:ascii="Times New Roman" w:hAnsi="Times New Roman" w:cs="Times New Roman" w:eastAsia="Times New Roman" w:hint="default"/>
        </w:rPr>
        <w:t>9111000070003202XF</w:t>
      </w:r>
      <w:r>
        <w:rPr/>
        <w:t>，公司注册资本</w:t>
      </w:r>
      <w:r>
        <w:rPr>
          <w:rFonts w:ascii="Times New Roman" w:hAnsi="Times New Roman" w:cs="Times New Roman" w:eastAsia="Times New Roman" w:hint="default"/>
        </w:rPr>
        <w:t>41,804.40</w:t>
      </w:r>
      <w:r>
        <w:rPr/>
        <w:t>万元，法定代表人为黄煜，注册地为北京市海淀区学清路</w:t>
      </w:r>
      <w:r>
        <w:rPr>
          <w:rFonts w:ascii="Times New Roman" w:hAnsi="Times New Roman" w:cs="Times New Roman" w:eastAsia="Times New Roman" w:hint="default"/>
        </w:rPr>
        <w:t>9</w:t>
      </w:r>
      <w:r>
        <w:rPr/>
        <w:t>号汇智大厦</w:t>
      </w:r>
      <w:r>
        <w:rPr>
          <w:rFonts w:ascii="Times New Roman" w:hAnsi="Times New Roman" w:cs="Times New Roman" w:eastAsia="Times New Roman" w:hint="default"/>
        </w:rPr>
        <w:t>B</w:t>
      </w:r>
      <w:r>
        <w:rPr/>
        <w:t>楼</w:t>
      </w:r>
      <w:r>
        <w:rPr>
          <w:rFonts w:ascii="Times New Roman" w:hAnsi="Times New Roman" w:cs="Times New Roman" w:eastAsia="Times New Roman" w:hint="default"/>
        </w:rPr>
        <w:t>17</w:t>
      </w:r>
      <w:r>
        <w:rPr>
          <w:rFonts w:ascii="Times New Roman" w:hAnsi="Times New Roman" w:cs="Times New Roman" w:eastAsia="Times New Roman" w:hint="default"/>
          <w:spacing w:val="-28"/>
        </w:rPr>
        <w:t> </w:t>
      </w:r>
      <w:r>
        <w:rPr/>
        <w:t>层。</w:t>
      </w:r>
    </w:p>
    <w:p>
      <w:pPr>
        <w:pStyle w:val="BodyText"/>
        <w:spacing w:line="321" w:lineRule="auto" w:before="157"/>
        <w:ind w:right="1149" w:firstLine="420"/>
        <w:jc w:val="left"/>
      </w:pPr>
      <w:r>
        <w:rPr/>
        <w:t>根据《上市公司行业分类指引》，公司所处大行业为计算机应用服务业，细分行业为以智能身份认证为核心的信息安 全行业。</w:t>
      </w:r>
    </w:p>
    <w:p>
      <w:pPr>
        <w:pStyle w:val="BodyText"/>
        <w:spacing w:line="309" w:lineRule="auto" w:before="138"/>
        <w:ind w:right="1029" w:firstLine="420"/>
        <w:jc w:val="left"/>
      </w:pPr>
      <w:r>
        <w:rPr/>
        <w:t>经营范围：技术开发；技术转让；技术服务；研发、销售智能卡、磁条卡、刮刮卡、电子标签及电子设备；系统软件 开发；技术进出口；货物进出口；代理进出口；销售计算机软硬件及辅助设备、通讯设备、电子产品；设计、制作、代理、</w:t>
      </w:r>
      <w:r>
        <w:rPr>
          <w:spacing w:val="-86"/>
        </w:rPr>
        <w:t> </w:t>
      </w:r>
      <w:r>
        <w:rPr>
          <w:spacing w:val="-86"/>
        </w:rPr>
      </w:r>
      <w:r>
        <w:rPr>
          <w:spacing w:val="-2"/>
        </w:rPr>
        <w:t>发布广告；营销策划；生产信息安全设备、通信终端设备、电子设备（限在外埠从事生产经营活动）；组装</w:t>
      </w:r>
      <w:r>
        <w:rPr>
          <w:rFonts w:ascii="Times New Roman" w:hAnsi="Times New Roman" w:cs="Times New Roman" w:eastAsia="Times New Roman" w:hint="default"/>
          <w:spacing w:val="-2"/>
        </w:rPr>
        <w:t>IC</w:t>
      </w:r>
      <w:r>
        <w:rPr>
          <w:spacing w:val="-2"/>
        </w:rPr>
        <w:t>卡读写机；开</w:t>
      </w:r>
      <w:r>
        <w:rPr>
          <w:spacing w:val="-61"/>
        </w:rPr>
        <w:t> </w:t>
      </w:r>
      <w:r>
        <w:rPr>
          <w:spacing w:val="-61"/>
        </w:rPr>
      </w:r>
      <w:r>
        <w:rPr>
          <w:spacing w:val="-2"/>
        </w:rPr>
        <w:t>发、生产经国家密码管理机构批准的商用密码产品；销售经国家密码管理局审批并通过指定检测机构产品质量检测的商用密</w:t>
      </w:r>
    </w:p>
    <w:p>
      <w:pPr>
        <w:pStyle w:val="BodyText"/>
        <w:spacing w:line="302" w:lineRule="auto" w:before="42"/>
        <w:ind w:right="1149"/>
        <w:jc w:val="left"/>
        <w:rPr>
          <w:rFonts w:ascii="Times New Roman" w:hAnsi="Times New Roman" w:cs="Times New Roman" w:eastAsia="Times New Roman" w:hint="default"/>
        </w:rPr>
      </w:pPr>
      <w:r>
        <w:rPr/>
        <w:t>码产品；经营电信业务。</w:t>
      </w:r>
      <w:r>
        <w:rPr>
          <w:rFonts w:ascii="Times New Roman" w:hAnsi="Times New Roman" w:cs="Times New Roman" w:eastAsia="Times New Roman" w:hint="default"/>
        </w:rPr>
        <w:t>(</w:t>
      </w:r>
      <w:r>
        <w:rPr/>
        <w:t>公司依法自主选择经营项目，开展经营活动：经营电信业务以及依法需经批准的项目，经相关部 门批准后依批准的内容开展经营活动；不得从事本市产业政策禁止和限制类项目的经营活动。</w:t>
      </w:r>
      <w:r>
        <w:rPr>
          <w:rFonts w:ascii="Times New Roman" w:hAnsi="Times New Roman" w:cs="Times New Roman" w:eastAsia="Times New Roman" w:hint="default"/>
        </w:rPr>
        <w:t>)</w:t>
      </w:r>
    </w:p>
    <w:p>
      <w:pPr>
        <w:pStyle w:val="BodyText"/>
        <w:spacing w:line="405" w:lineRule="auto" w:before="134"/>
        <w:ind w:left="441" w:right="1100" w:firstLine="120"/>
        <w:jc w:val="left"/>
      </w:pPr>
      <w:r>
        <w:rPr/>
        <w:t>主营产品包括：</w:t>
      </w:r>
      <w:r>
        <w:rPr>
          <w:rFonts w:ascii="Times New Roman" w:hAnsi="Times New Roman" w:cs="Times New Roman" w:eastAsia="Times New Roman" w:hint="default"/>
        </w:rPr>
        <w:t>ePass</w:t>
      </w:r>
      <w:r>
        <w:rPr/>
        <w:t>系列</w:t>
      </w:r>
      <w:r>
        <w:rPr>
          <w:rFonts w:ascii="Times New Roman" w:hAnsi="Times New Roman" w:cs="Times New Roman" w:eastAsia="Times New Roman" w:hint="default"/>
        </w:rPr>
        <w:t>USB</w:t>
      </w:r>
      <w:r>
        <w:rPr>
          <w:rFonts w:ascii="Times New Roman" w:hAnsi="Times New Roman" w:cs="Times New Roman" w:eastAsia="Times New Roman" w:hint="default"/>
          <w:spacing w:val="-1"/>
        </w:rPr>
        <w:t> </w:t>
      </w:r>
      <w:r>
        <w:rPr>
          <w:rFonts w:ascii="Times New Roman" w:hAnsi="Times New Roman" w:cs="Times New Roman" w:eastAsia="Times New Roman" w:hint="default"/>
        </w:rPr>
        <w:t>Key</w:t>
      </w:r>
      <w:r>
        <w:rPr/>
        <w:t>、</w:t>
      </w:r>
      <w:r>
        <w:rPr>
          <w:rFonts w:ascii="Times New Roman" w:hAnsi="Times New Roman" w:cs="Times New Roman" w:eastAsia="Times New Roman" w:hint="default"/>
        </w:rPr>
        <w:t>OTP</w:t>
      </w:r>
      <w:r>
        <w:rPr/>
        <w:t>系列动态令牌、</w:t>
      </w:r>
      <w:r>
        <w:rPr>
          <w:rFonts w:ascii="Times New Roman" w:hAnsi="Times New Roman" w:cs="Times New Roman" w:eastAsia="Times New Roman" w:hint="default"/>
        </w:rPr>
        <w:t>ROCKEY</w:t>
      </w:r>
      <w:r>
        <w:rPr/>
        <w:t>系列软件加密锁、飞天智能卡及读写器等。 本财务报表已经本公司董事会于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日决议批准报出。</w:t>
      </w:r>
    </w:p>
    <w:p>
      <w:pPr>
        <w:pStyle w:val="BodyText"/>
        <w:spacing w:line="304" w:lineRule="auto" w:before="48"/>
        <w:ind w:right="1084" w:firstLine="300"/>
        <w:jc w:val="left"/>
      </w:pPr>
      <w:r>
        <w:rPr>
          <w:spacing w:val="-1"/>
        </w:rPr>
        <w:t>本公司报告期纳入合并范围的子公司共</w:t>
      </w:r>
      <w:r>
        <w:rPr>
          <w:rFonts w:ascii="Times New Roman" w:hAnsi="Times New Roman" w:cs="Times New Roman" w:eastAsia="Times New Roman" w:hint="default"/>
          <w:spacing w:val="-1"/>
        </w:rPr>
        <w:t>5</w:t>
      </w:r>
      <w:r>
        <w:rPr>
          <w:spacing w:val="-1"/>
        </w:rPr>
        <w:t>户，减少合并范围内子公司</w:t>
      </w:r>
      <w:r>
        <w:rPr>
          <w:rFonts w:ascii="Times New Roman" w:hAnsi="Times New Roman" w:cs="Times New Roman" w:eastAsia="Times New Roman" w:hint="default"/>
          <w:spacing w:val="-1"/>
        </w:rPr>
        <w:t>1</w:t>
      </w:r>
      <w:r>
        <w:rPr>
          <w:spacing w:val="-1"/>
        </w:rPr>
        <w:t>家，详见本节八、</w:t>
      </w:r>
      <w:r>
        <w:rPr>
          <w:rFonts w:ascii="Times New Roman" w:hAnsi="Times New Roman" w:cs="Times New Roman" w:eastAsia="Times New Roman" w:hint="default"/>
          <w:spacing w:val="-1"/>
        </w:rPr>
        <w:t>“</w:t>
      </w:r>
      <w:r>
        <w:rPr>
          <w:spacing w:val="-1"/>
        </w:rPr>
        <w:t>合并范围的变更</w:t>
      </w:r>
      <w:r>
        <w:rPr>
          <w:rFonts w:ascii="Times New Roman" w:hAnsi="Times New Roman" w:cs="Times New Roman" w:eastAsia="Times New Roman" w:hint="default"/>
          <w:spacing w:val="-1"/>
        </w:rPr>
        <w:t>”</w:t>
      </w:r>
      <w:r>
        <w:rPr>
          <w:spacing w:val="-1"/>
        </w:rPr>
        <w:t>和本节九、</w:t>
      </w:r>
      <w:r>
        <w:rPr>
          <w:rFonts w:ascii="Times New Roman" w:hAnsi="Times New Roman" w:cs="Times New Roman" w:eastAsia="Times New Roman" w:hint="default"/>
          <w:spacing w:val="-1"/>
        </w:rPr>
        <w:t>“</w:t>
      </w:r>
      <w:r>
        <w:rPr>
          <w:spacing w:val="-1"/>
        </w:rPr>
        <w:t>在</w:t>
      </w:r>
      <w:r>
        <w:rPr/>
        <w:t> 其他主题中的权益</w:t>
      </w:r>
      <w:r>
        <w:rPr>
          <w:rFonts w:ascii="Times New Roman" w:hAnsi="Times New Roman" w:cs="Times New Roman" w:eastAsia="Times New Roman" w:hint="default"/>
        </w:rPr>
        <w:t>”</w:t>
      </w:r>
      <w:r>
        <w:rPr/>
        <w:t>。</w:t>
      </w:r>
    </w:p>
    <w:p>
      <w:pPr>
        <w:spacing w:after="0" w:line="304" w:lineRule="auto"/>
        <w:jc w:val="left"/>
        <w:sectPr>
          <w:footerReference w:type="default" r:id="rId16"/>
          <w:pgSz w:w="11910" w:h="16850"/>
          <w:pgMar w:footer="981" w:header="731" w:top="1040" w:bottom="1180" w:left="1000" w:right="0"/>
          <w:pgNumType w:start="101"/>
        </w:sectPr>
      </w:pPr>
    </w:p>
    <w:p>
      <w:pPr>
        <w:spacing w:line="240" w:lineRule="auto" w:before="5"/>
        <w:rPr>
          <w:rFonts w:ascii="宋体" w:hAnsi="宋体" w:cs="宋体" w:eastAsia="宋体" w:hint="default"/>
          <w:sz w:val="24"/>
          <w:szCs w:val="24"/>
        </w:rPr>
      </w:pPr>
    </w:p>
    <w:p>
      <w:pPr>
        <w:pStyle w:val="Heading2"/>
        <w:spacing w:line="240" w:lineRule="auto" w:before="26"/>
        <w:ind w:right="1100"/>
        <w:jc w:val="left"/>
        <w:rPr>
          <w:b w:val="0"/>
          <w:bCs w:val="0"/>
        </w:rPr>
      </w:pPr>
      <w:bookmarkStart w:name="四、财务报表的编制基础" w:id="168"/>
      <w:bookmarkEnd w:id="168"/>
      <w:r>
        <w:rPr>
          <w:b w:val="0"/>
          <w:bCs w:val="0"/>
        </w:rPr>
      </w:r>
      <w:r>
        <w:rPr/>
        <w:t>四、财务报表的编制基础</w:t>
      </w:r>
      <w:r>
        <w:rPr>
          <w:b w:val="0"/>
          <w:bCs w:val="0"/>
        </w:rPr>
      </w:r>
    </w:p>
    <w:p>
      <w:pPr>
        <w:spacing w:line="240" w:lineRule="auto" w:before="9"/>
        <w:rPr>
          <w:rFonts w:ascii="宋体" w:hAnsi="宋体" w:cs="宋体" w:eastAsia="宋体" w:hint="default"/>
          <w:b/>
          <w:bCs/>
          <w:sz w:val="25"/>
          <w:szCs w:val="25"/>
        </w:rPr>
      </w:pPr>
    </w:p>
    <w:p>
      <w:pPr>
        <w:pStyle w:val="Heading4"/>
        <w:spacing w:line="240" w:lineRule="auto"/>
        <w:ind w:right="1100"/>
        <w:jc w:val="left"/>
        <w:rPr>
          <w:b w:val="0"/>
          <w:bCs w:val="0"/>
        </w:rPr>
      </w:pPr>
      <w:bookmarkStart w:name="1、编制基础" w:id="169"/>
      <w:bookmarkEnd w:id="169"/>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3"/>
        <w:rPr>
          <w:rFonts w:ascii="宋体" w:hAnsi="宋体" w:cs="宋体" w:eastAsia="宋体" w:hint="default"/>
          <w:b/>
          <w:bCs/>
          <w:sz w:val="25"/>
          <w:szCs w:val="25"/>
        </w:rPr>
      </w:pPr>
    </w:p>
    <w:p>
      <w:pPr>
        <w:pStyle w:val="BodyText"/>
        <w:spacing w:line="321" w:lineRule="auto"/>
        <w:ind w:right="1136" w:firstLine="420"/>
        <w:jc w:val="both"/>
      </w:pPr>
      <w:r>
        <w:rPr/>
        <w:t>本财务报表以公司持续经营假设为基础，根据实际发生的交易事项，按照企业会计准则的有关规定，并基于以下所述 重要会计政策、会计估计进行编制。</w:t>
      </w:r>
    </w:p>
    <w:p>
      <w:pPr>
        <w:spacing w:line="240" w:lineRule="auto" w:before="11"/>
        <w:rPr>
          <w:rFonts w:ascii="宋体" w:hAnsi="宋体" w:cs="宋体" w:eastAsia="宋体" w:hint="default"/>
          <w:sz w:val="22"/>
          <w:szCs w:val="22"/>
        </w:rPr>
      </w:pPr>
    </w:p>
    <w:p>
      <w:pPr>
        <w:pStyle w:val="Heading4"/>
        <w:spacing w:line="240" w:lineRule="auto"/>
        <w:ind w:right="1100"/>
        <w:jc w:val="left"/>
        <w:rPr>
          <w:b w:val="0"/>
          <w:bCs w:val="0"/>
        </w:rPr>
      </w:pPr>
      <w:bookmarkStart w:name="2、持续经营" w:id="170"/>
      <w:bookmarkEnd w:id="170"/>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3"/>
        <w:rPr>
          <w:rFonts w:ascii="宋体" w:hAnsi="宋体" w:cs="宋体" w:eastAsia="宋体" w:hint="default"/>
          <w:b/>
          <w:bCs/>
          <w:sz w:val="25"/>
          <w:szCs w:val="25"/>
        </w:rPr>
      </w:pPr>
    </w:p>
    <w:p>
      <w:pPr>
        <w:pStyle w:val="BodyText"/>
        <w:spacing w:line="321" w:lineRule="auto"/>
        <w:ind w:right="1133" w:firstLine="420"/>
        <w:jc w:val="both"/>
      </w:pPr>
      <w:r>
        <w:rPr/>
        <w:t>本公司对自报告期末起</w:t>
      </w:r>
      <w:r>
        <w:rPr>
          <w:rFonts w:ascii="宋体" w:hAnsi="宋体" w:cs="宋体" w:eastAsia="宋体" w:hint="default"/>
        </w:rPr>
        <w:t>12</w:t>
      </w:r>
      <w:r>
        <w:rPr/>
        <w:t>个月的持续经营能力进行了评估，未发现影响本公司持续经营能力的事项，本公司以持续经 营为基础编制财务报表是合理的。</w:t>
      </w:r>
    </w:p>
    <w:p>
      <w:pPr>
        <w:spacing w:line="240" w:lineRule="auto" w:before="4"/>
        <w:rPr>
          <w:rFonts w:ascii="宋体" w:hAnsi="宋体" w:cs="宋体" w:eastAsia="宋体" w:hint="default"/>
          <w:sz w:val="21"/>
          <w:szCs w:val="21"/>
        </w:rPr>
      </w:pPr>
    </w:p>
    <w:p>
      <w:pPr>
        <w:pStyle w:val="Heading2"/>
        <w:spacing w:line="240" w:lineRule="auto"/>
        <w:ind w:right="1100"/>
        <w:jc w:val="left"/>
        <w:rPr>
          <w:b w:val="0"/>
          <w:bCs w:val="0"/>
        </w:rPr>
      </w:pPr>
      <w:bookmarkStart w:name="五、重要会计政策及会计估计" w:id="171"/>
      <w:bookmarkEnd w:id="171"/>
      <w:r>
        <w:rPr>
          <w:b w:val="0"/>
          <w:bCs w:val="0"/>
        </w:rPr>
      </w:r>
      <w:r>
        <w:rPr/>
        <w:t>五、重要会计政策及会计估计</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00"/>
        <w:jc w:val="left"/>
      </w:pPr>
      <w:r>
        <w:rPr/>
        <w:t>具体会计政策和会计估计提示：</w:t>
      </w:r>
    </w:p>
    <w:p>
      <w:pPr>
        <w:spacing w:line="240" w:lineRule="auto" w:before="0"/>
        <w:rPr>
          <w:rFonts w:ascii="宋体" w:hAnsi="宋体" w:cs="宋体" w:eastAsia="宋体" w:hint="default"/>
          <w:sz w:val="18"/>
          <w:szCs w:val="18"/>
        </w:rPr>
      </w:pPr>
    </w:p>
    <w:p>
      <w:pPr>
        <w:pStyle w:val="Heading4"/>
        <w:spacing w:line="240" w:lineRule="auto" w:before="140"/>
        <w:ind w:right="1100"/>
        <w:jc w:val="left"/>
        <w:rPr>
          <w:b w:val="0"/>
          <w:bCs w:val="0"/>
        </w:rPr>
      </w:pPr>
      <w:bookmarkStart w:name="1、遵循企业会计准则的声明" w:id="172"/>
      <w:bookmarkEnd w:id="172"/>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1"/>
        <w:rPr>
          <w:rFonts w:ascii="宋体" w:hAnsi="宋体" w:cs="宋体" w:eastAsia="宋体" w:hint="default"/>
          <w:b/>
          <w:bCs/>
          <w:sz w:val="24"/>
          <w:szCs w:val="24"/>
        </w:rPr>
      </w:pPr>
    </w:p>
    <w:p>
      <w:pPr>
        <w:pStyle w:val="BodyText"/>
        <w:spacing w:line="350" w:lineRule="auto"/>
        <w:ind w:right="1136" w:firstLine="420"/>
        <w:jc w:val="both"/>
      </w:pPr>
      <w:r>
        <w:rPr/>
        <w:t>本公司基于上述编制基础编制的财务报表符合财政部已颁布的最新企业会计准则及其应用指南、解释以及其他相关规 定</w:t>
      </w:r>
      <w:r>
        <w:rPr>
          <w:rFonts w:ascii="Times New Roman" w:hAnsi="Times New Roman" w:cs="Times New Roman" w:eastAsia="Times New Roman" w:hint="default"/>
        </w:rPr>
        <w:t>(</w:t>
      </w:r>
      <w:r>
        <w:rPr/>
        <w:t>统称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的要求，真实完整地反映了公司的财务状况、经营成果和现金流量等有关信息。</w:t>
      </w:r>
    </w:p>
    <w:p>
      <w:pPr>
        <w:pStyle w:val="BodyText"/>
        <w:spacing w:line="240" w:lineRule="auto" w:before="109"/>
        <w:ind w:left="561" w:right="0"/>
        <w:jc w:val="left"/>
      </w:pPr>
      <w:r>
        <w:rPr/>
        <w:t>此外，本财务报告编制参照了证监会发布的《公开发行证券的公司信息披露编报规则第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p>
    <w:p>
      <w:pPr>
        <w:pStyle w:val="BodyText"/>
        <w:spacing w:line="240" w:lineRule="auto" w:before="81"/>
        <w:ind w:right="0"/>
        <w:jc w:val="left"/>
      </w:pPr>
      <w:r>
        <w:rPr/>
        <w:t>（</w:t>
      </w:r>
      <w:r>
        <w:rPr>
          <w:rFonts w:ascii="Times New Roman" w:hAnsi="Times New Roman" w:cs="Times New Roman" w:eastAsia="Times New Roman" w:hint="default"/>
        </w:rPr>
        <w:t>2014</w:t>
      </w:r>
      <w:r>
        <w:rPr/>
        <w:t>年修订）以及《关于上市公司执行新企业会计准则有关事项的通知》（会计部函〔</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453</w:t>
      </w:r>
      <w:r>
        <w:rPr/>
        <w:t>号）的列报和披露要求。</w:t>
      </w:r>
    </w:p>
    <w:p>
      <w:pPr>
        <w:spacing w:line="240" w:lineRule="auto" w:before="4"/>
        <w:rPr>
          <w:rFonts w:ascii="宋体" w:hAnsi="宋体" w:cs="宋体" w:eastAsia="宋体" w:hint="default"/>
          <w:sz w:val="25"/>
          <w:szCs w:val="25"/>
        </w:rPr>
      </w:pPr>
    </w:p>
    <w:p>
      <w:pPr>
        <w:pStyle w:val="Heading4"/>
        <w:spacing w:line="240" w:lineRule="auto"/>
        <w:ind w:right="1100"/>
        <w:jc w:val="left"/>
        <w:rPr>
          <w:b w:val="0"/>
          <w:bCs w:val="0"/>
        </w:rPr>
      </w:pPr>
      <w:bookmarkStart w:name="2、会计期间" w:id="173"/>
      <w:bookmarkEnd w:id="173"/>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61" w:right="1100"/>
        <w:jc w:val="left"/>
      </w:pPr>
      <w:r>
        <w:rPr/>
        <w:t>本公司的会计年度从公历</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0"/>
        <w:rPr>
          <w:rFonts w:ascii="宋体" w:hAnsi="宋体" w:cs="宋体" w:eastAsia="宋体" w:hint="default"/>
          <w:sz w:val="18"/>
          <w:szCs w:val="18"/>
        </w:rPr>
      </w:pPr>
    </w:p>
    <w:p>
      <w:pPr>
        <w:pStyle w:val="Heading4"/>
        <w:spacing w:line="240" w:lineRule="auto" w:before="124"/>
        <w:ind w:right="1100"/>
        <w:jc w:val="left"/>
        <w:rPr>
          <w:b w:val="0"/>
          <w:bCs w:val="0"/>
        </w:rPr>
      </w:pPr>
      <w:bookmarkStart w:name="3、营业周期" w:id="174"/>
      <w:bookmarkEnd w:id="174"/>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3"/>
        <w:rPr>
          <w:rFonts w:ascii="宋体" w:hAnsi="宋体" w:cs="宋体" w:eastAsia="宋体" w:hint="default"/>
          <w:b/>
          <w:bCs/>
          <w:sz w:val="25"/>
          <w:szCs w:val="25"/>
        </w:rPr>
      </w:pPr>
    </w:p>
    <w:p>
      <w:pPr>
        <w:pStyle w:val="BodyText"/>
        <w:spacing w:line="321" w:lineRule="auto"/>
        <w:ind w:right="1126" w:firstLine="420"/>
        <w:jc w:val="both"/>
      </w:pPr>
      <w:r>
        <w:rPr/>
        <w:t>正常营业周期是指本公司从购买用于加工的资产起至实现现金或现金等价物的期间。本公司以</w:t>
      </w:r>
      <w:r>
        <w:rPr>
          <w:rFonts w:ascii="宋体" w:hAnsi="宋体" w:cs="宋体" w:eastAsia="宋体" w:hint="default"/>
        </w:rPr>
        <w:t>12</w:t>
      </w:r>
      <w:r>
        <w:rPr/>
        <w:t>个月作为一个营业周 期，并以其作为资产和负债的流动性划分标准。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2"/>
          <w:szCs w:val="22"/>
        </w:rPr>
      </w:pPr>
    </w:p>
    <w:p>
      <w:pPr>
        <w:pStyle w:val="Heading4"/>
        <w:spacing w:line="240" w:lineRule="auto"/>
        <w:ind w:right="1100"/>
        <w:jc w:val="left"/>
        <w:rPr>
          <w:b w:val="0"/>
          <w:bCs w:val="0"/>
        </w:rPr>
      </w:pPr>
      <w:bookmarkStart w:name="4、记账本位币" w:id="175"/>
      <w:bookmarkEnd w:id="175"/>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3"/>
        <w:rPr>
          <w:rFonts w:ascii="宋体" w:hAnsi="宋体" w:cs="宋体" w:eastAsia="宋体" w:hint="default"/>
          <w:b/>
          <w:bCs/>
          <w:sz w:val="25"/>
          <w:szCs w:val="25"/>
        </w:rPr>
      </w:pPr>
    </w:p>
    <w:p>
      <w:pPr>
        <w:pStyle w:val="BodyText"/>
        <w:spacing w:line="328" w:lineRule="auto"/>
        <w:ind w:right="1136" w:firstLine="420"/>
        <w:jc w:val="both"/>
      </w:pPr>
      <w:r>
        <w:rPr/>
        <w:t>人民币为本公司及境内子公司经营所处的主要经济环境中的货币，本公司及境内子公司以人民币为记账本位币。本公 司之境外子公司根据其经营所处的主要经济环境中的货币确定记账本位币。本公司编制本财务报表时所采用的货币为人民</w:t>
      </w:r>
      <w:r>
        <w:rPr>
          <w:spacing w:val="-7"/>
        </w:rPr>
        <w:t> </w:t>
      </w:r>
      <w:r>
        <w:rPr>
          <w:spacing w:val="-7"/>
        </w:rPr>
      </w:r>
      <w:r>
        <w:rPr/>
        <w:t>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1"/>
          <w:szCs w:val="21"/>
        </w:rPr>
      </w:pPr>
    </w:p>
    <w:p>
      <w:pPr>
        <w:pStyle w:val="Heading4"/>
        <w:spacing w:line="240" w:lineRule="auto"/>
        <w:ind w:right="1100"/>
        <w:jc w:val="left"/>
        <w:rPr>
          <w:b w:val="0"/>
          <w:bCs w:val="0"/>
        </w:rPr>
      </w:pPr>
      <w:bookmarkStart w:name="5、同一控制下和非同一控制下企业合并的会计处理方法" w:id="176"/>
      <w:bookmarkEnd w:id="176"/>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61" w:right="1100"/>
        <w:jc w:val="left"/>
      </w:pPr>
      <w:r>
        <w:rPr>
          <w:rFonts w:ascii="宋体" w:hAnsi="宋体" w:cs="宋体" w:eastAsia="宋体" w:hint="default"/>
        </w:rPr>
        <w:t>1.</w:t>
      </w:r>
      <w:r>
        <w:rPr/>
        <w:t>同一控制下企业合并的会计处理方法</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8" w:lineRule="auto" w:before="44"/>
        <w:ind w:right="1126" w:firstLine="420"/>
        <w:jc w:val="both"/>
      </w:pPr>
      <w:r>
        <w:rPr/>
        <w:t>本公司在一次交易取得或通过多次交易分步实现同一控制下企业合并，企业合并中取得的资产和负债，按照合并日被 </w:t>
      </w:r>
      <w:r>
        <w:rPr>
          <w:spacing w:val="-2"/>
        </w:rPr>
        <w:t>合并方在最终控制方合并财务报表中的的账面价值计量。本公司取得的净资产账面价值与支付的合并对价账面价值（或发行</w:t>
      </w:r>
      <w:r>
        <w:rPr>
          <w:spacing w:val="-61"/>
        </w:rPr>
        <w:t> </w:t>
      </w:r>
      <w:r>
        <w:rPr>
          <w:spacing w:val="-61"/>
        </w:rPr>
      </w:r>
      <w:r>
        <w:rPr/>
        <w:t>股份面值总额）的差额，调整资本公积；资本公积不足冲减的，调整留存收益。</w:t>
      </w:r>
    </w:p>
    <w:p>
      <w:pPr>
        <w:pStyle w:val="BodyText"/>
        <w:spacing w:line="450" w:lineRule="exact" w:before="13"/>
        <w:ind w:left="561" w:right="1100"/>
        <w:jc w:val="left"/>
      </w:pPr>
      <w:r>
        <w:rPr>
          <w:rFonts w:ascii="宋体" w:hAnsi="宋体" w:cs="宋体" w:eastAsia="宋体" w:hint="default"/>
        </w:rPr>
        <w:t>2.</w:t>
      </w:r>
      <w:r>
        <w:rPr/>
        <w:t>非同一控制下企业合并的会计处理方法 本公司在购买日对合并成本大于合并中取得的被购买方可辨认净资产公允价值份额的差额，确认为商誉；如果合并成</w:t>
      </w:r>
    </w:p>
    <w:p>
      <w:pPr>
        <w:pStyle w:val="BodyText"/>
        <w:spacing w:line="321" w:lineRule="auto" w:before="14"/>
        <w:ind w:right="1136"/>
        <w:jc w:val="both"/>
      </w:pPr>
      <w:r>
        <w:rPr>
          <w:spacing w:val="-2"/>
        </w:rPr>
        <w:t>本小于合并中取得的被购买方可辨认净资产公允价值份额，首先对取得的被购买方各项可辨认资产、负债及或有负债的公允</w:t>
      </w:r>
      <w:r>
        <w:rPr>
          <w:spacing w:val="-72"/>
        </w:rPr>
        <w:t> </w:t>
      </w:r>
      <w:r>
        <w:rPr>
          <w:spacing w:val="-72"/>
        </w:rPr>
      </w:r>
      <w:r>
        <w:rPr>
          <w:spacing w:val="-2"/>
        </w:rPr>
        <w:t>价值以及合并成本的计量进行复核，经复核后合并成本仍小于合并中取得的被购买方可辨认净资产公允价值份额的，其差额</w:t>
      </w:r>
      <w:r>
        <w:rPr>
          <w:spacing w:val="-72"/>
        </w:rPr>
        <w:t> </w:t>
      </w:r>
      <w:r>
        <w:rPr>
          <w:spacing w:val="-72"/>
        </w:rPr>
      </w:r>
      <w:r>
        <w:rPr/>
        <w:t>计入当期损益。</w:t>
      </w:r>
    </w:p>
    <w:p>
      <w:pPr>
        <w:spacing w:line="240" w:lineRule="auto" w:before="1"/>
        <w:rPr>
          <w:rFonts w:ascii="宋体" w:hAnsi="宋体" w:cs="宋体" w:eastAsia="宋体" w:hint="default"/>
          <w:sz w:val="14"/>
          <w:szCs w:val="14"/>
        </w:rPr>
      </w:pPr>
    </w:p>
    <w:p>
      <w:pPr>
        <w:pStyle w:val="BodyText"/>
        <w:spacing w:line="240" w:lineRule="auto"/>
        <w:ind w:left="561" w:right="1100"/>
        <w:jc w:val="left"/>
      </w:pPr>
      <w:r>
        <w:rPr/>
        <w:t>通过多次交易分步实现非同一控制下企业合并，应按以下顺序处理：</w:t>
      </w:r>
    </w:p>
    <w:p>
      <w:pPr>
        <w:spacing w:line="240" w:lineRule="auto" w:before="5"/>
        <w:rPr>
          <w:rFonts w:ascii="宋体" w:hAnsi="宋体" w:cs="宋体" w:eastAsia="宋体" w:hint="default"/>
          <w:sz w:val="16"/>
          <w:szCs w:val="16"/>
        </w:rPr>
      </w:pPr>
    </w:p>
    <w:p>
      <w:pPr>
        <w:pStyle w:val="BodyText"/>
        <w:spacing w:line="321" w:lineRule="auto"/>
        <w:ind w:right="1120" w:firstLine="420"/>
        <w:jc w:val="both"/>
      </w:pPr>
      <w:r>
        <w:rPr>
          <w:spacing w:val="-1"/>
        </w:rPr>
        <w:t>（</w:t>
      </w:r>
      <w:r>
        <w:rPr>
          <w:rFonts w:ascii="宋体" w:hAnsi="宋体" w:cs="宋体" w:eastAsia="宋体" w:hint="default"/>
          <w:spacing w:val="-1"/>
        </w:rPr>
        <w:t>1</w:t>
      </w:r>
      <w:r>
        <w:rPr>
          <w:spacing w:val="-1"/>
        </w:rPr>
        <w:t>）调整长期股权投资初始投资成本。购买日之前持有股权采用权益法核算的，按照该股权在购买日的公允价值进行</w:t>
      </w:r>
      <w:r>
        <w:rPr/>
        <w:t> </w:t>
      </w:r>
      <w:r>
        <w:rPr>
          <w:spacing w:val="-2"/>
        </w:rPr>
        <w:t>重新计量，公允价值与其账面价值的差额计入当期投资收益；购买日之前持有的被购买方的股权涉及权益法核算下的其他综</w:t>
      </w:r>
      <w:r>
        <w:rPr>
          <w:spacing w:val="-72"/>
        </w:rPr>
        <w:t> </w:t>
      </w:r>
      <w:r>
        <w:rPr>
          <w:spacing w:val="-72"/>
        </w:rPr>
      </w:r>
      <w:r>
        <w:rPr>
          <w:spacing w:val="-2"/>
        </w:rPr>
        <w:t>合收益、其他所有者权益变动的，转为购买日所属当期收益，由于被投资方重新计量设定受益计划净负债或净资产变动而产</w:t>
      </w:r>
      <w:r>
        <w:rPr>
          <w:spacing w:val="-75"/>
        </w:rPr>
        <w:t> </w:t>
      </w:r>
      <w:r>
        <w:rPr>
          <w:spacing w:val="-75"/>
        </w:rPr>
      </w:r>
      <w:r>
        <w:rPr/>
        <w:t>生的其他综合收益除外。</w:t>
      </w:r>
    </w:p>
    <w:p>
      <w:pPr>
        <w:pStyle w:val="BodyText"/>
        <w:spacing w:line="336" w:lineRule="auto" w:before="153"/>
        <w:ind w:right="1135" w:firstLine="420"/>
        <w:jc w:val="both"/>
      </w:pPr>
      <w:r>
        <w:rPr>
          <w:spacing w:val="-2"/>
        </w:rPr>
        <w:t>（</w:t>
      </w:r>
      <w:r>
        <w:rPr>
          <w:rFonts w:ascii="宋体" w:hAnsi="宋体" w:cs="宋体" w:eastAsia="宋体" w:hint="default"/>
          <w:spacing w:val="-2"/>
        </w:rPr>
        <w:t>2</w:t>
      </w:r>
      <w:r>
        <w:rPr>
          <w:spacing w:val="-2"/>
        </w:rPr>
        <w:t>）确认商誉（或计入当期损益的金额）。将第一步调整后长期股权投资初始投资成本与购买日应享有子公司可辨认</w:t>
      </w:r>
      <w:r>
        <w:rPr/>
        <w:t> 净资产公允价值份额比较，前者大于后者，差额确认为商誉；前者小于后者，差额计入当期损益。</w:t>
      </w:r>
    </w:p>
    <w:p>
      <w:pPr>
        <w:pStyle w:val="BodyText"/>
        <w:spacing w:line="240" w:lineRule="auto" w:before="158"/>
        <w:ind w:left="561" w:right="1100"/>
        <w:jc w:val="left"/>
      </w:pPr>
      <w:r>
        <w:rPr/>
        <w:t>通过多次交易分步处置股权至丧失对子公司控制权的情形：</w:t>
      </w:r>
    </w:p>
    <w:p>
      <w:pPr>
        <w:pStyle w:val="BodyText"/>
        <w:spacing w:line="450" w:lineRule="atLeast" w:before="30"/>
        <w:ind w:left="561" w:right="1100"/>
        <w:jc w:val="left"/>
      </w:pPr>
      <w:r>
        <w:rPr/>
        <w:t>（</w:t>
      </w:r>
      <w:r>
        <w:rPr>
          <w:rFonts w:ascii="宋体" w:hAnsi="宋体" w:cs="宋体" w:eastAsia="宋体" w:hint="default"/>
        </w:rPr>
        <w:t>1</w:t>
      </w:r>
      <w:r>
        <w:rPr/>
        <w:t>）判断分步处置股权至丧失对子公司控制权过程中的各项交易是否属于“一揽子交易”的原则</w:t>
      </w:r>
      <w:r>
        <w:rPr>
          <w:spacing w:val="-83"/>
        </w:rPr>
        <w:t> </w:t>
      </w:r>
      <w:r>
        <w:rPr>
          <w:spacing w:val="-83"/>
        </w:rPr>
      </w:r>
      <w:r>
        <w:rPr/>
        <w:t>处置对子公司股权投资的各项交易的条款、条件以及经济影响符合以下一种或多种情况，通常表明应将多次交易事项</w:t>
      </w:r>
    </w:p>
    <w:p>
      <w:pPr>
        <w:pStyle w:val="BodyText"/>
        <w:spacing w:line="475" w:lineRule="auto" w:before="95"/>
        <w:ind w:left="561" w:right="5559" w:hanging="421"/>
        <w:jc w:val="left"/>
      </w:pPr>
      <w:r>
        <w:rPr/>
        <w:t>作为一揽子交易进行会计处理： </w:t>
      </w:r>
      <w:r>
        <w:rPr>
          <w:rFonts w:ascii="宋体" w:hAnsi="宋体" w:cs="宋体" w:eastAsia="宋体" w:hint="default"/>
        </w:rPr>
        <w:t>1</w:t>
      </w:r>
      <w:r>
        <w:rPr/>
        <w:t>）这些交易是同时或者在考虑了彼此影响的情况下订立的；</w:t>
      </w:r>
    </w:p>
    <w:p>
      <w:pPr>
        <w:pStyle w:val="BodyText"/>
        <w:spacing w:line="240" w:lineRule="auto" w:before="53"/>
        <w:ind w:left="561" w:right="1100"/>
        <w:jc w:val="left"/>
      </w:pPr>
      <w:r>
        <w:rPr>
          <w:rFonts w:ascii="宋体" w:hAnsi="宋体" w:cs="宋体" w:eastAsia="宋体" w:hint="default"/>
        </w:rPr>
        <w:t>2</w:t>
      </w:r>
      <w:r>
        <w:rPr/>
        <w:t>）这些交易整体才能达成一项完整的商业结果；</w:t>
      </w:r>
    </w:p>
    <w:p>
      <w:pPr>
        <w:spacing w:line="240" w:lineRule="auto" w:before="7"/>
        <w:rPr>
          <w:rFonts w:ascii="宋体" w:hAnsi="宋体" w:cs="宋体" w:eastAsia="宋体" w:hint="default"/>
          <w:sz w:val="17"/>
          <w:szCs w:val="17"/>
        </w:rPr>
      </w:pPr>
    </w:p>
    <w:p>
      <w:pPr>
        <w:pStyle w:val="BodyText"/>
        <w:spacing w:line="240" w:lineRule="auto"/>
        <w:ind w:left="561" w:right="1100"/>
        <w:jc w:val="left"/>
      </w:pPr>
      <w:r>
        <w:rPr>
          <w:rFonts w:ascii="宋体" w:hAnsi="宋体" w:cs="宋体" w:eastAsia="宋体" w:hint="default"/>
        </w:rPr>
        <w:t>3</w:t>
      </w:r>
      <w:r>
        <w:rPr/>
        <w:t>）一项交易的发生取决于其他至少一项交易的发生；</w:t>
      </w:r>
    </w:p>
    <w:p>
      <w:pPr>
        <w:spacing w:line="240" w:lineRule="auto" w:before="8"/>
        <w:rPr>
          <w:rFonts w:ascii="宋体" w:hAnsi="宋体" w:cs="宋体" w:eastAsia="宋体" w:hint="default"/>
          <w:sz w:val="17"/>
          <w:szCs w:val="17"/>
        </w:rPr>
      </w:pPr>
    </w:p>
    <w:p>
      <w:pPr>
        <w:pStyle w:val="BodyText"/>
        <w:spacing w:line="240" w:lineRule="auto"/>
        <w:ind w:left="561" w:right="1100"/>
        <w:jc w:val="left"/>
      </w:pPr>
      <w:r>
        <w:rPr>
          <w:rFonts w:ascii="宋体" w:hAnsi="宋体" w:cs="宋体" w:eastAsia="宋体" w:hint="default"/>
        </w:rPr>
        <w:t>4</w:t>
      </w:r>
      <w:r>
        <w:rPr/>
        <w:t>）一项交易单独看是不经济的，但是和其他交易一并考虑时是经济的。</w:t>
      </w:r>
    </w:p>
    <w:p>
      <w:pPr>
        <w:pStyle w:val="BodyText"/>
        <w:spacing w:line="450" w:lineRule="atLeast" w:before="30"/>
        <w:ind w:left="561" w:right="1100"/>
        <w:jc w:val="left"/>
      </w:pPr>
      <w:r>
        <w:rPr/>
        <w:t>（</w:t>
      </w:r>
      <w:r>
        <w:rPr>
          <w:rFonts w:ascii="宋体" w:hAnsi="宋体" w:cs="宋体" w:eastAsia="宋体" w:hint="default"/>
        </w:rPr>
        <w:t>2</w:t>
      </w:r>
      <w:r>
        <w:rPr/>
        <w:t>）分步处置股权至丧失对子公司控制权过程中的各项交易属于“一揽子交易”的会计处理方法</w:t>
      </w:r>
      <w:r>
        <w:rPr>
          <w:spacing w:val="-84"/>
        </w:rPr>
        <w:t> </w:t>
      </w:r>
      <w:r>
        <w:rPr>
          <w:spacing w:val="-84"/>
        </w:rPr>
      </w:r>
      <w:r>
        <w:rPr/>
        <w:t>处置对子公司股权投资直至丧失控制权的各项交易属于一揽子交易的，应当将各项交易作为一项处置子公司并丧失控</w:t>
      </w:r>
    </w:p>
    <w:p>
      <w:pPr>
        <w:pStyle w:val="BodyText"/>
        <w:spacing w:line="321" w:lineRule="auto" w:before="80"/>
        <w:ind w:right="1136"/>
        <w:jc w:val="both"/>
      </w:pPr>
      <w:r>
        <w:rPr>
          <w:spacing w:val="-2"/>
        </w:rPr>
        <w:t>制权的交易进行会计处理；但是，在丧失控制权之前每一次处置价款与处置投资对应的享有该子公司净资产份额的差额，在</w:t>
      </w:r>
      <w:r>
        <w:rPr>
          <w:spacing w:val="-75"/>
        </w:rPr>
        <w:t> </w:t>
      </w:r>
      <w:r>
        <w:rPr>
          <w:spacing w:val="-75"/>
        </w:rPr>
      </w:r>
      <w:r>
        <w:rPr/>
        <w:t>合并财务报表中应当确认为其他综合收益，在丧失控制权时一并转入丧失控制权当期的损益。</w:t>
      </w:r>
    </w:p>
    <w:p>
      <w:pPr>
        <w:spacing w:line="240" w:lineRule="auto" w:before="12"/>
        <w:rPr>
          <w:rFonts w:ascii="宋体" w:hAnsi="宋体" w:cs="宋体" w:eastAsia="宋体" w:hint="default"/>
          <w:sz w:val="12"/>
          <w:szCs w:val="12"/>
        </w:rPr>
      </w:pPr>
    </w:p>
    <w:p>
      <w:pPr>
        <w:pStyle w:val="BodyText"/>
        <w:spacing w:line="321" w:lineRule="auto"/>
        <w:ind w:right="1135" w:firstLine="420"/>
        <w:jc w:val="both"/>
      </w:pPr>
      <w:r>
        <w:rPr/>
        <w:t>在合并财务报表中，对于剩余股权，应当按照其在丧失控制权日的公允价值进行重新计量。处置股权取得的对价与剩 </w:t>
      </w:r>
      <w:r>
        <w:rPr>
          <w:spacing w:val="-2"/>
        </w:rPr>
        <w:t>余股权公允价值之和，减去按原持股比例计算应享有原子公司自购买日开始持续计算的净资产的份额之间的差额，计入丧失</w:t>
      </w:r>
      <w:r>
        <w:rPr>
          <w:spacing w:val="-70"/>
        </w:rPr>
        <w:t> </w:t>
      </w:r>
      <w:r>
        <w:rPr>
          <w:spacing w:val="-70"/>
        </w:rPr>
      </w:r>
      <w:r>
        <w:rPr/>
        <w:t>控制权当期的投资收益。与原子公司股权投资相关的其他综合收益，应当在丧失控制权时转为当期投资收益。</w:t>
      </w:r>
    </w:p>
    <w:p>
      <w:pPr>
        <w:pStyle w:val="BodyText"/>
        <w:spacing w:line="466" w:lineRule="exact" w:before="6"/>
        <w:ind w:left="561" w:right="1100"/>
        <w:jc w:val="left"/>
      </w:pPr>
      <w:r>
        <w:rPr/>
        <w:t>（</w:t>
      </w:r>
      <w:r>
        <w:rPr>
          <w:rFonts w:ascii="宋体" w:hAnsi="宋体" w:cs="宋体" w:eastAsia="宋体" w:hint="default"/>
        </w:rPr>
        <w:t>3</w:t>
      </w:r>
      <w:r>
        <w:rPr/>
        <w:t>）分步处置股权至丧失对子公司控制权过程中的各项交易不属于“一揽子交易”的会计处理方法</w:t>
      </w:r>
      <w:r>
        <w:rPr>
          <w:spacing w:val="-84"/>
        </w:rPr>
        <w:t> </w:t>
      </w:r>
      <w:r>
        <w:rPr>
          <w:spacing w:val="-84"/>
        </w:rPr>
      </w:r>
      <w:r>
        <w:rPr/>
        <w:t>处置对子公司的投资未丧失控制权的，合并财务报表中处置价款与处置投资对应的享有该子公司净资产份额的差额计</w:t>
      </w:r>
    </w:p>
    <w:p>
      <w:pPr>
        <w:pStyle w:val="BodyText"/>
        <w:spacing w:line="240" w:lineRule="auto" w:before="11"/>
        <w:ind w:right="0"/>
        <w:jc w:val="both"/>
      </w:pPr>
      <w:r>
        <w:rPr/>
        <w:t>入资本公积（资本溢价或股本溢价），资本溢价不足冲减的，应当调整留存收益。</w:t>
      </w:r>
    </w:p>
    <w:p>
      <w:pPr>
        <w:spacing w:line="240" w:lineRule="auto" w:before="7"/>
        <w:rPr>
          <w:rFonts w:ascii="宋体" w:hAnsi="宋体" w:cs="宋体" w:eastAsia="宋体" w:hint="default"/>
          <w:sz w:val="17"/>
          <w:szCs w:val="17"/>
        </w:rPr>
      </w:pPr>
    </w:p>
    <w:p>
      <w:pPr>
        <w:pStyle w:val="BodyText"/>
        <w:spacing w:line="307" w:lineRule="auto"/>
        <w:ind w:right="1136" w:firstLine="420"/>
        <w:jc w:val="both"/>
      </w:pPr>
      <w:r>
        <w:rPr/>
        <w:t>处置对子公司的投资丧失控制权的，在合并财务报表中，对于剩余股权，应当按照其在丧失控制权日的公允价值进行 </w:t>
      </w:r>
      <w:r>
        <w:rPr>
          <w:spacing w:val="-2"/>
        </w:rPr>
        <w:t>重新计量。处置股权取得的对价与剩余股权公允价值之和，减去按原持股比例计算应享有原有子公司自购买日开始持续计算</w:t>
      </w:r>
    </w:p>
    <w:p>
      <w:pPr>
        <w:spacing w:after="0" w:line="307" w:lineRule="auto"/>
        <w:jc w:val="both"/>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36" w:lineRule="auto" w:before="44"/>
        <w:ind w:right="1136"/>
        <w:jc w:val="both"/>
      </w:pPr>
      <w:r>
        <w:rPr>
          <w:spacing w:val="-2"/>
        </w:rPr>
        <w:t>的净资产的份额之间的差额，计入丧失控制权当期的投资收益。与原有子公司股权投资相关的其他综合收益，应当在丧失控</w:t>
      </w:r>
      <w:r>
        <w:rPr>
          <w:spacing w:val="-75"/>
        </w:rPr>
        <w:t> </w:t>
      </w:r>
      <w:r>
        <w:rPr>
          <w:spacing w:val="-75"/>
        </w:rPr>
      </w:r>
      <w:r>
        <w:rPr/>
        <w:t>制权时转为当期投资收益。</w:t>
      </w:r>
    </w:p>
    <w:p>
      <w:pPr>
        <w:spacing w:line="240" w:lineRule="auto" w:before="0"/>
        <w:rPr>
          <w:rFonts w:ascii="宋体" w:hAnsi="宋体" w:cs="宋体" w:eastAsia="宋体" w:hint="default"/>
          <w:sz w:val="22"/>
          <w:szCs w:val="22"/>
        </w:rPr>
      </w:pPr>
    </w:p>
    <w:p>
      <w:pPr>
        <w:pStyle w:val="Heading4"/>
        <w:spacing w:line="240" w:lineRule="auto"/>
        <w:ind w:right="0"/>
        <w:jc w:val="both"/>
        <w:rPr>
          <w:b w:val="0"/>
          <w:bCs w:val="0"/>
        </w:rPr>
      </w:pPr>
      <w:bookmarkStart w:name="6、合并财务报表的编制方法" w:id="177"/>
      <w:bookmarkEnd w:id="177"/>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3"/>
        <w:rPr>
          <w:rFonts w:ascii="宋体" w:hAnsi="宋体" w:cs="宋体" w:eastAsia="宋体" w:hint="default"/>
          <w:b/>
          <w:bCs/>
          <w:sz w:val="25"/>
          <w:szCs w:val="25"/>
        </w:rPr>
      </w:pPr>
    </w:p>
    <w:p>
      <w:pPr>
        <w:pStyle w:val="BodyText"/>
        <w:spacing w:line="302" w:lineRule="auto"/>
        <w:ind w:right="1126" w:firstLine="420"/>
        <w:jc w:val="both"/>
      </w:pPr>
      <w:r>
        <w:rPr/>
        <w:t>合并财务报表以母公司及其子公司的财务报表为基础，根据其他有关资料，由本公司按照《企业会计准则第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 </w:t>
      </w:r>
      <w:r>
        <w:rPr/>
        <w:t>合并财务报表》编制。</w:t>
      </w:r>
    </w:p>
    <w:p>
      <w:pPr>
        <w:pStyle w:val="BodyText"/>
        <w:spacing w:line="430" w:lineRule="atLeast" w:before="17"/>
        <w:ind w:left="561" w:right="1100"/>
        <w:jc w:val="left"/>
      </w:pPr>
      <w:r>
        <w:rPr>
          <w:rFonts w:ascii="Times New Roman" w:hAnsi="Times New Roman" w:cs="Times New Roman" w:eastAsia="Times New Roman" w:hint="default"/>
        </w:rPr>
        <w:t>1.</w:t>
      </w:r>
      <w:r>
        <w:rPr/>
        <w:t>合并财务报表范围的确定原则 合并财务报表的合并范围以控制为基础予以确定。控制是指本公司拥有对被投资方的权力，通过参与被投资方的相关</w:t>
      </w:r>
    </w:p>
    <w:p>
      <w:pPr>
        <w:pStyle w:val="BodyText"/>
        <w:spacing w:line="336" w:lineRule="auto" w:before="64"/>
        <w:ind w:right="1106"/>
        <w:jc w:val="both"/>
      </w:pPr>
      <w:r>
        <w:rPr>
          <w:spacing w:val="-2"/>
        </w:rPr>
        <w:t>活动而享有可变回报，并且有能力运用对被投资方的权力影响该回报金额。合并范围包括本公司及全部子公司。子公司，是</w:t>
      </w:r>
      <w:r>
        <w:rPr>
          <w:spacing w:val="-42"/>
        </w:rPr>
        <w:t> </w:t>
      </w:r>
      <w:r>
        <w:rPr>
          <w:spacing w:val="-42"/>
        </w:rPr>
      </w:r>
      <w:r>
        <w:rPr/>
        <w:t>指被本公司控制的主体。</w:t>
      </w:r>
    </w:p>
    <w:p>
      <w:pPr>
        <w:pStyle w:val="BodyText"/>
        <w:spacing w:line="240" w:lineRule="auto" w:before="158"/>
        <w:ind w:left="561" w:right="1100"/>
        <w:jc w:val="left"/>
      </w:pPr>
      <w:r>
        <w:rPr/>
        <w:t>一旦相关事实和情况的变化导致上述控制定义涉及的相关要素发生了变化，本公司将进行重新评估。</w:t>
      </w:r>
    </w:p>
    <w:p>
      <w:pPr>
        <w:pStyle w:val="BodyText"/>
        <w:spacing w:line="420" w:lineRule="atLeast" w:before="89"/>
        <w:ind w:left="561" w:right="1100"/>
        <w:jc w:val="left"/>
      </w:pPr>
      <w:r>
        <w:rPr>
          <w:rFonts w:ascii="Times New Roman" w:hAnsi="Times New Roman" w:cs="Times New Roman" w:eastAsia="Times New Roman" w:hint="default"/>
        </w:rPr>
        <w:t>2.</w:t>
      </w:r>
      <w:r>
        <w:rPr/>
        <w:t>合并财务报表编制的方法 从取得子公司的净资产和生产经营决策的实际控制权之日起，本公司开始将其纳入合并范围；从丧失实际控制权之日</w:t>
      </w:r>
    </w:p>
    <w:p>
      <w:pPr>
        <w:pStyle w:val="BodyText"/>
        <w:spacing w:line="321" w:lineRule="auto" w:before="80"/>
        <w:ind w:right="1106"/>
        <w:jc w:val="both"/>
      </w:pPr>
      <w:r>
        <w:rPr>
          <w:spacing w:val="-2"/>
        </w:rPr>
        <w:t>起停止纳入合并范围。对于处置的子公司，处置日前的经营成果和现金流量已经适当地包括在合并利润表和合并现金流量表</w:t>
      </w:r>
      <w:r>
        <w:rPr>
          <w:spacing w:val="-69"/>
        </w:rPr>
        <w:t> </w:t>
      </w:r>
      <w:r>
        <w:rPr>
          <w:spacing w:val="-69"/>
        </w:rPr>
      </w:r>
      <w:r>
        <w:rPr>
          <w:spacing w:val="-2"/>
        </w:rPr>
        <w:t>中；当期处置的子公司，不调整合并资产负债表的期初数。非同一控制下企业合并增加的子公司，其购买日后的经营成果及</w:t>
      </w:r>
      <w:r>
        <w:rPr>
          <w:spacing w:val="-42"/>
        </w:rPr>
        <w:t> </w:t>
      </w:r>
      <w:r>
        <w:rPr>
          <w:spacing w:val="-42"/>
        </w:rPr>
      </w:r>
      <w:r>
        <w:rPr>
          <w:spacing w:val="-2"/>
        </w:rPr>
        <w:t>现金流量已经适当地包括在合并利润表和合并现金流量表中，且不调整合并财务报表的期初数和对比数。同一控制下企业合</w:t>
      </w:r>
      <w:r>
        <w:rPr>
          <w:spacing w:val="-72"/>
        </w:rPr>
        <w:t> </w:t>
      </w:r>
      <w:r>
        <w:rPr>
          <w:spacing w:val="-72"/>
        </w:rPr>
      </w:r>
      <w:r>
        <w:rPr>
          <w:spacing w:val="-2"/>
        </w:rPr>
        <w:t>并增加的子公司，其自合并当期期初至合并日的经营成果和现金流量已经适当地包括在合并利润表和合并现金流量表中，并</w:t>
      </w:r>
      <w:r>
        <w:rPr>
          <w:spacing w:val="-72"/>
        </w:rPr>
        <w:t> </w:t>
      </w:r>
      <w:r>
        <w:rPr>
          <w:spacing w:val="-72"/>
        </w:rPr>
      </w:r>
      <w:r>
        <w:rPr/>
        <w:t>且同时调整合并财务报表的对比数。</w:t>
      </w:r>
    </w:p>
    <w:p>
      <w:pPr>
        <w:pStyle w:val="BodyText"/>
        <w:spacing w:line="328" w:lineRule="auto" w:before="153"/>
        <w:ind w:right="1127" w:firstLine="420"/>
        <w:jc w:val="both"/>
      </w:pPr>
      <w:r>
        <w:rPr/>
        <w:t>在编制合并财务报表时，子公司与本公司采用的会计政策或会计期间不一致的，按照本公司的会计政策和会计期间对 </w:t>
      </w:r>
      <w:r>
        <w:rPr>
          <w:spacing w:val="-2"/>
        </w:rPr>
        <w:t>子公司财务报表进行必要的调整。对于非同一控制下企业合并取得的子公司，以购买日可辨认净资产公允价值为基础对其财</w:t>
      </w:r>
      <w:r>
        <w:rPr>
          <w:spacing w:val="-72"/>
        </w:rPr>
        <w:t> </w:t>
      </w:r>
      <w:r>
        <w:rPr>
          <w:spacing w:val="-72"/>
        </w:rPr>
      </w:r>
      <w:r>
        <w:rPr/>
        <w:t>务报表进行调整。</w:t>
      </w:r>
    </w:p>
    <w:p>
      <w:pPr>
        <w:pStyle w:val="BodyText"/>
        <w:spacing w:line="450" w:lineRule="exact" w:before="13"/>
        <w:ind w:left="561" w:right="1100"/>
        <w:jc w:val="left"/>
      </w:pPr>
      <w:r>
        <w:rPr/>
        <w:t>公司内所有重大往来余额、交易及未实现利润在合并财务报表编制时予以抵销。 子公司的股东权益及当期净损益中不属于本公司所拥有的部分分别作为少数股东权益及少数股东损益在合并财务报表</w:t>
      </w:r>
    </w:p>
    <w:p>
      <w:pPr>
        <w:pStyle w:val="BodyText"/>
        <w:spacing w:line="295" w:lineRule="auto" w:before="29"/>
        <w:ind w:right="1126"/>
        <w:jc w:val="both"/>
      </w:pPr>
      <w:r>
        <w:rPr/>
        <w:t>中股东权益及净利润项下单独列示。子公司当期净损益中属于少数股东权益的份额，在合并利润表中净利润项目下以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少数</w:t>
      </w:r>
      <w:r>
        <w:rPr>
          <w:spacing w:val="-69"/>
        </w:rPr>
        <w:t> </w:t>
      </w:r>
      <w:r>
        <w:rPr/>
        <w:t>股东损益</w:t>
      </w:r>
      <w:r>
        <w:rPr>
          <w:rFonts w:ascii="Times New Roman" w:hAnsi="Times New Roman" w:cs="Times New Roman" w:eastAsia="Times New Roman" w:hint="default"/>
        </w:rPr>
        <w:t>”</w:t>
      </w:r>
      <w:r>
        <w:rPr/>
        <w:t>项目列示。少数股东分担的子公司的亏损超过了少数股东在该子公司期初股东权益中所享有的份额，仍冲减少数</w:t>
      </w:r>
      <w:r>
        <w:rPr>
          <w:spacing w:val="-73"/>
        </w:rPr>
        <w:t> </w:t>
      </w:r>
      <w:r>
        <w:rPr>
          <w:spacing w:val="-73"/>
        </w:rPr>
      </w:r>
      <w:r>
        <w:rPr/>
        <w:t>股东权益。</w:t>
      </w:r>
    </w:p>
    <w:p>
      <w:pPr>
        <w:spacing w:line="240" w:lineRule="auto" w:before="5"/>
        <w:rPr>
          <w:rFonts w:ascii="宋体" w:hAnsi="宋体" w:cs="宋体" w:eastAsia="宋体" w:hint="default"/>
          <w:sz w:val="14"/>
          <w:szCs w:val="14"/>
        </w:rPr>
      </w:pPr>
    </w:p>
    <w:p>
      <w:pPr>
        <w:pStyle w:val="BodyText"/>
        <w:spacing w:line="314" w:lineRule="auto"/>
        <w:ind w:right="1096" w:firstLine="420"/>
        <w:jc w:val="both"/>
      </w:pPr>
      <w:r>
        <w:rPr/>
        <w:t>当因处置部分股权投资或其他原因丧失了对原有子公司的控制权时，对于剩余股权，按照其在丧失控制权日的公允价 </w:t>
      </w:r>
      <w:r>
        <w:rPr>
          <w:spacing w:val="-2"/>
        </w:rPr>
        <w:t>值进行重新计量。处置股权取得的对价与剩余股权公允价值之和，减去按原持股比例计算应享有原有子公司自购买日开始持</w:t>
      </w:r>
      <w:r>
        <w:rPr>
          <w:spacing w:val="-72"/>
        </w:rPr>
        <w:t> </w:t>
      </w:r>
      <w:r>
        <w:rPr>
          <w:spacing w:val="-72"/>
        </w:rPr>
      </w:r>
      <w:r>
        <w:rPr>
          <w:spacing w:val="-2"/>
        </w:rPr>
        <w:t>续计算的净资产的份额之间的差额，计入丧失控制权当期的投资收益。与原有子公司股权投资相关的其他综合收益，在丧失</w:t>
      </w:r>
      <w:r>
        <w:rPr>
          <w:spacing w:val="-75"/>
        </w:rPr>
        <w:t> </w:t>
      </w:r>
      <w:r>
        <w:rPr>
          <w:spacing w:val="-75"/>
        </w:rPr>
      </w:r>
      <w:r>
        <w:rPr>
          <w:spacing w:val="-2"/>
        </w:rPr>
        <w:t>控制权时采用与被购买方直接处置相关资产或负债相同的基础进行会计处理（即，除了在该原有子公司重新计量设定受益计</w:t>
      </w:r>
      <w:r>
        <w:rPr>
          <w:spacing w:val="-72"/>
        </w:rPr>
        <w:t> </w:t>
      </w:r>
      <w:r>
        <w:rPr>
          <w:spacing w:val="-72"/>
        </w:rPr>
      </w:r>
      <w:r>
        <w:rPr>
          <w:spacing w:val="-3"/>
        </w:rPr>
        <w:t>划净负债或净资产导致的变动以外，其余一并转为当期投资收益）。其后，对该部分剩余股权按照《企业会计准则第</w:t>
      </w:r>
      <w:r>
        <w:rPr>
          <w:rFonts w:ascii="Times New Roman" w:hAnsi="Times New Roman" w:cs="Times New Roman" w:eastAsia="Times New Roman" w:hint="default"/>
          <w:spacing w:val="-3"/>
        </w:rPr>
        <w:t>2</w:t>
      </w:r>
      <w:r>
        <w:rPr>
          <w:spacing w:val="-3"/>
        </w:rPr>
        <w:t>号</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24"/>
        </w:rPr>
        <w:t> </w:t>
      </w:r>
      <w:r>
        <w:rPr>
          <w:spacing w:val="-3"/>
        </w:rPr>
        <w:t>长期股权投资》或《企业会计准则第</w:t>
      </w:r>
      <w:r>
        <w:rPr>
          <w:rFonts w:ascii="Times New Roman" w:hAnsi="Times New Roman" w:cs="Times New Roman" w:eastAsia="Times New Roman" w:hint="default"/>
          <w:spacing w:val="-3"/>
        </w:rPr>
        <w:t>22</w:t>
      </w:r>
      <w:r>
        <w:rPr>
          <w:spacing w:val="-3"/>
        </w:rPr>
        <w:t>号</w:t>
      </w:r>
      <w:r>
        <w:rPr>
          <w:rFonts w:ascii="Times New Roman" w:hAnsi="Times New Roman" w:cs="Times New Roman" w:eastAsia="Times New Roman" w:hint="default"/>
          <w:spacing w:val="-3"/>
        </w:rPr>
        <w:t>——</w:t>
      </w:r>
      <w:r>
        <w:rPr>
          <w:spacing w:val="-3"/>
        </w:rPr>
        <w:t>金融工具确认和计量》等相关规定进行后续计量，详见本附注三、（十六）</w:t>
      </w:r>
      <w:r>
        <w:rPr>
          <w:rFonts w:ascii="Times New Roman" w:hAnsi="Times New Roman" w:cs="Times New Roman" w:eastAsia="Times New Roman" w:hint="default"/>
          <w:spacing w:val="-3"/>
        </w:rPr>
        <w:t>“</w:t>
      </w:r>
      <w:r>
        <w:rPr>
          <w:spacing w:val="-3"/>
        </w:rPr>
        <w:t>长</w:t>
      </w:r>
      <w:r>
        <w:rPr>
          <w:spacing w:val="-75"/>
        </w:rPr>
        <w:t> </w:t>
      </w:r>
      <w:r>
        <w:rPr/>
        <w:t>期股权投资</w:t>
      </w:r>
      <w:r>
        <w:rPr>
          <w:rFonts w:ascii="Times New Roman" w:hAnsi="Times New Roman" w:cs="Times New Roman" w:eastAsia="Times New Roman" w:hint="default"/>
        </w:rPr>
        <w:t>”</w:t>
      </w:r>
      <w:r>
        <w:rPr/>
        <w:t>或本附注三、（十）</w:t>
      </w:r>
      <w:r>
        <w:rPr>
          <w:rFonts w:ascii="Times New Roman" w:hAnsi="Times New Roman" w:cs="Times New Roman" w:eastAsia="Times New Roman" w:hint="default"/>
        </w:rPr>
        <w:t>“</w:t>
      </w:r>
      <w:r>
        <w:rPr/>
        <w:t>金融工具</w:t>
      </w:r>
      <w:r>
        <w:rPr>
          <w:rFonts w:ascii="Times New Roman" w:hAnsi="Times New Roman" w:cs="Times New Roman" w:eastAsia="Times New Roman" w:hint="default"/>
        </w:rPr>
        <w:t>”</w:t>
      </w:r>
      <w:r>
        <w:rPr/>
        <w:t>。</w:t>
      </w:r>
    </w:p>
    <w:p>
      <w:pPr>
        <w:pStyle w:val="BodyText"/>
        <w:spacing w:line="312" w:lineRule="auto" w:before="139"/>
        <w:ind w:right="0" w:firstLine="420"/>
        <w:jc w:val="left"/>
      </w:pPr>
      <w:r>
        <w:rPr/>
        <w:t>本公司通过多次交易分步处置对子公司股权投资直至丧失控制权的，需区分处置对子公司股权投资直至丧失控制权的 </w:t>
      </w:r>
      <w:r>
        <w:rPr>
          <w:spacing w:val="-2"/>
        </w:rPr>
        <w:t>各项交易是否属于一揽子交易。处置对子公司股权投资的各项交易的条款、条件以及经济影响符合以下一种或多种情况，通</w:t>
      </w:r>
      <w:r>
        <w:rPr>
          <w:spacing w:val="-75"/>
        </w:rPr>
        <w:t> </w:t>
      </w:r>
      <w:r>
        <w:rPr>
          <w:spacing w:val="-75"/>
        </w:rPr>
      </w:r>
      <w:r>
        <w:rPr>
          <w:spacing w:val="-3"/>
        </w:rPr>
        <w:t>常表明应将多次交易事项作为一揽子交易进行会计处理：（</w:t>
      </w:r>
      <w:r>
        <w:rPr>
          <w:rFonts w:ascii="Times New Roman" w:hAnsi="Times New Roman" w:cs="Times New Roman" w:eastAsia="Times New Roman" w:hint="default"/>
          <w:spacing w:val="-3"/>
        </w:rPr>
        <w:t>1</w:t>
      </w:r>
      <w:r>
        <w:rPr>
          <w:spacing w:val="-3"/>
        </w:rPr>
        <w:t>）这些交易是同时或者在考虑了彼此影响的情况下订立的；（</w:t>
      </w:r>
      <w:r>
        <w:rPr>
          <w:rFonts w:ascii="Times New Roman" w:hAnsi="Times New Roman" w:cs="Times New Roman" w:eastAsia="Times New Roman" w:hint="default"/>
          <w:spacing w:val="-3"/>
        </w:rPr>
        <w:t>2</w:t>
      </w:r>
      <w:r>
        <w:rPr>
          <w:spacing w:val="-3"/>
        </w:rPr>
        <w:t>）</w:t>
      </w:r>
      <w:r>
        <w:rPr>
          <w:spacing w:val="-63"/>
        </w:rPr>
        <w:t> </w:t>
      </w:r>
      <w:r>
        <w:rPr/>
        <w:t>这些交易整体才能达成一项完整的商业结果；（</w:t>
      </w:r>
      <w:r>
        <w:rPr>
          <w:rFonts w:ascii="Times New Roman" w:hAnsi="Times New Roman" w:cs="Times New Roman" w:eastAsia="Times New Roman" w:hint="default"/>
        </w:rPr>
        <w:t>3</w:t>
      </w:r>
      <w:r>
        <w:rPr/>
        <w:t>）一项交易的发生取决于其他至少一项交易的发生；（</w:t>
      </w:r>
      <w:r>
        <w:rPr>
          <w:rFonts w:ascii="Times New Roman" w:hAnsi="Times New Roman" w:cs="Times New Roman" w:eastAsia="Times New Roman" w:hint="default"/>
        </w:rPr>
        <w:t>4</w:t>
      </w:r>
      <w:r>
        <w:rPr/>
        <w:t>）一项交易单独看 是不经济的，但是和其他交易一并考虑时是经济的。不属于一揽子交易的，对其中的每一项交易视情况分别按照</w:t>
      </w:r>
      <w:r>
        <w:rPr>
          <w:rFonts w:ascii="Times New Roman" w:hAnsi="Times New Roman" w:cs="Times New Roman" w:eastAsia="Times New Roman" w:hint="default"/>
        </w:rPr>
        <w:t>“</w:t>
      </w:r>
      <w:r>
        <w:rPr/>
        <w:t>不丧失控</w:t>
      </w:r>
    </w:p>
    <w:p>
      <w:pPr>
        <w:spacing w:after="0" w:line="312"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300" w:lineRule="auto" w:before="44"/>
        <w:ind w:right="1096"/>
        <w:jc w:val="both"/>
      </w:pPr>
      <w:r>
        <w:rPr/>
        <w:t>制权的情况下部分处置对子公司的长期股权投资</w:t>
      </w:r>
      <w:r>
        <w:rPr>
          <w:rFonts w:ascii="Times New Roman" w:hAnsi="Times New Roman" w:cs="Times New Roman" w:eastAsia="Times New Roman" w:hint="default"/>
        </w:rPr>
        <w:t>”</w:t>
      </w:r>
      <w:r>
        <w:rPr/>
        <w:t>（详见本附注三、（十六）</w:t>
      </w:r>
      <w:r>
        <w:rPr>
          <w:rFonts w:ascii="Times New Roman" w:hAnsi="Times New Roman" w:cs="Times New Roman" w:eastAsia="Times New Roman" w:hint="default"/>
        </w:rPr>
        <w:t>“</w:t>
      </w:r>
      <w:r>
        <w:rPr/>
        <w:t>长期股权投资</w:t>
      </w:r>
      <w:r>
        <w:rPr>
          <w:rFonts w:ascii="Times New Roman" w:hAnsi="Times New Roman" w:cs="Times New Roman" w:eastAsia="Times New Roman" w:hint="default"/>
        </w:rPr>
        <w:t>”</w:t>
      </w:r>
      <w:r>
        <w:rPr/>
        <w:t>、</w:t>
      </w:r>
      <w:r>
        <w:rPr>
          <w:rFonts w:ascii="Times New Roman" w:hAnsi="Times New Roman" w:cs="Times New Roman" w:eastAsia="Times New Roman" w:hint="default"/>
        </w:rPr>
        <w:t>4“</w:t>
      </w:r>
      <w:r>
        <w:rPr/>
        <w:t>长期股权投资的处置</w:t>
      </w:r>
      <w:r>
        <w:rPr>
          <w:rFonts w:ascii="Times New Roman" w:hAnsi="Times New Roman" w:cs="Times New Roman" w:eastAsia="Times New Roman" w:hint="default"/>
        </w:rPr>
        <w:t>”</w:t>
      </w:r>
      <w:r>
        <w:rPr/>
        <w:t>）和 </w:t>
      </w:r>
      <w:r>
        <w:rPr>
          <w:rFonts w:ascii="Times New Roman" w:hAnsi="Times New Roman" w:cs="Times New Roman" w:eastAsia="Times New Roman" w:hint="default"/>
          <w:spacing w:val="-1"/>
        </w:rPr>
        <w:t>“</w:t>
      </w:r>
      <w:r>
        <w:rPr>
          <w:spacing w:val="-1"/>
        </w:rPr>
        <w:t>因处置部分股权投资或其他原因丧失了对原有子公司的控制权</w:t>
      </w:r>
      <w:r>
        <w:rPr>
          <w:rFonts w:ascii="Times New Roman" w:hAnsi="Times New Roman" w:cs="Times New Roman" w:eastAsia="Times New Roman" w:hint="default"/>
          <w:spacing w:val="-1"/>
        </w:rPr>
        <w:t>”</w:t>
      </w:r>
      <w:r>
        <w:rPr>
          <w:spacing w:val="-1"/>
        </w:rPr>
        <w:t>（详见前段）适用的原则进行会计处理。处置对子公司股权</w:t>
      </w:r>
      <w:r>
        <w:rPr>
          <w:spacing w:val="-69"/>
        </w:rPr>
        <w:t> </w:t>
      </w:r>
      <w:r>
        <w:rPr>
          <w:spacing w:val="-69"/>
        </w:rPr>
      </w:r>
      <w:r>
        <w:rPr>
          <w:spacing w:val="-2"/>
        </w:rPr>
        <w:t>投资直至丧失控制权的各项交易属于一揽子交易的，将各项交易作为一项处置子公司并丧失控制权的交易进行会计处理；但</w:t>
      </w:r>
      <w:r>
        <w:rPr>
          <w:spacing w:val="-69"/>
        </w:rPr>
        <w:t> </w:t>
      </w:r>
      <w:r>
        <w:rPr>
          <w:spacing w:val="-69"/>
        </w:rPr>
      </w:r>
      <w:r>
        <w:rPr>
          <w:spacing w:val="-2"/>
        </w:rPr>
        <w:t>是，在丧失控制权之前每一次处置价款与处置投资对应的享有该子公司净资产份额的差额，在合并财务报表中确认为其他综</w:t>
      </w:r>
    </w:p>
    <w:p>
      <w:pPr>
        <w:pStyle w:val="BodyText"/>
        <w:spacing w:line="240" w:lineRule="auto" w:before="49"/>
        <w:ind w:right="0"/>
        <w:jc w:val="both"/>
      </w:pPr>
      <w:r>
        <w:rPr/>
        <w:t>合收益，在丧失控制权时一并转入丧失控制权当期的损益。</w:t>
      </w:r>
    </w:p>
    <w:p>
      <w:pPr>
        <w:spacing w:line="240" w:lineRule="auto" w:before="0"/>
        <w:rPr>
          <w:rFonts w:ascii="宋体" w:hAnsi="宋体" w:cs="宋体" w:eastAsia="宋体" w:hint="default"/>
          <w:sz w:val="18"/>
          <w:szCs w:val="18"/>
        </w:rPr>
      </w:pPr>
    </w:p>
    <w:p>
      <w:pPr>
        <w:pStyle w:val="Heading4"/>
        <w:spacing w:line="240" w:lineRule="auto" w:before="124"/>
        <w:ind w:right="0"/>
        <w:jc w:val="both"/>
        <w:rPr>
          <w:b w:val="0"/>
          <w:bCs w:val="0"/>
        </w:rPr>
      </w:pPr>
      <w:bookmarkStart w:name="7、合营安排分类及共同经营会计处理方法" w:id="178"/>
      <w:bookmarkEnd w:id="178"/>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pStyle w:val="BodyText"/>
        <w:spacing w:line="450" w:lineRule="atLeast" w:before="159"/>
        <w:ind w:left="561" w:right="1111"/>
        <w:jc w:val="left"/>
      </w:pPr>
      <w:r>
        <w:rPr>
          <w:rFonts w:ascii="Times New Roman" w:hAnsi="Times New Roman" w:cs="Times New Roman" w:eastAsia="Times New Roman" w:hint="default"/>
        </w:rPr>
        <w:t>1.</w:t>
      </w:r>
      <w:r>
        <w:rPr/>
        <w:t>合营安排的认定和分类 </w:t>
      </w:r>
      <w:r>
        <w:rPr>
          <w:spacing w:val="-1"/>
        </w:rPr>
        <w:t>合营安排，是指一项由两个或两个以上的参与方共同控制的安排。合营安排具有下列特征：（</w:t>
      </w:r>
      <w:r>
        <w:rPr>
          <w:rFonts w:ascii="Times New Roman" w:hAnsi="Times New Roman" w:cs="Times New Roman" w:eastAsia="Times New Roman" w:hint="default"/>
          <w:spacing w:val="-1"/>
        </w:rPr>
        <w:t>1</w:t>
      </w:r>
      <w:r>
        <w:rPr>
          <w:spacing w:val="-1"/>
        </w:rPr>
        <w:t>）各参与方均受到该安</w:t>
      </w:r>
    </w:p>
    <w:p>
      <w:pPr>
        <w:pStyle w:val="BodyText"/>
        <w:spacing w:line="302" w:lineRule="auto" w:before="66"/>
        <w:ind w:right="1119"/>
        <w:jc w:val="left"/>
      </w:pPr>
      <w:r>
        <w:rPr/>
        <w:t>排的约束；（</w:t>
      </w:r>
      <w:r>
        <w:rPr>
          <w:rFonts w:ascii="Times New Roman" w:hAnsi="Times New Roman" w:cs="Times New Roman" w:eastAsia="Times New Roman" w:hint="default"/>
        </w:rPr>
        <w:t>2</w:t>
      </w:r>
      <w:r>
        <w:rPr/>
        <w:t>）两个或两个以上的参与方对该安排实施共同控制。任何一个参与方都不能够单独控制该安排，对该安排具 有共同控制的任何一个参与方均能够阻止其他参与方或参与方组合单独控制该安排。</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336" w:lineRule="auto"/>
        <w:ind w:right="1136" w:firstLine="420"/>
        <w:jc w:val="both"/>
      </w:pPr>
      <w:r>
        <w:rPr/>
        <w:t>共同控制，是指按照相关约定对某项安排所共有的控制，并且该安排的相关活动必须经过分享控制权的参与方一致同 意后才能决策。</w:t>
      </w:r>
    </w:p>
    <w:p>
      <w:pPr>
        <w:pStyle w:val="BodyText"/>
        <w:spacing w:line="336" w:lineRule="auto" w:before="143"/>
        <w:ind w:right="1136" w:firstLine="420"/>
        <w:jc w:val="both"/>
      </w:pPr>
      <w:r>
        <w:rPr/>
        <w:t>合营安排分为共同经营和合营企业。共同经营，是指合营方享有该安排相关资产且承担该安排相关负债的合营安排。 合营企业，是指合营方仅对该安排的净资产享有权利的合营安排。</w:t>
      </w:r>
    </w:p>
    <w:p>
      <w:pPr>
        <w:spacing w:line="240" w:lineRule="auto" w:before="3"/>
        <w:rPr>
          <w:rFonts w:ascii="宋体" w:hAnsi="宋体" w:cs="宋体" w:eastAsia="宋体" w:hint="default"/>
          <w:sz w:val="13"/>
          <w:szCs w:val="13"/>
        </w:rPr>
      </w:pPr>
    </w:p>
    <w:p>
      <w:pPr>
        <w:pStyle w:val="BodyText"/>
        <w:spacing w:line="420" w:lineRule="auto"/>
        <w:ind w:left="561" w:right="1100"/>
        <w:jc w:val="left"/>
      </w:pPr>
      <w:r>
        <w:rPr>
          <w:rFonts w:ascii="Times New Roman" w:hAnsi="Times New Roman" w:cs="Times New Roman" w:eastAsia="Times New Roman" w:hint="default"/>
        </w:rPr>
        <w:t>2.</w:t>
      </w:r>
      <w:r>
        <w:rPr/>
        <w:t>合营安排的会计处理 共同经营参与方应当确认其与共同经营中利益份额相关的下列项目，并按照相关企业会计准则的规定进行会计处理：</w:t>
      </w:r>
    </w:p>
    <w:p>
      <w:pPr>
        <w:pStyle w:val="BodyText"/>
        <w:spacing w:line="209" w:lineRule="exact"/>
        <w:ind w:right="0"/>
        <w:jc w:val="both"/>
      </w:pPr>
      <w:r>
        <w:rPr/>
        <w:t>（</w:t>
      </w:r>
      <w:r>
        <w:rPr>
          <w:rFonts w:ascii="Times New Roman" w:hAnsi="Times New Roman" w:cs="Times New Roman" w:eastAsia="Times New Roman" w:hint="default"/>
        </w:rPr>
        <w:t>1</w:t>
      </w:r>
      <w:r>
        <w:rPr/>
        <w:t>）确认单独所持有的资产，以及按其份额确认共同持有的资产；（</w:t>
      </w:r>
      <w:r>
        <w:rPr>
          <w:rFonts w:ascii="Times New Roman" w:hAnsi="Times New Roman" w:cs="Times New Roman" w:eastAsia="Times New Roman" w:hint="default"/>
        </w:rPr>
        <w:t>2</w:t>
      </w:r>
      <w:r>
        <w:rPr/>
        <w:t>）确认单独所承担的负债，以及按其份额确认共同承</w:t>
      </w:r>
    </w:p>
    <w:p>
      <w:pPr>
        <w:pStyle w:val="BodyText"/>
        <w:spacing w:line="240" w:lineRule="auto" w:before="66"/>
        <w:ind w:right="0"/>
        <w:jc w:val="both"/>
      </w:pPr>
      <w:r>
        <w:rPr>
          <w:spacing w:val="-4"/>
        </w:rPr>
        <w:t>担的负债；（</w:t>
      </w:r>
      <w:r>
        <w:rPr>
          <w:rFonts w:ascii="Times New Roman" w:hAnsi="Times New Roman" w:cs="Times New Roman" w:eastAsia="Times New Roman" w:hint="default"/>
          <w:spacing w:val="-4"/>
        </w:rPr>
        <w:t>3</w:t>
      </w:r>
      <w:r>
        <w:rPr>
          <w:spacing w:val="-4"/>
        </w:rPr>
        <w:t>）确认出售其享有的共同经营产出份额所产生的收入；（</w:t>
      </w:r>
      <w:r>
        <w:rPr>
          <w:rFonts w:ascii="Times New Roman" w:hAnsi="Times New Roman" w:cs="Times New Roman" w:eastAsia="Times New Roman" w:hint="default"/>
          <w:spacing w:val="-4"/>
        </w:rPr>
        <w:t>4</w:t>
      </w:r>
      <w:r>
        <w:rPr>
          <w:spacing w:val="-4"/>
        </w:rPr>
        <w:t>）按其份额确认共同经营因出售产出所产生的收入；</w:t>
      </w:r>
    </w:p>
    <w:p>
      <w:pPr>
        <w:pStyle w:val="BodyText"/>
        <w:spacing w:line="240" w:lineRule="auto" w:before="81"/>
        <w:ind w:right="0"/>
        <w:jc w:val="both"/>
      </w:pPr>
      <w:r>
        <w:rPr/>
        <w:t>（</w:t>
      </w:r>
      <w:r>
        <w:rPr>
          <w:rFonts w:ascii="Times New Roman" w:hAnsi="Times New Roman" w:cs="Times New Roman" w:eastAsia="Times New Roman" w:hint="default"/>
        </w:rPr>
        <w:t>5</w:t>
      </w:r>
      <w:r>
        <w:rPr/>
        <w:t>）确认单独所发生的费用，以及按其份额确认共同经营发生的费用。</w:t>
      </w:r>
    </w:p>
    <w:p>
      <w:pPr>
        <w:pStyle w:val="BodyText"/>
        <w:spacing w:line="450" w:lineRule="atLeast" w:before="15"/>
        <w:ind w:left="561" w:right="1100"/>
        <w:jc w:val="left"/>
      </w:pPr>
      <w:r>
        <w:rPr/>
        <w:t>合营企业参与方应当按照《企业会计准则第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长期股权投资》的规定对合营企业的投资进行会计处理。</w:t>
      </w:r>
      <w:r>
        <w:rPr>
          <w:spacing w:val="-86"/>
        </w:rPr>
        <w:t> </w:t>
      </w:r>
      <w:r>
        <w:rPr>
          <w:spacing w:val="-1"/>
        </w:rPr>
        <w:t>本公司对合营企业的投资采用权益法核算，按照本附注三、（十六）、</w:t>
      </w:r>
      <w:r>
        <w:rPr>
          <w:rFonts w:ascii="Times New Roman" w:hAnsi="Times New Roman" w:cs="Times New Roman" w:eastAsia="Times New Roman" w:hint="default"/>
          <w:spacing w:val="-1"/>
        </w:rPr>
        <w:t>2“</w:t>
      </w:r>
      <w:r>
        <w:rPr>
          <w:spacing w:val="-1"/>
        </w:rPr>
        <w:t>后续计量及损益确认的方法</w:t>
      </w:r>
      <w:r>
        <w:rPr>
          <w:rFonts w:ascii="Times New Roman" w:hAnsi="Times New Roman" w:cs="Times New Roman" w:eastAsia="Times New Roman" w:hint="default"/>
          <w:spacing w:val="-1"/>
        </w:rPr>
        <w:t>”</w:t>
      </w:r>
      <w:r>
        <w:rPr>
          <w:spacing w:val="-1"/>
        </w:rPr>
        <w:t>中所述的会计政</w:t>
      </w:r>
    </w:p>
    <w:p>
      <w:pPr>
        <w:pStyle w:val="BodyText"/>
        <w:spacing w:line="240" w:lineRule="auto" w:before="66"/>
        <w:ind w:right="0"/>
        <w:jc w:val="both"/>
      </w:pPr>
      <w:r>
        <w:rPr/>
        <w:t>策处理。</w:t>
      </w:r>
    </w:p>
    <w:p>
      <w:pPr>
        <w:spacing w:line="240" w:lineRule="auto" w:before="5"/>
        <w:rPr>
          <w:rFonts w:ascii="宋体" w:hAnsi="宋体" w:cs="宋体" w:eastAsia="宋体" w:hint="default"/>
          <w:sz w:val="16"/>
          <w:szCs w:val="16"/>
        </w:rPr>
      </w:pPr>
    </w:p>
    <w:p>
      <w:pPr>
        <w:pStyle w:val="BodyText"/>
        <w:spacing w:line="328" w:lineRule="auto"/>
        <w:ind w:right="1136" w:firstLine="420"/>
        <w:jc w:val="both"/>
      </w:pPr>
      <w:r>
        <w:rPr/>
        <w:t>本公司作为合营方对共同经营，确认本公司单独持有的资产、单独所承担的负债，以及按本公司份额确认共同持有的 </w:t>
      </w:r>
      <w:r>
        <w:rPr>
          <w:spacing w:val="-2"/>
        </w:rPr>
        <w:t>资产和共同承担的负债；确认出售本公司享有的共同经营产出份额所产生的收入；按本公司份额确认共同经营因出售产出所</w:t>
      </w:r>
      <w:r>
        <w:rPr>
          <w:spacing w:val="-72"/>
        </w:rPr>
        <w:t> </w:t>
      </w:r>
      <w:r>
        <w:rPr>
          <w:spacing w:val="-72"/>
        </w:rPr>
      </w:r>
      <w:r>
        <w:rPr/>
        <w:t>产生的收入；确认本公司单独所发生的费用，以及按本公司份额确认共同经营发生的费用。</w:t>
      </w:r>
    </w:p>
    <w:p>
      <w:pPr>
        <w:pStyle w:val="BodyText"/>
        <w:spacing w:line="314" w:lineRule="auto" w:before="148"/>
        <w:ind w:right="1134" w:firstLine="420"/>
        <w:jc w:val="both"/>
      </w:pPr>
      <w:r>
        <w:rPr/>
        <w:t>当本公司作为合营方向共同经营投出或出售资产（该资产不构成业务，下同）、或者自共同经营购买资产时，在该等 </w:t>
      </w:r>
      <w:r>
        <w:rPr>
          <w:spacing w:val="-2"/>
        </w:rPr>
        <w:t>资产出售给第三方之前，本公司仅确认因该交易产生的损益中归属于共同经营其他参与方的部分。该等资产发生符合《企业</w:t>
      </w:r>
      <w:r>
        <w:rPr>
          <w:spacing w:val="-75"/>
        </w:rPr>
        <w:t> </w:t>
      </w:r>
      <w:r>
        <w:rPr>
          <w:spacing w:val="-75"/>
        </w:rPr>
      </w:r>
      <w:r>
        <w:rPr/>
        <w:t>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资产减值》等规定的资产减值损失的，对于由本公司向共同经营投出或出售资产的情况，本公司全额确 认该损失；对于本公司自共同经营购买资产的情况，本公司按承担的份额确认该损失。</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2"/>
          <w:szCs w:val="22"/>
        </w:rPr>
      </w:pPr>
    </w:p>
    <w:p>
      <w:pPr>
        <w:pStyle w:val="Heading4"/>
        <w:spacing w:line="240" w:lineRule="auto"/>
        <w:ind w:right="0"/>
        <w:jc w:val="both"/>
        <w:rPr>
          <w:b w:val="0"/>
          <w:bCs w:val="0"/>
        </w:rPr>
      </w:pPr>
      <w:bookmarkStart w:name="8、现金及现金等价物的确定标准" w:id="179"/>
      <w:bookmarkEnd w:id="179"/>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3"/>
        <w:rPr>
          <w:rFonts w:ascii="宋体" w:hAnsi="宋体" w:cs="宋体" w:eastAsia="宋体" w:hint="default"/>
          <w:b/>
          <w:bCs/>
          <w:sz w:val="25"/>
          <w:szCs w:val="25"/>
        </w:rPr>
      </w:pPr>
    </w:p>
    <w:p>
      <w:pPr>
        <w:pStyle w:val="BodyText"/>
        <w:spacing w:line="336" w:lineRule="auto"/>
        <w:ind w:right="1127" w:firstLine="420"/>
        <w:jc w:val="both"/>
      </w:pPr>
      <w:r>
        <w:rPr/>
        <w:t>现金流量表的现金指企业库存现金及可以随时用于支付的存款。现金等价物指持有的期限短（一般是指从购买日起三 个月内到期）、流动性强、易于转换为已知金额现金、价值变动风险很小的投资。</w:t>
      </w:r>
    </w:p>
    <w:p>
      <w:pPr>
        <w:spacing w:after="0" w:line="336" w:lineRule="auto"/>
        <w:jc w:val="both"/>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4"/>
        <w:spacing w:line="240" w:lineRule="auto" w:before="35"/>
        <w:ind w:right="0"/>
        <w:jc w:val="both"/>
        <w:rPr>
          <w:b w:val="0"/>
          <w:bCs w:val="0"/>
        </w:rPr>
      </w:pPr>
      <w:bookmarkStart w:name="9、外币业务和外币报表折算" w:id="180"/>
      <w:bookmarkEnd w:id="180"/>
      <w:r>
        <w:rPr>
          <w:b w:val="0"/>
          <w:bCs w:val="0"/>
        </w:rPr>
      </w:r>
      <w:r>
        <w:rPr>
          <w:rFonts w:ascii="Times New Roman" w:hAnsi="Times New Roman" w:cs="Times New Roman" w:eastAsia="Times New Roman" w:hint="default"/>
        </w:rPr>
        <w:t>9</w:t>
      </w:r>
      <w:r>
        <w:rPr/>
        <w:t>、外币业务和外币报表折算</w:t>
      </w:r>
      <w:r>
        <w:rPr>
          <w:b w:val="0"/>
          <w:bCs w:val="0"/>
        </w:rPr>
      </w:r>
    </w:p>
    <w:p>
      <w:pPr>
        <w:pStyle w:val="BodyText"/>
        <w:spacing w:line="450" w:lineRule="atLeast" w:before="130"/>
        <w:ind w:left="561" w:right="1100"/>
        <w:jc w:val="left"/>
      </w:pPr>
      <w:r>
        <w:rPr>
          <w:rFonts w:ascii="宋体" w:hAnsi="宋体" w:cs="宋体" w:eastAsia="宋体" w:hint="default"/>
        </w:rPr>
        <w:t>1.</w:t>
      </w:r>
      <w:r>
        <w:rPr/>
        <w:t>外币业务折算 外币交易在初始确认时，采用交易发生日的即期汇率折算为人民币金额。资产负债表日，外币货币性项目采用资产负</w:t>
      </w:r>
    </w:p>
    <w:p>
      <w:pPr>
        <w:pStyle w:val="BodyText"/>
        <w:spacing w:line="321" w:lineRule="auto" w:before="79"/>
        <w:ind w:right="1106"/>
        <w:jc w:val="both"/>
      </w:pPr>
      <w:r>
        <w:rPr>
          <w:spacing w:val="-2"/>
        </w:rPr>
        <w:t>债表日即期汇率折算，因汇率不同而产生的汇兑差额，除与购建符合资本化条件资产有关的外币专门借款本金及利息的汇兑</w:t>
      </w:r>
      <w:r>
        <w:rPr>
          <w:spacing w:val="-72"/>
        </w:rPr>
        <w:t> </w:t>
      </w:r>
      <w:r>
        <w:rPr>
          <w:spacing w:val="-72"/>
        </w:rPr>
      </w:r>
      <w:r>
        <w:rPr>
          <w:spacing w:val="-2"/>
        </w:rPr>
        <w:t>差额外，计入当期损益；以历史成本计量的外币非货币性项目仍采用交易发生日的即期汇率折算，不改变其人民币金额；以</w:t>
      </w:r>
      <w:r>
        <w:rPr>
          <w:spacing w:val="-42"/>
        </w:rPr>
        <w:t> </w:t>
      </w:r>
      <w:r>
        <w:rPr>
          <w:spacing w:val="-42"/>
        </w:rPr>
      </w:r>
      <w:r>
        <w:rPr/>
        <w:t>公允价值计量的外币非货币性项目，采用公允价值确定日的即期汇率折算，差额计入当期损益或其他综合收益。</w:t>
      </w:r>
    </w:p>
    <w:p>
      <w:pPr>
        <w:pStyle w:val="BodyText"/>
        <w:spacing w:line="450" w:lineRule="exact" w:before="34"/>
        <w:ind w:left="561" w:right="1100"/>
        <w:jc w:val="left"/>
      </w:pPr>
      <w:r>
        <w:rPr>
          <w:rFonts w:ascii="宋体" w:hAnsi="宋体" w:cs="宋体" w:eastAsia="宋体" w:hint="default"/>
        </w:rPr>
        <w:t>2.</w:t>
      </w:r>
      <w:r>
        <w:rPr/>
        <w:t>外币财务报表折算 资产负债表中的资产和负债项目，采用资产负债表日的即期汇率折算；所有者权益项目除“未分配利润”项目外，其</w:t>
      </w:r>
    </w:p>
    <w:p>
      <w:pPr>
        <w:pStyle w:val="BodyText"/>
        <w:spacing w:line="321" w:lineRule="auto" w:before="15"/>
        <w:ind w:right="1136"/>
        <w:jc w:val="both"/>
      </w:pPr>
      <w:r>
        <w:rPr>
          <w:spacing w:val="-2"/>
        </w:rPr>
        <w:t>他项目采用交易发生日的即期汇率折算；利润表中的收入和费用项目，采用交易发生日即期汇率的近似汇率折算。按照上述</w:t>
      </w:r>
      <w:r>
        <w:rPr>
          <w:spacing w:val="-75"/>
        </w:rPr>
        <w:t> </w:t>
      </w:r>
      <w:r>
        <w:rPr>
          <w:spacing w:val="-75"/>
        </w:rPr>
      </w:r>
      <w:r>
        <w:rPr/>
        <w:t>折算产生的外币财务报表折算差额，确认为其他综合收益。</w:t>
      </w:r>
    </w:p>
    <w:p>
      <w:pPr>
        <w:spacing w:line="240" w:lineRule="auto" w:before="13"/>
        <w:rPr>
          <w:rFonts w:ascii="宋体" w:hAnsi="宋体" w:cs="宋体" w:eastAsia="宋体" w:hint="default"/>
          <w:sz w:val="23"/>
          <w:szCs w:val="23"/>
        </w:rPr>
      </w:pPr>
    </w:p>
    <w:p>
      <w:pPr>
        <w:pStyle w:val="Heading4"/>
        <w:spacing w:line="240" w:lineRule="auto"/>
        <w:ind w:right="0"/>
        <w:jc w:val="both"/>
        <w:rPr>
          <w:b w:val="0"/>
          <w:bCs w:val="0"/>
        </w:rPr>
      </w:pPr>
      <w:bookmarkStart w:name="10、金融工具" w:id="181"/>
      <w:bookmarkEnd w:id="181"/>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561" w:right="1100"/>
        <w:jc w:val="left"/>
      </w:pPr>
      <w:r>
        <w:rPr/>
        <w:t>金融工具包括金融资产、金融负债和权益工具。</w:t>
      </w:r>
    </w:p>
    <w:p>
      <w:pPr>
        <w:pStyle w:val="BodyText"/>
        <w:spacing w:line="466" w:lineRule="exact" w:before="67"/>
        <w:ind w:left="561" w:right="1100"/>
        <w:jc w:val="left"/>
      </w:pPr>
      <w:r>
        <w:rPr/>
        <w:t>（</w:t>
      </w:r>
      <w:r>
        <w:rPr>
          <w:rFonts w:ascii="宋体" w:hAnsi="宋体" w:cs="宋体" w:eastAsia="宋体" w:hint="default"/>
        </w:rPr>
        <w:t>1</w:t>
      </w:r>
      <w:r>
        <w:rPr/>
        <w:t>）金融工具的分类 根据本公司管理金融资产的业务模式和金融资产的合同现金流量特征，金融资产于初始确认时分类为：以摊余成本计</w:t>
      </w:r>
    </w:p>
    <w:p>
      <w:pPr>
        <w:pStyle w:val="BodyText"/>
        <w:spacing w:line="336" w:lineRule="auto"/>
        <w:ind w:right="1136"/>
        <w:jc w:val="both"/>
      </w:pPr>
      <w:r>
        <w:rPr>
          <w:spacing w:val="-2"/>
        </w:rPr>
        <w:t>量的金融资产、以公允价值计量且其变动计入其他综合收益的金融资产（债务工具）和以公允价值计量且其变动计入当期损</w:t>
      </w:r>
      <w:r>
        <w:rPr>
          <w:spacing w:val="-75"/>
        </w:rPr>
        <w:t> </w:t>
      </w:r>
      <w:r>
        <w:rPr>
          <w:spacing w:val="-75"/>
        </w:rPr>
      </w:r>
      <w:r>
        <w:rPr/>
        <w:t>益的金融资产。</w:t>
      </w:r>
    </w:p>
    <w:p>
      <w:pPr>
        <w:pStyle w:val="BodyText"/>
        <w:spacing w:line="326" w:lineRule="auto" w:before="143"/>
        <w:ind w:right="1106" w:firstLine="420"/>
        <w:jc w:val="both"/>
      </w:pPr>
      <w:r>
        <w:rPr/>
        <w:t>业务模式是以收取合同现金流量为目标且合同现金流量仅为对本金和以未偿付本金金额为基础的利息的支付的，分类 </w:t>
      </w:r>
      <w:r>
        <w:rPr>
          <w:spacing w:val="-2"/>
        </w:rPr>
        <w:t>为以摊余成本计量的金融资产；业务模式既以收取合同现金流量又以出售该金融资产为目标且合同现金流量仅为对本金和以</w:t>
      </w:r>
      <w:r>
        <w:rPr>
          <w:spacing w:val="-58"/>
        </w:rPr>
        <w:t> </w:t>
      </w:r>
      <w:r>
        <w:rPr>
          <w:spacing w:val="-58"/>
        </w:rPr>
      </w:r>
      <w:r>
        <w:rPr>
          <w:spacing w:val="-2"/>
        </w:rPr>
        <w:t>未偿付本金金额为基础的利息的支付的，分类为以公允价值计量且其变动计入其他综合收益的金融资产（债务工具）；除此</w:t>
      </w:r>
      <w:r>
        <w:rPr>
          <w:spacing w:val="-42"/>
        </w:rPr>
        <w:t> </w:t>
      </w:r>
      <w:r>
        <w:rPr>
          <w:spacing w:val="-42"/>
        </w:rPr>
      </w:r>
      <w:r>
        <w:rPr/>
        <w:t>之外的其他金融资产，分类为以公允价值计量且其变动计入当期损益的金融资产。</w:t>
      </w:r>
    </w:p>
    <w:p>
      <w:pPr>
        <w:pStyle w:val="BodyText"/>
        <w:spacing w:line="328" w:lineRule="auto" w:before="149"/>
        <w:ind w:right="1118" w:firstLine="420"/>
        <w:jc w:val="both"/>
      </w:pPr>
      <w:r>
        <w:rPr/>
        <w:t>对于非交易性权益工具投资，本公司在初始确认时确定是否将其指定为以公允价值计量且其变动计入其他综合收益的 </w:t>
      </w:r>
      <w:r>
        <w:rPr>
          <w:spacing w:val="-2"/>
        </w:rPr>
        <w:t>金融资产（权益工具）。在初始确认时，为了能够消除或显著减少会计错配，可以将金融资产指定为以公允价值计量且其变</w:t>
      </w:r>
      <w:r>
        <w:rPr>
          <w:spacing w:val="-55"/>
        </w:rPr>
        <w:t> </w:t>
      </w:r>
      <w:r>
        <w:rPr>
          <w:spacing w:val="-55"/>
        </w:rPr>
      </w:r>
      <w:r>
        <w:rPr/>
        <w:t>动计入当期损益的金融资产。</w:t>
      </w:r>
    </w:p>
    <w:p>
      <w:pPr>
        <w:pStyle w:val="BodyText"/>
        <w:spacing w:line="450" w:lineRule="exact" w:before="13"/>
        <w:ind w:left="561" w:right="1111"/>
        <w:jc w:val="left"/>
      </w:pPr>
      <w:r>
        <w:rPr/>
        <w:t>金融负债于初始确认时分类为：以公允价值计量且其变动计入当期损益的金融负债和以摊余成本计量的金融负债。 </w:t>
      </w:r>
      <w:r>
        <w:rPr>
          <w:spacing w:val="-1"/>
        </w:rPr>
        <w:t>符合以下条件之一的金融负债可在初始计量时指定为以公允价值计量且其变动计入当期损益的金融负债：</w:t>
      </w:r>
      <w:r>
        <w:rPr>
          <w:rFonts w:ascii="宋体" w:hAnsi="宋体" w:cs="宋体" w:eastAsia="宋体" w:hint="default"/>
          <w:spacing w:val="-1"/>
        </w:rPr>
        <w:t>1</w:t>
      </w:r>
      <w:r>
        <w:rPr>
          <w:spacing w:val="-1"/>
        </w:rPr>
        <w:t>）该项指定</w:t>
      </w:r>
    </w:p>
    <w:p>
      <w:pPr>
        <w:pStyle w:val="BodyText"/>
        <w:spacing w:line="321" w:lineRule="auto" w:before="15"/>
        <w:ind w:right="1126"/>
        <w:jc w:val="both"/>
      </w:pPr>
      <w:r>
        <w:rPr/>
        <w:t>能够消除或显著减少会计错配。</w:t>
      </w:r>
      <w:r>
        <w:rPr>
          <w:rFonts w:ascii="宋体" w:hAnsi="宋体" w:cs="宋体" w:eastAsia="宋体" w:hint="default"/>
        </w:rPr>
        <w:t>2</w:t>
      </w:r>
      <w:r>
        <w:rPr/>
        <w:t>）根据正式书面文件载明的企业风险管理或投资策略，以公允价值为基础对金融负债组合</w:t>
      </w:r>
      <w:r>
        <w:rPr>
          <w:spacing w:val="-87"/>
        </w:rPr>
        <w:t> </w:t>
      </w:r>
      <w:r>
        <w:rPr/>
        <w:t>或金融资产和金融负债组合进行管理和业绩评价，并在企业内部以此为基础向关键管理人员报告。</w:t>
      </w:r>
      <w:r>
        <w:rPr>
          <w:rFonts w:ascii="宋体" w:hAnsi="宋体" w:cs="宋体" w:eastAsia="宋体" w:hint="default"/>
        </w:rPr>
        <w:t>3</w:t>
      </w:r>
      <w:r>
        <w:rPr/>
        <w:t>）该金融负债包含需单</w:t>
      </w:r>
      <w:r>
        <w:rPr>
          <w:spacing w:val="-81"/>
        </w:rPr>
        <w:t> </w:t>
      </w:r>
      <w:r>
        <w:rPr/>
        <w:t>独分拆的嵌入衍生工具。</w:t>
      </w:r>
    </w:p>
    <w:p>
      <w:pPr>
        <w:spacing w:line="240" w:lineRule="auto" w:before="1"/>
        <w:rPr>
          <w:rFonts w:ascii="宋体" w:hAnsi="宋体" w:cs="宋体" w:eastAsia="宋体" w:hint="default"/>
          <w:sz w:val="14"/>
          <w:szCs w:val="14"/>
        </w:rPr>
      </w:pPr>
    </w:p>
    <w:p>
      <w:pPr>
        <w:pStyle w:val="BodyText"/>
        <w:spacing w:line="472" w:lineRule="auto"/>
        <w:ind w:left="561" w:right="7359"/>
        <w:jc w:val="left"/>
      </w:pPr>
      <w:r>
        <w:rPr/>
        <w:t>（</w:t>
      </w:r>
      <w:r>
        <w:rPr>
          <w:rFonts w:ascii="宋体" w:hAnsi="宋体" w:cs="宋体" w:eastAsia="宋体" w:hint="default"/>
        </w:rPr>
        <w:t>2</w:t>
      </w:r>
      <w:r>
        <w:rPr/>
        <w:t>）金融工具的确认依据和计量方法 </w:t>
      </w:r>
      <w:r>
        <w:rPr>
          <w:rFonts w:ascii="宋体" w:hAnsi="宋体" w:cs="宋体" w:eastAsia="宋体" w:hint="default"/>
        </w:rPr>
        <w:t>1</w:t>
      </w:r>
      <w:r>
        <w:rPr/>
        <w:t>）以摊余成本计量的金融资产</w:t>
      </w:r>
    </w:p>
    <w:p>
      <w:pPr>
        <w:pStyle w:val="BodyText"/>
        <w:spacing w:line="321" w:lineRule="auto" w:before="40"/>
        <w:ind w:right="1106" w:firstLine="420"/>
        <w:jc w:val="both"/>
      </w:pPr>
      <w:r>
        <w:rPr/>
        <w:t>以摊余成本计量的金融资产包括应收票据、应收账款、其他应收款、长期应收款、债权投资等，按公允价值进行初始 </w:t>
      </w:r>
      <w:r>
        <w:rPr>
          <w:spacing w:val="-2"/>
        </w:rPr>
        <w:t>计量，相关交易费用计入初始确认金额；不包含重大融资成分的应收账款以及本公司决定不考虑不超过一年的融资成分的应</w:t>
      </w:r>
      <w:r>
        <w:rPr>
          <w:spacing w:val="-72"/>
        </w:rPr>
        <w:t> </w:t>
      </w:r>
      <w:r>
        <w:rPr>
          <w:spacing w:val="-72"/>
        </w:rPr>
      </w:r>
      <w:r>
        <w:rPr>
          <w:spacing w:val="-2"/>
        </w:rPr>
        <w:t>收账款，以合同交易价格进行初始计量。持有期间采用实际利率法计算的利息计入当期损益。收回或处置时，将取得的价款</w:t>
      </w:r>
      <w:r>
        <w:rPr>
          <w:spacing w:val="-42"/>
        </w:rPr>
        <w:t> </w:t>
      </w:r>
      <w:r>
        <w:rPr>
          <w:spacing w:val="-42"/>
        </w:rPr>
      </w:r>
      <w:r>
        <w:rPr/>
        <w:t>与该金融资产账面价值之间的差额计入当期损益。</w:t>
      </w:r>
    </w:p>
    <w:p>
      <w:pPr>
        <w:spacing w:line="240" w:lineRule="auto" w:before="1"/>
        <w:rPr>
          <w:rFonts w:ascii="宋体" w:hAnsi="宋体" w:cs="宋体" w:eastAsia="宋体" w:hint="default"/>
          <w:sz w:val="14"/>
          <w:szCs w:val="14"/>
        </w:rPr>
      </w:pPr>
    </w:p>
    <w:p>
      <w:pPr>
        <w:pStyle w:val="BodyText"/>
        <w:spacing w:line="240" w:lineRule="auto"/>
        <w:ind w:left="561" w:right="1100"/>
        <w:jc w:val="left"/>
      </w:pPr>
      <w:r>
        <w:rPr>
          <w:rFonts w:ascii="宋体" w:hAnsi="宋体" w:cs="宋体" w:eastAsia="宋体" w:hint="default"/>
        </w:rPr>
        <w:t>2</w:t>
      </w:r>
      <w:r>
        <w:rPr/>
        <w:t>）以公允价值计量且其变动计入其他综合收益的金融资产（债务工具）</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before="44"/>
        <w:ind w:right="1106" w:firstLine="420"/>
        <w:jc w:val="both"/>
      </w:pPr>
      <w:r>
        <w:rPr/>
        <w:t>以公允价值计量且其变动计入其他综合收益的金融资产（债务工具）包括应收款项融资、其他债权投资等，按公允价 </w:t>
      </w:r>
      <w:r>
        <w:rPr>
          <w:spacing w:val="-2"/>
        </w:rPr>
        <w:t>值进行初始计量，相关交易费用计入初始确认金额。该金融资产按公允价值进行后续计量，公允价值变动除采用实际利率法</w:t>
      </w:r>
      <w:r>
        <w:rPr>
          <w:spacing w:val="-75"/>
        </w:rPr>
        <w:t> </w:t>
      </w:r>
      <w:r>
        <w:rPr>
          <w:spacing w:val="-75"/>
        </w:rPr>
      </w:r>
      <w:r>
        <w:rPr>
          <w:spacing w:val="-2"/>
        </w:rPr>
        <w:t>计算的利息、减值损失或利得和汇兑损益之外，均计入其他综合收益。终止确认时，之前计入其他综合收益的累计利得或损</w:t>
      </w:r>
      <w:r>
        <w:rPr>
          <w:spacing w:val="-42"/>
        </w:rPr>
        <w:t> </w:t>
      </w:r>
      <w:r>
        <w:rPr>
          <w:spacing w:val="-42"/>
        </w:rPr>
      </w:r>
      <w:r>
        <w:rPr/>
        <w:t>失从其他综合收益中转出，计入当期损益。</w:t>
      </w:r>
    </w:p>
    <w:p>
      <w:pPr>
        <w:pStyle w:val="BodyText"/>
        <w:spacing w:line="450" w:lineRule="exact" w:before="33"/>
        <w:ind w:left="561" w:right="1100"/>
        <w:jc w:val="left"/>
      </w:pPr>
      <w:r>
        <w:rPr>
          <w:rFonts w:ascii="宋体" w:hAnsi="宋体" w:cs="宋体" w:eastAsia="宋体" w:hint="default"/>
        </w:rPr>
        <w:t>3</w:t>
      </w:r>
      <w:r>
        <w:rPr/>
        <w:t>）以公允价值计量且其变动计入其他综合收益的金融资产（权益工具） 以公允价值计量且其变动计入其他综合收益的金融资产（权益工具）包括其他权益工具投资等，按公允价值进行初始</w:t>
      </w:r>
    </w:p>
    <w:p>
      <w:pPr>
        <w:pStyle w:val="BodyText"/>
        <w:spacing w:line="321" w:lineRule="auto" w:before="15"/>
        <w:ind w:right="1100"/>
        <w:jc w:val="left"/>
      </w:pPr>
      <w:r>
        <w:rPr>
          <w:spacing w:val="-2"/>
        </w:rPr>
        <w:t>计量，相关交易费用计入初始确认金额。该金融资产按公允价值进行后续计量，公允价值变动计入其他综合收益。取得的股</w:t>
      </w:r>
      <w:r>
        <w:rPr>
          <w:spacing w:val="-42"/>
        </w:rPr>
        <w:t> </w:t>
      </w:r>
      <w:r>
        <w:rPr>
          <w:spacing w:val="-42"/>
        </w:rPr>
      </w:r>
      <w:r>
        <w:rPr/>
        <w:t>利计入当期损益。终止确认时，之前计入其他综合收益的累计利得或损失从其他综合收益中转出，计入留存收益。</w:t>
      </w:r>
    </w:p>
    <w:p>
      <w:pPr>
        <w:pStyle w:val="BodyText"/>
        <w:spacing w:line="450" w:lineRule="exact" w:before="34"/>
        <w:ind w:left="561" w:right="1100"/>
        <w:jc w:val="left"/>
      </w:pPr>
      <w:r>
        <w:rPr>
          <w:rFonts w:ascii="宋体" w:hAnsi="宋体" w:cs="宋体" w:eastAsia="宋体" w:hint="default"/>
        </w:rPr>
        <w:t>4</w:t>
      </w:r>
      <w:r>
        <w:rPr/>
        <w:t>）以公允价值计量且其变动计入当期损益的金融资产 以公允价值计量且其变动计入当期损益的金融资产包括交易性金融资产、衍生金融资产、其他非流动金融资产等，按</w:t>
      </w:r>
    </w:p>
    <w:p>
      <w:pPr>
        <w:pStyle w:val="BodyText"/>
        <w:spacing w:line="321" w:lineRule="auto" w:before="15"/>
        <w:ind w:right="1029"/>
        <w:jc w:val="left"/>
      </w:pPr>
      <w:r>
        <w:rPr/>
        <w:t>公允价值进行初始计量，相关交易费用计入当期损益。该金融资产按公允价值进行后续计量，公允价值变动计入当期损益。 终止确认时，其公允价值与初始入账金额之间的差额确认为投资收益，同时调整公允价值变动损益。</w:t>
      </w:r>
    </w:p>
    <w:p>
      <w:pPr>
        <w:pStyle w:val="BodyText"/>
        <w:spacing w:line="450" w:lineRule="exact" w:before="34"/>
        <w:ind w:left="561" w:right="0"/>
        <w:jc w:val="left"/>
      </w:pPr>
      <w:r>
        <w:rPr>
          <w:rFonts w:ascii="宋体" w:hAnsi="宋体" w:cs="宋体" w:eastAsia="宋体" w:hint="default"/>
        </w:rPr>
        <w:t>5</w:t>
      </w:r>
      <w:r>
        <w:rPr/>
        <w:t>）以公允价值计量且其变动计入当期损益的金融负债 </w:t>
      </w:r>
      <w:r>
        <w:rPr>
          <w:spacing w:val="-2"/>
        </w:rPr>
        <w:t>以公允价值计量且其变动计入当期损益的金融负债包括交易性金融负债、衍生金融负债等，按公允价值进行初始计量，</w:t>
      </w:r>
    </w:p>
    <w:p>
      <w:pPr>
        <w:pStyle w:val="BodyText"/>
        <w:spacing w:line="321" w:lineRule="auto" w:before="14"/>
        <w:ind w:right="1100"/>
        <w:jc w:val="left"/>
      </w:pPr>
      <w:r>
        <w:rPr>
          <w:spacing w:val="-2"/>
        </w:rPr>
        <w:t>相关交易费用计入当期损益。该金融负债按公允价值进行后续计量，公允价值变动计入当期损益。终止确认时，其公允价值</w:t>
      </w:r>
      <w:r>
        <w:rPr>
          <w:spacing w:val="-42"/>
        </w:rPr>
        <w:t> </w:t>
      </w:r>
      <w:r>
        <w:rPr>
          <w:spacing w:val="-42"/>
        </w:rPr>
      </w:r>
      <w:r>
        <w:rPr/>
        <w:t>与初始入账金额之间的差额确认为投资收益，同时调整公允价值变动损益。</w:t>
      </w:r>
    </w:p>
    <w:p>
      <w:pPr>
        <w:pStyle w:val="BodyText"/>
        <w:spacing w:line="450" w:lineRule="exact" w:before="34"/>
        <w:ind w:left="561" w:right="1100"/>
        <w:jc w:val="left"/>
      </w:pPr>
      <w:r>
        <w:rPr>
          <w:rFonts w:ascii="宋体" w:hAnsi="宋体" w:cs="宋体" w:eastAsia="宋体" w:hint="default"/>
        </w:rPr>
        <w:t>6</w:t>
      </w:r>
      <w:r>
        <w:rPr/>
        <w:t>）以摊余成本计量的金融负债 以摊余成本计量的金融负债包括短期借款、应付票据、应付账款、其他应付款、长期借款、应付债券、长期应付款，</w:t>
      </w:r>
    </w:p>
    <w:p>
      <w:pPr>
        <w:pStyle w:val="BodyText"/>
        <w:spacing w:line="321" w:lineRule="auto" w:before="15"/>
        <w:ind w:right="1100"/>
        <w:jc w:val="left"/>
      </w:pPr>
      <w:r>
        <w:rPr>
          <w:spacing w:val="-2"/>
        </w:rPr>
        <w:t>按公允价值进行初始计量，相关交易费用计入初始确认金额。持有期间采用实际利率法计算的利息计入当期损益。终止确认</w:t>
      </w:r>
      <w:r>
        <w:rPr>
          <w:spacing w:val="-75"/>
        </w:rPr>
        <w:t> </w:t>
      </w:r>
      <w:r>
        <w:rPr>
          <w:spacing w:val="-75"/>
        </w:rPr>
      </w:r>
      <w:r>
        <w:rPr/>
        <w:t>时，将支付的对价与该金融负债账面价值之间的差额计入当期损益。</w:t>
      </w:r>
    </w:p>
    <w:p>
      <w:pPr>
        <w:pStyle w:val="BodyText"/>
        <w:spacing w:line="450" w:lineRule="exact" w:before="33"/>
        <w:ind w:left="561" w:right="1100"/>
        <w:jc w:val="left"/>
      </w:pPr>
      <w:r>
        <w:rPr/>
        <w:t>（</w:t>
      </w:r>
      <w:r>
        <w:rPr>
          <w:rFonts w:ascii="宋体" w:hAnsi="宋体" w:cs="宋体" w:eastAsia="宋体" w:hint="default"/>
        </w:rPr>
        <w:t>3</w:t>
      </w:r>
      <w:r>
        <w:rPr/>
        <w:t>）金融资产转移的确认依据和计量方法 公司发生金融资产转移时，如已将金融资产所有权上几乎所有的风险和报酬转移给转入方，则终止确认该金融资产；</w:t>
      </w:r>
    </w:p>
    <w:p>
      <w:pPr>
        <w:pStyle w:val="BodyText"/>
        <w:spacing w:line="240" w:lineRule="auto" w:before="30"/>
        <w:ind w:right="1100"/>
        <w:jc w:val="left"/>
      </w:pPr>
      <w:r>
        <w:rPr/>
        <w:t>如保留了金融资产所有权上几乎所有的风险和报酬的，则不终止确认该金融资产。</w:t>
      </w:r>
    </w:p>
    <w:p>
      <w:pPr>
        <w:spacing w:line="240" w:lineRule="auto" w:before="5"/>
        <w:rPr>
          <w:rFonts w:ascii="宋体" w:hAnsi="宋体" w:cs="宋体" w:eastAsia="宋体" w:hint="default"/>
          <w:sz w:val="16"/>
          <w:szCs w:val="16"/>
        </w:rPr>
      </w:pPr>
    </w:p>
    <w:p>
      <w:pPr>
        <w:pStyle w:val="BodyText"/>
        <w:spacing w:line="336" w:lineRule="auto"/>
        <w:ind w:right="1100" w:firstLine="420"/>
        <w:jc w:val="left"/>
      </w:pPr>
      <w:r>
        <w:rPr/>
        <w:t>在判断金融资产转移是否满足上述金融资产终止确认条件时，采用实质重于形式的原则。公司将金融资产转移区分为 金融资产整体转移和部分转移。金融资产整体转移满足终止确认条件的，将下列两项金额的差额计入当期损益：</w:t>
      </w:r>
    </w:p>
    <w:p>
      <w:pPr>
        <w:pStyle w:val="BodyText"/>
        <w:spacing w:line="240" w:lineRule="auto" w:before="158"/>
        <w:ind w:left="561" w:right="1100"/>
        <w:jc w:val="left"/>
      </w:pPr>
      <w:r>
        <w:rPr>
          <w:rFonts w:ascii="宋体" w:hAnsi="宋体" w:cs="宋体" w:eastAsia="宋体" w:hint="default"/>
        </w:rPr>
        <w:t>1</w:t>
      </w:r>
      <w:r>
        <w:rPr/>
        <w:t>）所转移金融资产的账面价值；</w:t>
      </w:r>
    </w:p>
    <w:p>
      <w:pPr>
        <w:spacing w:line="240" w:lineRule="auto" w:before="6"/>
        <w:rPr>
          <w:rFonts w:ascii="宋体" w:hAnsi="宋体" w:cs="宋体" w:eastAsia="宋体" w:hint="default"/>
          <w:sz w:val="16"/>
          <w:szCs w:val="16"/>
        </w:rPr>
      </w:pPr>
    </w:p>
    <w:p>
      <w:pPr>
        <w:pStyle w:val="BodyText"/>
        <w:spacing w:line="336" w:lineRule="auto"/>
        <w:ind w:right="1111" w:firstLine="420"/>
        <w:jc w:val="left"/>
      </w:pPr>
      <w:r>
        <w:rPr>
          <w:rFonts w:ascii="宋体" w:hAnsi="宋体" w:cs="宋体" w:eastAsia="宋体" w:hint="default"/>
          <w:spacing w:val="-1"/>
        </w:rPr>
        <w:t>2</w:t>
      </w:r>
      <w:r>
        <w:rPr>
          <w:spacing w:val="-1"/>
        </w:rPr>
        <w:t>）因转移而收到的对价，与原直接计入所有者权益的公允价值变动累计额（涉及转移的金融资产为可供出售金融资产</w:t>
      </w:r>
      <w:r>
        <w:rPr/>
        <w:t> 的情形）之和。</w:t>
      </w:r>
    </w:p>
    <w:p>
      <w:pPr>
        <w:pStyle w:val="BodyText"/>
        <w:spacing w:line="336" w:lineRule="auto" w:before="143"/>
        <w:ind w:right="0" w:firstLine="420"/>
        <w:jc w:val="left"/>
      </w:pPr>
      <w:r>
        <w:rPr>
          <w:spacing w:val="-2"/>
        </w:rPr>
        <w:t>金融资产部分转移满足终止确认条件的，将所转移金融资产整体的账面价值，在终止确认部分和未终止确认部分之间，</w:t>
      </w:r>
      <w:r>
        <w:rPr/>
        <w:t> 按照各自的相对公允价值进行分摊，并将下列两项金额的差额计入当期损益：</w:t>
      </w:r>
    </w:p>
    <w:p>
      <w:pPr>
        <w:pStyle w:val="BodyText"/>
        <w:spacing w:line="240" w:lineRule="auto" w:before="158"/>
        <w:ind w:left="561" w:right="1100"/>
        <w:jc w:val="left"/>
      </w:pPr>
      <w:r>
        <w:rPr>
          <w:rFonts w:ascii="宋体" w:hAnsi="宋体" w:cs="宋体" w:eastAsia="宋体" w:hint="default"/>
        </w:rPr>
        <w:t>1</w:t>
      </w:r>
      <w:r>
        <w:rPr/>
        <w:t>）终止确认部分的账面价值；</w:t>
      </w:r>
    </w:p>
    <w:p>
      <w:pPr>
        <w:spacing w:line="240" w:lineRule="auto" w:before="5"/>
        <w:rPr>
          <w:rFonts w:ascii="宋体" w:hAnsi="宋体" w:cs="宋体" w:eastAsia="宋体" w:hint="default"/>
          <w:sz w:val="16"/>
          <w:szCs w:val="16"/>
        </w:rPr>
      </w:pPr>
    </w:p>
    <w:p>
      <w:pPr>
        <w:pStyle w:val="BodyText"/>
        <w:spacing w:line="336" w:lineRule="auto"/>
        <w:ind w:right="1111" w:firstLine="420"/>
        <w:jc w:val="left"/>
      </w:pPr>
      <w:r>
        <w:rPr>
          <w:rFonts w:ascii="宋体" w:hAnsi="宋体" w:cs="宋体" w:eastAsia="宋体" w:hint="default"/>
          <w:spacing w:val="-1"/>
        </w:rPr>
        <w:t>2</w:t>
      </w:r>
      <w:r>
        <w:rPr>
          <w:spacing w:val="-1"/>
        </w:rPr>
        <w:t>）终止确认部分的对价，与原直接计入所有者权益的公允价值变动累计额中对应终止确认部分的金额（涉及转移的金</w:t>
      </w:r>
      <w:r>
        <w:rPr/>
        <w:t> 融资产为可供出售金融资产的情形）之和。</w:t>
      </w:r>
    </w:p>
    <w:p>
      <w:pPr>
        <w:pStyle w:val="BodyText"/>
        <w:spacing w:line="240" w:lineRule="auto" w:before="158"/>
        <w:ind w:left="561" w:right="1100"/>
        <w:jc w:val="left"/>
      </w:pPr>
      <w:r>
        <w:rPr/>
        <w:t>金融资产转移不满足终止确认条件的，继续确认该金融资产，所收到的对价确认为一项金融负债。</w:t>
      </w:r>
    </w:p>
    <w:p>
      <w:pPr>
        <w:spacing w:line="240" w:lineRule="auto" w:before="7"/>
        <w:rPr>
          <w:rFonts w:ascii="宋体" w:hAnsi="宋体" w:cs="宋体" w:eastAsia="宋体" w:hint="default"/>
          <w:sz w:val="17"/>
          <w:szCs w:val="17"/>
        </w:rPr>
      </w:pPr>
    </w:p>
    <w:p>
      <w:pPr>
        <w:pStyle w:val="BodyText"/>
        <w:spacing w:line="240" w:lineRule="auto"/>
        <w:ind w:left="561" w:right="1100"/>
        <w:jc w:val="left"/>
      </w:pPr>
      <w:r>
        <w:rPr/>
        <w:t>（</w:t>
      </w:r>
      <w:r>
        <w:rPr>
          <w:rFonts w:ascii="宋体" w:hAnsi="宋体" w:cs="宋体" w:eastAsia="宋体" w:hint="default"/>
        </w:rPr>
        <w:t>4</w:t>
      </w:r>
      <w:r>
        <w:rPr/>
        <w:t>）金融负债终止确认条件</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8" w:lineRule="auto" w:before="44"/>
        <w:ind w:right="1029" w:firstLine="420"/>
        <w:jc w:val="left"/>
      </w:pPr>
      <w:r>
        <w:rPr/>
        <w:t>金融负债的现时义务全部或部分已经解除的，则终止确认该金融负债或其一部分；本公司若与债权人签定协议，以承 担新金融负债方式替换现存金融负债，且新金融负债与现存金融负债的合同条款实质上不同的，则终止确认现存金融负债， 并同时确认新金融负债。</w:t>
      </w:r>
    </w:p>
    <w:p>
      <w:pPr>
        <w:pStyle w:val="BodyText"/>
        <w:spacing w:line="336" w:lineRule="auto" w:before="148"/>
        <w:ind w:right="1136" w:firstLine="420"/>
        <w:jc w:val="both"/>
      </w:pPr>
      <w:r>
        <w:rPr/>
        <w:t>对现存金融负债全部或部分合同条款作出实质性修改的，则终止确认现存金融负债或其一部分，同时将修改条款后的 金融负债确认为一项新金融负债。</w:t>
      </w:r>
    </w:p>
    <w:p>
      <w:pPr>
        <w:pStyle w:val="BodyText"/>
        <w:spacing w:line="336" w:lineRule="auto" w:before="143"/>
        <w:ind w:right="1136" w:firstLine="420"/>
        <w:jc w:val="both"/>
      </w:pPr>
      <w:r>
        <w:rPr/>
        <w:t>金融负债全部或部分终止确认时，终止确认的金融负债账面价值与支付对价（包括转出的非现金资产或承担的新金融 负债）之间的差额，计入当期损益。</w:t>
      </w:r>
    </w:p>
    <w:p>
      <w:pPr>
        <w:pStyle w:val="BodyText"/>
        <w:spacing w:line="321" w:lineRule="auto" w:before="143"/>
        <w:ind w:right="0" w:firstLine="420"/>
        <w:jc w:val="left"/>
      </w:pPr>
      <w:r>
        <w:rPr/>
        <w:t>本公司若回购部分金融负债的，在回购日按照继续确认部分与终止确认部分的相对公允价值，将该金融负债整体的账 </w:t>
      </w:r>
      <w:r>
        <w:rPr>
          <w:spacing w:val="-4"/>
        </w:rPr>
        <w:t>面价值进行分配。分配给终止确认部分的账面价值与支付的对价（包括转出的非现金资产或承担的新金融负债）之间的差额，</w:t>
      </w:r>
      <w:r>
        <w:rPr>
          <w:spacing w:val="-50"/>
        </w:rPr>
        <w:t> </w:t>
      </w:r>
      <w:r>
        <w:rPr>
          <w:spacing w:val="-50"/>
        </w:rPr>
      </w:r>
      <w:r>
        <w:rPr/>
        <w:t>计入当期损益。</w:t>
      </w:r>
    </w:p>
    <w:p>
      <w:pPr>
        <w:pStyle w:val="BodyText"/>
        <w:spacing w:line="450" w:lineRule="exact" w:before="34"/>
        <w:ind w:left="561" w:right="1100"/>
        <w:jc w:val="left"/>
      </w:pPr>
      <w:r>
        <w:rPr/>
        <w:t>（</w:t>
      </w:r>
      <w:r>
        <w:rPr>
          <w:rFonts w:ascii="宋体" w:hAnsi="宋体" w:cs="宋体" w:eastAsia="宋体" w:hint="default"/>
        </w:rPr>
        <w:t>5</w:t>
      </w:r>
      <w:r>
        <w:rPr/>
        <w:t>）金融资产和金融负债的公允价值的确定方法 存在活跃市场的金融工具，以活跃市场中的报价确定其公允价值。不存在活跃市场的金融工具，采用估值技术确定其</w:t>
      </w:r>
    </w:p>
    <w:p>
      <w:pPr>
        <w:pStyle w:val="BodyText"/>
        <w:spacing w:line="321" w:lineRule="auto" w:before="15"/>
        <w:ind w:right="1136"/>
        <w:jc w:val="both"/>
      </w:pPr>
      <w:r>
        <w:rPr>
          <w:spacing w:val="-2"/>
        </w:rPr>
        <w:t>公允价值。在估值时，本公司采用在当前情况下适用并且有足够可利用数据和其他信息支持的估值技术，选择与市场参与者</w:t>
      </w:r>
      <w:r>
        <w:rPr>
          <w:spacing w:val="-75"/>
        </w:rPr>
        <w:t> </w:t>
      </w:r>
      <w:r>
        <w:rPr>
          <w:spacing w:val="-75"/>
        </w:rPr>
      </w:r>
      <w:r>
        <w:rPr>
          <w:spacing w:val="-2"/>
        </w:rPr>
        <w:t>在相关资产或负债的交易中所考虑的资产或负债特征相一致的输入值，并优先使用相关可观察输入值。只有在相关可观察输</w:t>
      </w:r>
      <w:r>
        <w:rPr>
          <w:spacing w:val="-72"/>
        </w:rPr>
        <w:t> </w:t>
      </w:r>
      <w:r>
        <w:rPr>
          <w:spacing w:val="-72"/>
        </w:rPr>
      </w:r>
      <w:r>
        <w:rPr/>
        <w:t>入值无法取得或取得不切实可行的情况下，才使用不可观察输入值。</w:t>
      </w:r>
    </w:p>
    <w:p>
      <w:pPr>
        <w:pStyle w:val="BodyText"/>
        <w:spacing w:line="466" w:lineRule="exact" w:before="6"/>
        <w:ind w:left="561" w:right="1100"/>
        <w:jc w:val="left"/>
      </w:pPr>
      <w:r>
        <w:rPr/>
        <w:t>（</w:t>
      </w:r>
      <w:r>
        <w:rPr>
          <w:rFonts w:ascii="宋体" w:hAnsi="宋体" w:cs="宋体" w:eastAsia="宋体" w:hint="default"/>
        </w:rPr>
        <w:t>6</w:t>
      </w:r>
      <w:r>
        <w:rPr/>
        <w:t>）金融资产（不含应收款项）减值的测试方法及会计处理方法 本公司考虑所有合理且有依据的信息，包括前瞻性信息，以单项或组合的方式对以摊余成本计量的金融资产和以公允</w:t>
      </w:r>
    </w:p>
    <w:p>
      <w:pPr>
        <w:pStyle w:val="BodyText"/>
        <w:spacing w:line="336" w:lineRule="auto"/>
        <w:ind w:right="1136"/>
        <w:jc w:val="both"/>
      </w:pPr>
      <w:r>
        <w:rPr>
          <w:spacing w:val="-2"/>
        </w:rPr>
        <w:t>价值计量且其变动计入其他综合收益的金融资产（债务工具）的预期信用损失进行估计。预期信用损失的计量取决于金融资</w:t>
      </w:r>
      <w:r>
        <w:rPr>
          <w:spacing w:val="-75"/>
        </w:rPr>
        <w:t> </w:t>
      </w:r>
      <w:r>
        <w:rPr>
          <w:spacing w:val="-75"/>
        </w:rPr>
      </w:r>
      <w:r>
        <w:rPr/>
        <w:t>产自初始确认后是否发生信用风险显著增加。</w:t>
      </w:r>
    </w:p>
    <w:p>
      <w:pPr>
        <w:pStyle w:val="BodyText"/>
        <w:spacing w:line="328" w:lineRule="auto" w:before="143"/>
        <w:ind w:right="1125" w:firstLine="420"/>
        <w:jc w:val="both"/>
      </w:pPr>
      <w:r>
        <w:rPr/>
        <w:t>如果该金融工具的信用风险自初始确认后已显著增加，本公司按照相当于该金融工具整个存续期内预期信用损失的金 </w:t>
      </w:r>
      <w:r>
        <w:rPr>
          <w:spacing w:val="-2"/>
        </w:rPr>
        <w:t>额计量其损失准备；如果该金融工具的信用风险自初始确认后并未显著增加，本公司按照相当于该金融工具未来</w:t>
      </w:r>
      <w:r>
        <w:rPr>
          <w:rFonts w:ascii="宋体" w:hAnsi="宋体" w:cs="宋体" w:eastAsia="宋体" w:hint="default"/>
          <w:spacing w:val="-2"/>
        </w:rPr>
        <w:t>12</w:t>
      </w:r>
      <w:r>
        <w:rPr>
          <w:spacing w:val="-2"/>
        </w:rPr>
        <w:t>个月内预</w:t>
      </w:r>
      <w:r>
        <w:rPr>
          <w:spacing w:val="-59"/>
        </w:rPr>
        <w:t> </w:t>
      </w:r>
      <w:r>
        <w:rPr/>
        <w:t>期信用损失的金额计量其损失准备。由此形成的损失准备的增加或转回金额，作为减值损失或利得计入当期损益。</w:t>
      </w:r>
    </w:p>
    <w:p>
      <w:pPr>
        <w:pStyle w:val="BodyText"/>
        <w:spacing w:line="336" w:lineRule="auto" w:before="148"/>
        <w:ind w:right="1134" w:firstLine="420"/>
        <w:jc w:val="both"/>
      </w:pPr>
      <w:r>
        <w:rPr/>
        <w:t>通常逾期超过</w:t>
      </w:r>
      <w:r>
        <w:rPr>
          <w:rFonts w:ascii="宋体" w:hAnsi="宋体" w:cs="宋体" w:eastAsia="宋体" w:hint="default"/>
        </w:rPr>
        <w:t>30</w:t>
      </w:r>
      <w:r>
        <w:rPr/>
        <w:t>日，本公司即认为该金融工具的信用风险已显著增加，除非有确凿证据证明该金融工具的信用风险自 初始确认后并未显著增加。</w:t>
      </w:r>
    </w:p>
    <w:p>
      <w:pPr>
        <w:pStyle w:val="BodyText"/>
        <w:spacing w:line="240" w:lineRule="auto" w:before="158"/>
        <w:ind w:left="561" w:right="1100"/>
        <w:jc w:val="left"/>
      </w:pPr>
      <w:r>
        <w:rPr/>
        <w:t>如果金融工具于资产负债表日的信用风险较低，本公司即认为该金融工具的信用风险自初始确认后并未显著增加。</w:t>
      </w:r>
    </w:p>
    <w:p>
      <w:pPr>
        <w:spacing w:line="240" w:lineRule="auto" w:before="0"/>
        <w:rPr>
          <w:rFonts w:ascii="宋体" w:hAnsi="宋体" w:cs="宋体" w:eastAsia="宋体" w:hint="default"/>
          <w:sz w:val="18"/>
          <w:szCs w:val="18"/>
        </w:rPr>
      </w:pPr>
    </w:p>
    <w:p>
      <w:pPr>
        <w:pStyle w:val="Heading4"/>
        <w:spacing w:line="240" w:lineRule="auto" w:before="124"/>
        <w:ind w:right="0"/>
        <w:jc w:val="both"/>
        <w:rPr>
          <w:b w:val="0"/>
          <w:bCs w:val="0"/>
        </w:rPr>
      </w:pPr>
      <w:bookmarkStart w:name="11、应收票据" w:id="182"/>
      <w:bookmarkEnd w:id="182"/>
      <w:r>
        <w:rPr>
          <w:b w:val="0"/>
          <w:bCs w:val="0"/>
        </w:rPr>
      </w:r>
      <w:r>
        <w:rPr>
          <w:rFonts w:ascii="Times New Roman" w:hAnsi="Times New Roman" w:cs="Times New Roman" w:eastAsia="Times New Roman" w:hint="default"/>
        </w:rPr>
        <w:t>11</w:t>
      </w:r>
      <w:r>
        <w:rPr/>
        <w:t>、应收票据</w:t>
      </w:r>
      <w:r>
        <w:rPr>
          <w:b w:val="0"/>
          <w:bCs w:val="0"/>
        </w:rPr>
      </w:r>
    </w:p>
    <w:p>
      <w:pPr>
        <w:spacing w:line="240" w:lineRule="auto" w:before="3"/>
        <w:rPr>
          <w:rFonts w:ascii="宋体" w:hAnsi="宋体" w:cs="宋体" w:eastAsia="宋体" w:hint="default"/>
          <w:b/>
          <w:bCs/>
          <w:sz w:val="25"/>
          <w:szCs w:val="25"/>
        </w:rPr>
      </w:pPr>
    </w:p>
    <w:p>
      <w:pPr>
        <w:pStyle w:val="BodyText"/>
        <w:spacing w:line="321" w:lineRule="auto"/>
        <w:ind w:right="1114" w:firstLine="420"/>
        <w:jc w:val="both"/>
      </w:pPr>
      <w:r>
        <w:rPr/>
        <w:t>对于应收票据，无论是否存在重大融资行为，本公司均按照整个存续期的预期信用损失计量损失准备。当单项金融资 </w:t>
      </w:r>
      <w:r>
        <w:rPr>
          <w:spacing w:val="-2"/>
        </w:rPr>
        <w:t>产无法以合理成本评估预期信用损失的信息时，本公司依据信用风险特征将应收票据分为若干组合，在组合基础上计算预期</w:t>
      </w:r>
      <w:r>
        <w:rPr>
          <w:spacing w:val="-72"/>
        </w:rPr>
        <w:t> </w:t>
      </w:r>
      <w:r>
        <w:rPr>
          <w:spacing w:val="-72"/>
        </w:rPr>
      </w:r>
      <w:r>
        <w:rPr/>
        <w:t>信用损失，确定组合的依据如下：组合一 银行承兑汇票、组合二</w:t>
      </w:r>
      <w:r>
        <w:rPr>
          <w:spacing w:val="-69"/>
        </w:rPr>
        <w:t> </w:t>
      </w:r>
      <w:r>
        <w:rPr/>
        <w:t>商业承兑汇票。对于划分为组合的应收票据，本公司参考</w:t>
      </w:r>
      <w:r>
        <w:rPr/>
        <w:t> </w:t>
      </w:r>
      <w:r>
        <w:rPr>
          <w:spacing w:val="-2"/>
        </w:rPr>
        <w:t>历史信用损失经验，结合当前状况及对未来经济状况的预测，通过违约风险敞口和整个存续期预期信用损失率，计算预期信</w:t>
      </w:r>
      <w:r>
        <w:rPr>
          <w:spacing w:val="-75"/>
        </w:rPr>
        <w:t> </w:t>
      </w:r>
      <w:r>
        <w:rPr>
          <w:spacing w:val="-75"/>
        </w:rPr>
      </w:r>
      <w:r>
        <w:rPr/>
        <w:t>用损失。</w:t>
      </w:r>
    </w:p>
    <w:p>
      <w:pPr>
        <w:spacing w:line="240" w:lineRule="auto" w:before="11"/>
        <w:rPr>
          <w:rFonts w:ascii="宋体" w:hAnsi="宋体" w:cs="宋体" w:eastAsia="宋体" w:hint="default"/>
          <w:sz w:val="22"/>
          <w:szCs w:val="22"/>
        </w:rPr>
      </w:pPr>
    </w:p>
    <w:p>
      <w:pPr>
        <w:pStyle w:val="Heading4"/>
        <w:spacing w:line="240" w:lineRule="auto"/>
        <w:ind w:right="0"/>
        <w:jc w:val="both"/>
        <w:rPr>
          <w:b w:val="0"/>
          <w:bCs w:val="0"/>
        </w:rPr>
      </w:pPr>
      <w:bookmarkStart w:name="12、应收账款" w:id="183"/>
      <w:bookmarkEnd w:id="183"/>
      <w:r>
        <w:rPr>
          <w:b w:val="0"/>
          <w:bCs w:val="0"/>
        </w:rPr>
      </w:r>
      <w:r>
        <w:rPr>
          <w:rFonts w:ascii="Times New Roman" w:hAnsi="Times New Roman" w:cs="Times New Roman" w:eastAsia="Times New Roman" w:hint="default"/>
        </w:rPr>
        <w:t>12</w:t>
      </w:r>
      <w:r>
        <w:rPr/>
        <w:t>、应收账款</w:t>
      </w:r>
      <w:r>
        <w:rPr>
          <w:b w:val="0"/>
          <w:bCs w:val="0"/>
        </w:rPr>
      </w:r>
    </w:p>
    <w:p>
      <w:pPr>
        <w:spacing w:line="240" w:lineRule="auto" w:before="3"/>
        <w:rPr>
          <w:rFonts w:ascii="宋体" w:hAnsi="宋体" w:cs="宋体" w:eastAsia="宋体" w:hint="default"/>
          <w:b/>
          <w:bCs/>
          <w:sz w:val="25"/>
          <w:szCs w:val="25"/>
        </w:rPr>
      </w:pPr>
    </w:p>
    <w:p>
      <w:pPr>
        <w:pStyle w:val="BodyText"/>
        <w:spacing w:line="314" w:lineRule="auto"/>
        <w:ind w:right="1136" w:firstLine="420"/>
        <w:jc w:val="both"/>
      </w:pPr>
      <w:r>
        <w:rPr/>
        <w:t>本公司对于《企业会计准则第</w:t>
      </w:r>
      <w:r>
        <w:rPr>
          <w:rFonts w:ascii="宋体" w:hAnsi="宋体" w:cs="宋体" w:eastAsia="宋体" w:hint="default"/>
        </w:rPr>
        <w:t>14</w:t>
      </w:r>
      <w:r>
        <w:rPr/>
        <w:t>号——收入》所规定的、不含重大融资成分（包括根据该准则不考虑不超过一年的合 </w:t>
      </w:r>
      <w:r>
        <w:rPr>
          <w:spacing w:val="-2"/>
        </w:rPr>
        <w:t>同中融资成分的情况）的应收款项，采用预期信用损失的简化模型，即始终按照整个存续期内预期信用损失的金额计量其损</w:t>
      </w:r>
      <w:r>
        <w:rPr>
          <w:spacing w:val="-75"/>
        </w:rPr>
        <w:t> </w:t>
      </w:r>
      <w:r>
        <w:rPr>
          <w:spacing w:val="-75"/>
        </w:rPr>
      </w:r>
      <w:r>
        <w:rPr/>
        <w:t>失准备，由此形成的损失准备的增加或转回金额，作为减值损失或利得计入当期损益。</w:t>
      </w:r>
    </w:p>
    <w:p>
      <w:pPr>
        <w:spacing w:after="0" w:line="314" w:lineRule="auto"/>
        <w:jc w:val="both"/>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444" w:lineRule="auto" w:before="44"/>
        <w:ind w:left="561" w:right="1329"/>
        <w:jc w:val="left"/>
      </w:pPr>
      <w:r>
        <w:rPr/>
        <w:t>本公司考虑所有合理且有依据的信息，包括前瞻性信息，以单项或组合的方式对应收账款预期信用损失进行估计。 预期信用损失的简化模型：始终按照整个存续期内预期信用损失的金额计量其损失准备 本公司考虑所有合理且有依据的信息，包括前瞻性信息，以单项或组合的方式对应收账款预期信用损失进行估计。</w:t>
      </w:r>
    </w:p>
    <w:p>
      <w:pPr>
        <w:spacing w:line="240" w:lineRule="auto" w:before="11"/>
        <w:rPr>
          <w:rFonts w:ascii="宋体" w:hAnsi="宋体" w:cs="宋体" w:eastAsia="宋体" w:hint="default"/>
          <w:sz w:val="15"/>
          <w:szCs w:val="15"/>
        </w:rPr>
      </w:pPr>
    </w:p>
    <w:p>
      <w:pPr>
        <w:pStyle w:val="Heading4"/>
        <w:spacing w:line="240" w:lineRule="auto"/>
        <w:ind w:right="1100"/>
        <w:jc w:val="left"/>
        <w:rPr>
          <w:b w:val="0"/>
          <w:bCs w:val="0"/>
        </w:rPr>
      </w:pPr>
      <w:bookmarkStart w:name="13、其他应收款" w:id="184"/>
      <w:bookmarkEnd w:id="184"/>
      <w:r>
        <w:rPr>
          <w:b w:val="0"/>
          <w:bCs w:val="0"/>
        </w:rPr>
      </w:r>
      <w:r>
        <w:rPr>
          <w:rFonts w:ascii="Times New Roman" w:hAnsi="Times New Roman" w:cs="Times New Roman" w:eastAsia="Times New Roman" w:hint="default"/>
        </w:rPr>
        <w:t>13</w:t>
      </w:r>
      <w:r>
        <w:rPr/>
        <w:t>、其他应收款</w:t>
      </w:r>
      <w:r>
        <w:rPr>
          <w:b w:val="0"/>
          <w:bCs w:val="0"/>
        </w:rPr>
      </w:r>
    </w:p>
    <w:p>
      <w:pPr>
        <w:pStyle w:val="BodyText"/>
        <w:spacing w:line="450" w:lineRule="atLeast" w:before="130"/>
        <w:ind w:left="561" w:right="1100"/>
        <w:jc w:val="left"/>
      </w:pPr>
      <w:r>
        <w:rPr/>
        <w:t>其他应收款的预期信用损失的确定方法及会计处理方法 对于其他金融工具，除购买或源生的已发生信用减值的金融资产外，本公司在每个资产负债表日评估相关金融工具的</w:t>
      </w:r>
    </w:p>
    <w:p>
      <w:pPr>
        <w:pStyle w:val="BodyText"/>
        <w:spacing w:line="321" w:lineRule="auto" w:before="80"/>
        <w:ind w:right="1029"/>
        <w:jc w:val="left"/>
      </w:pPr>
      <w:r>
        <w:rPr>
          <w:spacing w:val="-2"/>
        </w:rPr>
        <w:t>信用风险自初始确认后的变动情况。若该金融工具的信用风险自初始确认后并未显著增加，则该金融工具处于第一阶段，本</w:t>
      </w:r>
      <w:r>
        <w:rPr>
          <w:spacing w:val="-69"/>
        </w:rPr>
        <w:t> </w:t>
      </w:r>
      <w:r>
        <w:rPr>
          <w:spacing w:val="-69"/>
        </w:rPr>
      </w:r>
      <w:r>
        <w:rPr>
          <w:spacing w:val="-2"/>
        </w:rPr>
        <w:t>公司按照相当于该金融工具未来</w:t>
      </w:r>
      <w:r>
        <w:rPr>
          <w:rFonts w:ascii="宋体" w:hAnsi="宋体" w:cs="宋体" w:eastAsia="宋体" w:hint="default"/>
          <w:spacing w:val="-2"/>
        </w:rPr>
        <w:t>12</w:t>
      </w:r>
      <w:r>
        <w:rPr>
          <w:spacing w:val="-2"/>
        </w:rPr>
        <w:t>个月内预期信用损失的金额计量其损失准备。金融工具自初始确认后信用风险已显著增加</w:t>
      </w:r>
      <w:r>
        <w:rPr>
          <w:spacing w:val="-53"/>
        </w:rPr>
        <w:t> </w:t>
      </w:r>
      <w:r>
        <w:rPr>
          <w:spacing w:val="-53"/>
        </w:rPr>
      </w:r>
      <w:r>
        <w:rPr/>
        <w:t>但尚未发生信用减值的，处于第二阶段，本公司按照相当于该金融工具整个存续期内预期信用损失的金额计量其损失准备。 </w:t>
      </w:r>
      <w:r>
        <w:rPr>
          <w:spacing w:val="-2"/>
        </w:rPr>
        <w:t>金融工具自初始确认后已经发生信用减值的，处于第三阶段，本公司按照相当于该金融工具整个存续期内预期信用损失的金</w:t>
      </w:r>
      <w:r>
        <w:rPr>
          <w:spacing w:val="-72"/>
        </w:rPr>
        <w:t> </w:t>
      </w:r>
      <w:r>
        <w:rPr>
          <w:spacing w:val="-72"/>
        </w:rPr>
      </w:r>
      <w:r>
        <w:rPr/>
        <w:t>额计量其损失准备。</w:t>
      </w:r>
    </w:p>
    <w:p>
      <w:pPr>
        <w:spacing w:line="240" w:lineRule="auto" w:before="13"/>
        <w:rPr>
          <w:rFonts w:ascii="宋体" w:hAnsi="宋体" w:cs="宋体" w:eastAsia="宋体" w:hint="default"/>
          <w:sz w:val="23"/>
          <w:szCs w:val="23"/>
        </w:rPr>
      </w:pPr>
    </w:p>
    <w:p>
      <w:pPr>
        <w:pStyle w:val="Heading4"/>
        <w:spacing w:line="240" w:lineRule="auto"/>
        <w:ind w:right="1100"/>
        <w:jc w:val="left"/>
        <w:rPr>
          <w:b w:val="0"/>
          <w:bCs w:val="0"/>
        </w:rPr>
      </w:pPr>
      <w:bookmarkStart w:name="14、存货" w:id="185"/>
      <w:bookmarkEnd w:id="185"/>
      <w:r>
        <w:rPr>
          <w:b w:val="0"/>
          <w:bCs w:val="0"/>
        </w:rPr>
      </w:r>
      <w:r>
        <w:rPr>
          <w:rFonts w:ascii="Times New Roman" w:hAnsi="Times New Roman" w:cs="Times New Roman" w:eastAsia="Times New Roman" w:hint="default"/>
        </w:rPr>
        <w:t>14</w:t>
      </w:r>
      <w:r>
        <w:rPr/>
        <w:t>、存货</w:t>
      </w:r>
      <w:r>
        <w:rPr>
          <w:b w:val="0"/>
          <w:bCs w:val="0"/>
        </w:rPr>
      </w:r>
    </w:p>
    <w:p>
      <w:pPr>
        <w:spacing w:line="240" w:lineRule="auto" w:before="5"/>
        <w:rPr>
          <w:rFonts w:ascii="宋体" w:hAnsi="宋体" w:cs="宋体" w:eastAsia="宋体" w:hint="default"/>
          <w:b/>
          <w:bCs/>
          <w:sz w:val="26"/>
          <w:szCs w:val="26"/>
        </w:rPr>
      </w:pPr>
    </w:p>
    <w:p>
      <w:pPr>
        <w:pStyle w:val="BodyText"/>
        <w:spacing w:line="420" w:lineRule="auto"/>
        <w:ind w:left="561" w:right="1149"/>
        <w:jc w:val="left"/>
      </w:pPr>
      <w:r>
        <w:rPr>
          <w:rFonts w:ascii="Times New Roman" w:hAnsi="Times New Roman" w:cs="Times New Roman" w:eastAsia="Times New Roman" w:hint="default"/>
        </w:rPr>
        <w:t>1.</w:t>
      </w:r>
      <w:r>
        <w:rPr/>
        <w:t>存货的分类 存货包括在日常活动中持有以备出售的产成品或商品、委托加工物资、发出商品、处在生产过程中的在产品、在生产</w:t>
      </w:r>
    </w:p>
    <w:p>
      <w:pPr>
        <w:pStyle w:val="BodyText"/>
        <w:spacing w:line="195" w:lineRule="exact"/>
        <w:ind w:right="1100"/>
        <w:jc w:val="left"/>
      </w:pPr>
      <w:r>
        <w:rPr/>
        <w:t>过程或提供劳务过程中耗用的材料和物料等。</w:t>
      </w:r>
    </w:p>
    <w:p>
      <w:pPr>
        <w:spacing w:line="240" w:lineRule="auto" w:before="9"/>
        <w:rPr>
          <w:rFonts w:ascii="宋体" w:hAnsi="宋体" w:cs="宋体" w:eastAsia="宋体" w:hint="default"/>
          <w:sz w:val="18"/>
          <w:szCs w:val="18"/>
        </w:rPr>
      </w:pPr>
    </w:p>
    <w:p>
      <w:pPr>
        <w:pStyle w:val="BodyText"/>
        <w:spacing w:line="448" w:lineRule="auto"/>
        <w:ind w:left="561" w:right="7809"/>
        <w:jc w:val="left"/>
      </w:pPr>
      <w:r>
        <w:rPr>
          <w:rFonts w:ascii="Times New Roman" w:hAnsi="Times New Roman" w:cs="Times New Roman" w:eastAsia="Times New Roman" w:hint="default"/>
        </w:rPr>
        <w:t>2.</w:t>
      </w:r>
      <w:r>
        <w:rPr/>
        <w:t>发出存货的计价方法 发出存货采用移动加权平均法。</w:t>
      </w:r>
    </w:p>
    <w:p>
      <w:pPr>
        <w:pStyle w:val="BodyText"/>
        <w:spacing w:line="240" w:lineRule="auto" w:before="88"/>
        <w:ind w:left="561" w:right="1100"/>
        <w:jc w:val="left"/>
      </w:pPr>
      <w:r>
        <w:rPr>
          <w:rFonts w:ascii="Times New Roman" w:hAnsi="Times New Roman" w:cs="Times New Roman" w:eastAsia="Times New Roman" w:hint="default"/>
        </w:rPr>
        <w:t>3.</w:t>
      </w:r>
      <w:r>
        <w:rPr/>
        <w:t>存货可变现净值的确定依据及存货跌价准备的计提方法</w:t>
      </w:r>
    </w:p>
    <w:p>
      <w:pPr>
        <w:spacing w:line="240" w:lineRule="auto" w:before="3"/>
        <w:rPr>
          <w:rFonts w:ascii="宋体" w:hAnsi="宋体" w:cs="宋体" w:eastAsia="宋体" w:hint="default"/>
          <w:sz w:val="14"/>
          <w:szCs w:val="14"/>
        </w:rPr>
      </w:pPr>
    </w:p>
    <w:p>
      <w:pPr>
        <w:pStyle w:val="BodyText"/>
        <w:spacing w:line="321" w:lineRule="auto"/>
        <w:ind w:right="1121" w:firstLine="420"/>
        <w:jc w:val="both"/>
      </w:pPr>
      <w:r>
        <w:rPr/>
        <w:t>资产负债表日，存货采用成本与可变现净值孰低计量，按照存货类别成本高于可变现净值的差额计提存货跌价准备。 </w:t>
      </w:r>
      <w:r>
        <w:rPr>
          <w:spacing w:val="-2"/>
        </w:rPr>
        <w:t>直接用于出售的存货，在正常生产经营过程中以该存货的估计售价减去估计的销售费用和相关税费后的金额确定其可变现净</w:t>
      </w:r>
      <w:r>
        <w:rPr>
          <w:spacing w:val="-58"/>
        </w:rPr>
        <w:t> </w:t>
      </w:r>
      <w:r>
        <w:rPr>
          <w:spacing w:val="-58"/>
        </w:rPr>
      </w:r>
      <w:r>
        <w:rPr>
          <w:spacing w:val="-2"/>
        </w:rPr>
        <w:t>值；需要经过加工的存货，在正常生产经营过程中以所生产的产成品的估计售价减去至完工时估计将要发生的成本、估计的</w:t>
      </w:r>
      <w:r>
        <w:rPr>
          <w:spacing w:val="-75"/>
        </w:rPr>
        <w:t> </w:t>
      </w:r>
      <w:r>
        <w:rPr>
          <w:spacing w:val="-75"/>
        </w:rPr>
      </w:r>
      <w:r>
        <w:rPr>
          <w:spacing w:val="-2"/>
        </w:rPr>
        <w:t>销售费用和相关税费后的金额确定其可变现净值；资产负债表日，同一项存货中一部分有合同价格约定、其他部分不存在合</w:t>
      </w:r>
      <w:r>
        <w:rPr>
          <w:spacing w:val="-72"/>
        </w:rPr>
        <w:t> </w:t>
      </w:r>
      <w:r>
        <w:rPr>
          <w:spacing w:val="-72"/>
        </w:rPr>
      </w:r>
      <w:r>
        <w:rPr/>
        <w:t>同价格的，分别确定其可变现净值，并与其对应的成本进行比较，分别确定存货跌价准备的计提或转回的金额。</w:t>
      </w:r>
    </w:p>
    <w:p>
      <w:pPr>
        <w:spacing w:line="240" w:lineRule="auto" w:before="1"/>
        <w:rPr>
          <w:rFonts w:ascii="宋体" w:hAnsi="宋体" w:cs="宋体" w:eastAsia="宋体" w:hint="default"/>
          <w:sz w:val="14"/>
          <w:szCs w:val="14"/>
        </w:rPr>
      </w:pPr>
    </w:p>
    <w:p>
      <w:pPr>
        <w:pStyle w:val="BodyText"/>
        <w:spacing w:line="468" w:lineRule="auto"/>
        <w:ind w:left="561" w:right="7674"/>
        <w:jc w:val="left"/>
      </w:pPr>
      <w:r>
        <w:rPr>
          <w:rFonts w:ascii="Times New Roman" w:hAnsi="Times New Roman" w:cs="Times New Roman" w:eastAsia="Times New Roman" w:hint="default"/>
        </w:rPr>
        <w:t>4.</w:t>
      </w:r>
      <w:r>
        <w:rPr/>
        <w:t>存货的盘存制度 存货的盘存制度为永续盘存制。 </w:t>
      </w:r>
      <w:r>
        <w:rPr>
          <w:rFonts w:ascii="Times New Roman" w:hAnsi="Times New Roman" w:cs="Times New Roman" w:eastAsia="Times New Roman" w:hint="default"/>
        </w:rPr>
        <w:t>5.</w:t>
      </w:r>
      <w:r>
        <w:rPr/>
        <w:t>低值易耗品和包装物的摊销方法</w:t>
      </w:r>
    </w:p>
    <w:p>
      <w:pPr>
        <w:pStyle w:val="BodyText"/>
        <w:spacing w:line="434" w:lineRule="auto" w:before="27"/>
        <w:ind w:left="561" w:right="8169"/>
        <w:jc w:val="left"/>
      </w:pPr>
      <w:r>
        <w:rPr/>
        <w:t>（</w:t>
      </w:r>
      <w:r>
        <w:rPr>
          <w:rFonts w:ascii="Times New Roman" w:hAnsi="Times New Roman" w:cs="Times New Roman" w:eastAsia="Times New Roman" w:hint="default"/>
        </w:rPr>
        <w:t>1</w:t>
      </w:r>
      <w:r>
        <w:rPr/>
        <w:t>）低值易耗品 按照一次转销法进行摊销。</w:t>
      </w:r>
    </w:p>
    <w:p>
      <w:pPr>
        <w:pStyle w:val="BodyText"/>
        <w:spacing w:line="448" w:lineRule="auto" w:before="99"/>
        <w:ind w:left="561" w:right="8169"/>
        <w:jc w:val="left"/>
      </w:pPr>
      <w:r>
        <w:rPr/>
        <w:t>（</w:t>
      </w:r>
      <w:r>
        <w:rPr>
          <w:rFonts w:ascii="Times New Roman" w:hAnsi="Times New Roman" w:cs="Times New Roman" w:eastAsia="Times New Roman" w:hint="default"/>
        </w:rPr>
        <w:t>2</w:t>
      </w:r>
      <w:r>
        <w:rPr/>
        <w:t>）包装物 按照一次转销法进行摊销。</w:t>
      </w:r>
    </w:p>
    <w:p>
      <w:pPr>
        <w:spacing w:after="0" w:line="448" w:lineRule="auto"/>
        <w:jc w:val="left"/>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4"/>
        <w:spacing w:line="240" w:lineRule="auto" w:before="35"/>
        <w:ind w:right="1100"/>
        <w:jc w:val="left"/>
        <w:rPr>
          <w:b w:val="0"/>
          <w:bCs w:val="0"/>
        </w:rPr>
      </w:pPr>
      <w:bookmarkStart w:name="15、持有待售资产" w:id="186"/>
      <w:bookmarkEnd w:id="186"/>
      <w:r>
        <w:rPr>
          <w:b w:val="0"/>
          <w:bCs w:val="0"/>
        </w:rPr>
      </w:r>
      <w:r>
        <w:rPr>
          <w:rFonts w:ascii="Times New Roman" w:hAnsi="Times New Roman" w:cs="Times New Roman" w:eastAsia="Times New Roman" w:hint="default"/>
        </w:rPr>
        <w:t>15</w:t>
      </w:r>
      <w:r>
        <w:rPr/>
        <w:t>、持有待售资产</w:t>
      </w:r>
      <w:r>
        <w:rPr>
          <w:b w:val="0"/>
          <w:bCs w:val="0"/>
        </w:rPr>
      </w:r>
    </w:p>
    <w:p>
      <w:pPr>
        <w:spacing w:line="240" w:lineRule="auto" w:before="5"/>
        <w:rPr>
          <w:rFonts w:ascii="宋体" w:hAnsi="宋体" w:cs="宋体" w:eastAsia="宋体" w:hint="default"/>
          <w:b/>
          <w:bCs/>
          <w:sz w:val="26"/>
          <w:szCs w:val="26"/>
        </w:rPr>
      </w:pPr>
    </w:p>
    <w:p>
      <w:pPr>
        <w:pStyle w:val="BodyText"/>
        <w:spacing w:line="304" w:lineRule="auto"/>
        <w:ind w:right="1129" w:firstLine="360"/>
        <w:jc w:val="both"/>
      </w:pPr>
      <w:r>
        <w:rPr/>
        <w:t>本公司将同时满足下列条件的公司组成部分（或非流动资产）划分为持有待售：（</w:t>
      </w:r>
      <w:r>
        <w:rPr>
          <w:rFonts w:ascii="Times New Roman" w:hAnsi="Times New Roman" w:cs="Times New Roman" w:eastAsia="Times New Roman" w:hint="default"/>
        </w:rPr>
        <w:t>1</w:t>
      </w:r>
      <w:r>
        <w:rPr/>
        <w:t>）根据类似交易中出售此类资产或 处置组的惯例，在当前状况下即可立即出售；（</w:t>
      </w:r>
      <w:r>
        <w:rPr>
          <w:rFonts w:ascii="Times New Roman" w:hAnsi="Times New Roman" w:cs="Times New Roman" w:eastAsia="Times New Roman" w:hint="default"/>
        </w:rPr>
        <w:t>2</w:t>
      </w:r>
      <w:r>
        <w:rPr/>
        <w:t>）出售极可能发生，已经就一项出售计划作出决议且获得确定的购买承诺</w:t>
      </w:r>
    </w:p>
    <w:p>
      <w:pPr>
        <w:pStyle w:val="BodyText"/>
        <w:spacing w:line="218" w:lineRule="exact"/>
        <w:ind w:right="0"/>
        <w:jc w:val="left"/>
      </w:pPr>
      <w:r>
        <w:rPr/>
        <w:t>（确定的购买承诺，是指企业与其他方签订的具有法律约束力的购买协议，该协议包含交易价格、时间和足够严厉的违约惩</w:t>
      </w:r>
    </w:p>
    <w:p>
      <w:pPr>
        <w:pStyle w:val="BodyText"/>
        <w:spacing w:line="321" w:lineRule="auto" w:before="80"/>
        <w:ind w:right="1100"/>
        <w:jc w:val="left"/>
      </w:pPr>
      <w:r>
        <w:rPr>
          <w:spacing w:val="-2"/>
        </w:rPr>
        <w:t>罚等重要条款，使协议出现重大调整或者撤销的可能性极小。预计出售将在一年内完成。已经获得按照有关规定需得到相关</w:t>
      </w:r>
      <w:r>
        <w:rPr>
          <w:spacing w:val="-75"/>
        </w:rPr>
        <w:t> </w:t>
      </w:r>
      <w:r>
        <w:rPr>
          <w:spacing w:val="-75"/>
        </w:rPr>
      </w:r>
      <w:r>
        <w:rPr/>
        <w:t>权力机构或者监管部门的批准。</w:t>
      </w:r>
    </w:p>
    <w:p>
      <w:pPr>
        <w:pStyle w:val="BodyText"/>
        <w:spacing w:line="316" w:lineRule="auto" w:before="18"/>
        <w:ind w:right="1100" w:firstLine="360"/>
        <w:jc w:val="left"/>
      </w:pPr>
      <w:r>
        <w:rPr/>
        <w:t>本公司将持有待售的预计净残值调整为反映其公允价值减去出售费用后的净额（但不得超过该项持有待售的原账面价 </w:t>
      </w:r>
      <w:r>
        <w:rPr>
          <w:spacing w:val="-2"/>
        </w:rPr>
        <w:t>值），原账面价值高于调整后预计净残值的差额，作为资产减值损失计入当期损益，同时计提持有待售资产减值准备。对于</w:t>
      </w:r>
      <w:r>
        <w:rPr>
          <w:spacing w:val="-47"/>
        </w:rPr>
        <w:t> </w:t>
      </w:r>
      <w:r>
        <w:rPr>
          <w:spacing w:val="-47"/>
        </w:rPr>
      </w:r>
      <w:r>
        <w:rPr>
          <w:spacing w:val="-2"/>
        </w:rPr>
        <w:t>持有待售的处置组确认的资产减值损失金额，应当先抵减处置组中商誉的账面价值，再根据处置组中适用本准则计量规定的</w:t>
      </w:r>
      <w:r>
        <w:rPr>
          <w:spacing w:val="-72"/>
        </w:rPr>
        <w:t> </w:t>
      </w:r>
      <w:r>
        <w:rPr>
          <w:spacing w:val="-72"/>
        </w:rPr>
      </w:r>
      <w:r>
        <w:rPr/>
        <w:t>各项非流动资产账面价值所占比重，按比例抵减其账面价值。</w:t>
      </w:r>
    </w:p>
    <w:p>
      <w:pPr>
        <w:pStyle w:val="BodyText"/>
        <w:spacing w:line="319" w:lineRule="auto" w:before="22"/>
        <w:ind w:right="1029" w:firstLine="360"/>
        <w:jc w:val="left"/>
      </w:pPr>
      <w:r>
        <w:rPr>
          <w:spacing w:val="-2"/>
        </w:rPr>
        <w:t>后续资产负债表日持有待售的非流动资产公允价值减去出售费用后的净额增加的，以前减记的金额应当予以恢复，并在</w:t>
      </w:r>
      <w:r>
        <w:rPr/>
        <w:t> </w:t>
      </w:r>
      <w:r>
        <w:rPr>
          <w:spacing w:val="-2"/>
        </w:rPr>
        <w:t>划分为持有待售类别后确认的资产减值损失金额内转回，转回金额计入当期损益。划分为持有待售类别前确认的资产减值损</w:t>
      </w:r>
      <w:r>
        <w:rPr>
          <w:spacing w:val="-72"/>
        </w:rPr>
        <w:t> </w:t>
      </w:r>
      <w:r>
        <w:rPr>
          <w:spacing w:val="-72"/>
        </w:rPr>
      </w:r>
      <w:r>
        <w:rPr/>
        <w:t>失不得转回。后续资产负债表日持有待售的处置组公允价值减去出售费用后的净额增加的，以前减记的金额应当予以恢复， </w:t>
      </w:r>
      <w:r>
        <w:rPr>
          <w:spacing w:val="-2"/>
        </w:rPr>
        <w:t>并在划分为持有待售类别后适用本准则计量规定的非流动资产确认的资产减值损失金额内转回，转回金额计入当期损益。已</w:t>
      </w:r>
      <w:r>
        <w:rPr>
          <w:spacing w:val="-70"/>
        </w:rPr>
        <w:t> </w:t>
      </w:r>
      <w:r>
        <w:rPr>
          <w:spacing w:val="-70"/>
        </w:rPr>
      </w:r>
      <w:r>
        <w:rPr>
          <w:spacing w:val="-2"/>
        </w:rPr>
        <w:t>抵减的商誉账面价值，以及适用本准则计量规定的非流动资产在划分为持有待售类别前确认的资产减值损失不得转回。持有</w:t>
      </w:r>
      <w:r>
        <w:rPr>
          <w:spacing w:val="-72"/>
        </w:rPr>
        <w:t> </w:t>
      </w:r>
      <w:r>
        <w:rPr>
          <w:spacing w:val="-72"/>
        </w:rPr>
      </w:r>
      <w:r>
        <w:rPr/>
        <w:t>待售的处置组确认的资产减值损失后续转回金额，</w:t>
      </w:r>
      <w:r>
        <w:rPr>
          <w:spacing w:val="-10"/>
        </w:rPr>
        <w:t> </w:t>
      </w:r>
      <w:r>
        <w:rPr/>
        <w:t>应当根据处置组中除商誉外适用本准则计量规定的各项非流动资产账面</w:t>
      </w:r>
      <w:r>
        <w:rPr/>
        <w:t> 价值所占比重，按比例增加其账面价值。</w:t>
      </w:r>
    </w:p>
    <w:p>
      <w:pPr>
        <w:pStyle w:val="BodyText"/>
        <w:spacing w:line="314" w:lineRule="auto" w:before="20"/>
        <w:ind w:right="1130" w:firstLine="360"/>
        <w:jc w:val="both"/>
      </w:pPr>
      <w:r>
        <w:rPr>
          <w:spacing w:val="-2"/>
        </w:rPr>
        <w:t>企业因出售对子公司的投资等原因导致其丧失对子公司控制权的，无论出售后企业是否保留部分权益性投资，应当在拟</w:t>
      </w:r>
      <w:r>
        <w:rPr/>
        <w:t> </w:t>
      </w:r>
      <w:r>
        <w:rPr>
          <w:spacing w:val="-2"/>
        </w:rPr>
        <w:t>出售的对子公司投资满足持有待售类别划分条件时，在母公司个别财务报表中将对子公司投资整体划分为持有待售类别，在</w:t>
      </w:r>
      <w:r>
        <w:rPr>
          <w:spacing w:val="-65"/>
        </w:rPr>
        <w:t> </w:t>
      </w:r>
      <w:r>
        <w:rPr>
          <w:spacing w:val="-65"/>
        </w:rPr>
      </w:r>
      <w:r>
        <w:rPr/>
        <w:t>合并财务报表中将子公司所有资产和负债划分为持有待售类别。</w:t>
      </w:r>
    </w:p>
    <w:p>
      <w:pPr>
        <w:spacing w:line="240" w:lineRule="auto" w:before="5"/>
        <w:rPr>
          <w:rFonts w:ascii="宋体" w:hAnsi="宋体" w:cs="宋体" w:eastAsia="宋体" w:hint="default"/>
          <w:sz w:val="24"/>
          <w:szCs w:val="24"/>
        </w:rPr>
      </w:pPr>
    </w:p>
    <w:p>
      <w:pPr>
        <w:pStyle w:val="Heading4"/>
        <w:spacing w:line="240" w:lineRule="auto"/>
        <w:ind w:right="1100"/>
        <w:jc w:val="left"/>
        <w:rPr>
          <w:b w:val="0"/>
          <w:bCs w:val="0"/>
        </w:rPr>
      </w:pPr>
      <w:bookmarkStart w:name="16、长期股权投资" w:id="187"/>
      <w:bookmarkEnd w:id="187"/>
      <w:r>
        <w:rPr>
          <w:b w:val="0"/>
          <w:bCs w:val="0"/>
        </w:rPr>
      </w:r>
      <w:r>
        <w:rPr>
          <w:rFonts w:ascii="Times New Roman" w:hAnsi="Times New Roman" w:cs="Times New Roman" w:eastAsia="Times New Roman" w:hint="default"/>
        </w:rPr>
        <w:t>16</w:t>
      </w:r>
      <w:r>
        <w:rPr/>
        <w:t>、长期股权投资</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501" w:right="1100"/>
        <w:jc w:val="left"/>
      </w:pPr>
      <w:r>
        <w:rPr>
          <w:rFonts w:ascii="宋体" w:hAnsi="宋体" w:cs="宋体" w:eastAsia="宋体" w:hint="default"/>
        </w:rPr>
        <w:t>1.</w:t>
      </w:r>
      <w:r>
        <w:rPr/>
        <w:t>投资成本的确定</w:t>
      </w:r>
    </w:p>
    <w:p>
      <w:pPr>
        <w:pStyle w:val="BodyText"/>
        <w:spacing w:line="316" w:lineRule="auto" w:before="80"/>
        <w:ind w:right="1110" w:firstLine="360"/>
        <w:jc w:val="both"/>
      </w:pPr>
      <w:r>
        <w:rPr/>
        <w:t>（</w:t>
      </w:r>
      <w:r>
        <w:rPr>
          <w:rFonts w:ascii="宋体" w:hAnsi="宋体" w:cs="宋体" w:eastAsia="宋体" w:hint="default"/>
        </w:rPr>
        <w:t>1</w:t>
      </w:r>
      <w:r>
        <w:rPr/>
        <w:t>）同一控制下的企业合并形成的，合并方以支付现金、转让非现金资产、承担债务或发行权益性证券作为合并对价 </w:t>
      </w:r>
      <w:r>
        <w:rPr>
          <w:spacing w:val="-2"/>
        </w:rPr>
        <w:t>的，在合并日按照被合并方所有者权益在最终控制方合并财务报表中的账面价值的份额作为其初始投资成本。长期股权投资</w:t>
      </w:r>
      <w:r>
        <w:rPr>
          <w:spacing w:val="-72"/>
        </w:rPr>
        <w:t> </w:t>
      </w:r>
      <w:r>
        <w:rPr>
          <w:spacing w:val="-72"/>
        </w:rPr>
      </w:r>
      <w:r>
        <w:rPr>
          <w:spacing w:val="-2"/>
        </w:rPr>
        <w:t>初始投资成本与支付的合并对价的账面价值或发行股份的面值总额之间的差额调整资本公积</w:t>
      </w:r>
      <w:r>
        <w:rPr>
          <w:rFonts w:ascii="宋体" w:hAnsi="宋体" w:cs="宋体" w:eastAsia="宋体" w:hint="default"/>
          <w:spacing w:val="-2"/>
        </w:rPr>
        <w:t>(</w:t>
      </w:r>
      <w:r>
        <w:rPr>
          <w:spacing w:val="-2"/>
        </w:rPr>
        <w:t>资本溢价或股本溢价</w:t>
      </w:r>
      <w:r>
        <w:rPr>
          <w:rFonts w:ascii="宋体" w:hAnsi="宋体" w:cs="宋体" w:eastAsia="宋体" w:hint="default"/>
          <w:spacing w:val="-2"/>
        </w:rPr>
        <w:t>)</w:t>
      </w:r>
      <w:r>
        <w:rPr>
          <w:spacing w:val="-2"/>
        </w:rPr>
        <w:t>；资本公</w:t>
      </w:r>
      <w:r>
        <w:rPr>
          <w:spacing w:val="-46"/>
        </w:rPr>
        <w:t> </w:t>
      </w:r>
      <w:r>
        <w:rPr>
          <w:spacing w:val="-46"/>
        </w:rPr>
      </w:r>
      <w:r>
        <w:rPr/>
        <w:t>积不足冲减的，调整留存收益。</w:t>
      </w:r>
    </w:p>
    <w:p>
      <w:pPr>
        <w:pStyle w:val="BodyText"/>
        <w:spacing w:line="321" w:lineRule="auto" w:before="22"/>
        <w:ind w:right="1121" w:firstLine="360"/>
        <w:jc w:val="both"/>
      </w:pPr>
      <w:r>
        <w:rPr>
          <w:spacing w:val="-2"/>
        </w:rPr>
        <w:t>分步实现同一控制下企业合并的，应当以持股比例计算的合并日应享有被合并方账面所有者权益份额作为该项投资的初</w:t>
      </w:r>
      <w:r>
        <w:rPr/>
        <w:t> </w:t>
      </w:r>
      <w:r>
        <w:rPr>
          <w:spacing w:val="-2"/>
        </w:rPr>
        <w:t>始投资成本。初始投资成本与其原长期股权投资账面价值加上合并日取得进一步股份新支付对价的账面价值之和的差额，调</w:t>
      </w:r>
      <w:r>
        <w:rPr>
          <w:spacing w:val="-72"/>
        </w:rPr>
        <w:t> </w:t>
      </w:r>
      <w:r>
        <w:rPr>
          <w:spacing w:val="-72"/>
        </w:rPr>
      </w:r>
      <w:r>
        <w:rPr/>
        <w:t>整资本公积（资本溢价或股本溢价），资本公积不足冲减的，冲减留存收益。</w:t>
      </w:r>
    </w:p>
    <w:p>
      <w:pPr>
        <w:pStyle w:val="BodyText"/>
        <w:spacing w:line="240" w:lineRule="auto" w:before="3"/>
        <w:ind w:left="501" w:right="1100"/>
        <w:jc w:val="left"/>
      </w:pPr>
      <w:r>
        <w:rPr/>
        <w:t>（</w:t>
      </w:r>
      <w:r>
        <w:rPr>
          <w:rFonts w:ascii="宋体" w:hAnsi="宋体" w:cs="宋体" w:eastAsia="宋体" w:hint="default"/>
        </w:rPr>
        <w:t>2</w:t>
      </w:r>
      <w:r>
        <w:rPr/>
        <w:t>）非同一控制下的企业合并形成的，在购买日按照支付的合并对价的公允价值作为其初始投资成本。</w:t>
      </w:r>
    </w:p>
    <w:p>
      <w:pPr>
        <w:pStyle w:val="BodyText"/>
        <w:spacing w:line="321" w:lineRule="auto" w:before="80"/>
        <w:ind w:right="1133" w:firstLine="360"/>
        <w:jc w:val="both"/>
      </w:pPr>
      <w:r>
        <w:rPr/>
        <w:t>（</w:t>
      </w:r>
      <w:r>
        <w:rPr>
          <w:rFonts w:ascii="宋体" w:hAnsi="宋体" w:cs="宋体" w:eastAsia="宋体" w:hint="default"/>
        </w:rPr>
        <w:t>3</w:t>
      </w:r>
      <w:r>
        <w:rPr/>
        <w:t>）除企业合并形成以外的：以支付现金取得的，按照实际支付的购买价款作为其初始投资成本；以发行权益性证券 </w:t>
      </w:r>
      <w:r>
        <w:rPr>
          <w:spacing w:val="-2"/>
        </w:rPr>
        <w:t>取得的，按照发行权益性证券的公允价值作为其初始投资成本；投资者投入的，按照投资合同或协议约定的价值作为其初始</w:t>
      </w:r>
      <w:r>
        <w:rPr>
          <w:spacing w:val="-72"/>
        </w:rPr>
        <w:t> </w:t>
      </w:r>
      <w:r>
        <w:rPr>
          <w:spacing w:val="-72"/>
        </w:rPr>
      </w:r>
      <w:r>
        <w:rPr/>
        <w:t>投资成本（合同或协议约定价值不公允的除外）。</w:t>
      </w:r>
    </w:p>
    <w:p>
      <w:pPr>
        <w:pStyle w:val="BodyText"/>
        <w:spacing w:line="304" w:lineRule="auto" w:before="19"/>
        <w:ind w:left="501" w:right="1119"/>
        <w:jc w:val="left"/>
      </w:pPr>
      <w:r>
        <w:rPr>
          <w:rFonts w:ascii="宋体" w:hAnsi="宋体" w:cs="宋体" w:eastAsia="宋体" w:hint="default"/>
        </w:rPr>
        <w:t>2.</w:t>
      </w:r>
      <w:r>
        <w:rPr/>
        <w:t>后续计量及损益确认方法 本公司能够对被投资单位实施控制的长期股权投资</w:t>
      </w:r>
      <w:r>
        <w:rPr>
          <w:rFonts w:ascii="宋体" w:hAnsi="宋体" w:cs="宋体" w:eastAsia="宋体" w:hint="default"/>
        </w:rPr>
        <w:t>,</w:t>
      </w:r>
      <w:r>
        <w:rPr/>
        <w:t>在本公司个别财务报表中采用成本法核算；对具有共同控制或重大</w:t>
      </w:r>
    </w:p>
    <w:p>
      <w:pPr>
        <w:pStyle w:val="BodyText"/>
        <w:spacing w:line="321" w:lineRule="auto" w:before="31"/>
        <w:ind w:left="501" w:right="1209" w:hanging="361"/>
        <w:jc w:val="left"/>
      </w:pPr>
      <w:r>
        <w:rPr/>
        <w:t>影响的长期股权投资，采用权益法核算。 采用成本法时</w:t>
      </w:r>
      <w:r>
        <w:rPr>
          <w:rFonts w:ascii="宋体" w:hAnsi="宋体" w:cs="宋体" w:eastAsia="宋体" w:hint="default"/>
        </w:rPr>
        <w:t>,</w:t>
      </w:r>
      <w:r>
        <w:rPr/>
        <w:t>长期股权投资按初始投资成本计价</w:t>
      </w:r>
      <w:r>
        <w:rPr>
          <w:rFonts w:ascii="宋体" w:hAnsi="宋体" w:cs="宋体" w:eastAsia="宋体" w:hint="default"/>
        </w:rPr>
        <w:t>,</w:t>
      </w:r>
      <w:r>
        <w:rPr/>
        <w:t>除取得投资时实际支付的价款或对价中包含的已宣告但尚未发放的</w:t>
      </w:r>
    </w:p>
    <w:p>
      <w:pPr>
        <w:pStyle w:val="BodyText"/>
        <w:spacing w:line="321" w:lineRule="auto" w:before="18"/>
        <w:ind w:right="1119"/>
        <w:jc w:val="left"/>
      </w:pPr>
      <w:r>
        <w:rPr/>
        <w:t>现金股利或利润外</w:t>
      </w:r>
      <w:r>
        <w:rPr>
          <w:rFonts w:ascii="宋体" w:hAnsi="宋体" w:cs="宋体" w:eastAsia="宋体" w:hint="default"/>
        </w:rPr>
        <w:t>,</w:t>
      </w:r>
      <w:r>
        <w:rPr/>
        <w:t>按享有被投资单位宣告分派的现金股利或利润</w:t>
      </w:r>
      <w:r>
        <w:rPr>
          <w:rFonts w:ascii="宋体" w:hAnsi="宋体" w:cs="宋体" w:eastAsia="宋体" w:hint="default"/>
        </w:rPr>
        <w:t>,</w:t>
      </w:r>
      <w:r>
        <w:rPr/>
        <w:t>确认为当期投资收益</w:t>
      </w:r>
      <w:r>
        <w:rPr>
          <w:rFonts w:ascii="宋体" w:hAnsi="宋体" w:cs="宋体" w:eastAsia="宋体" w:hint="default"/>
        </w:rPr>
        <w:t>,</w:t>
      </w:r>
      <w:r>
        <w:rPr/>
        <w:t>并同时根据有关资产减值政策考虑</w:t>
      </w:r>
      <w:r>
        <w:rPr>
          <w:spacing w:val="-84"/>
        </w:rPr>
        <w:t> </w:t>
      </w:r>
      <w:r>
        <w:rPr/>
        <w:t>长期投资是否减值。</w:t>
      </w:r>
    </w:p>
    <w:p>
      <w:pPr>
        <w:pStyle w:val="BodyText"/>
        <w:spacing w:line="321" w:lineRule="auto" w:before="3"/>
        <w:ind w:right="1126" w:firstLine="360"/>
        <w:jc w:val="both"/>
      </w:pPr>
      <w:r>
        <w:rPr/>
        <w:t>采用权益法时</w:t>
      </w:r>
      <w:r>
        <w:rPr>
          <w:rFonts w:ascii="宋体" w:hAnsi="宋体" w:cs="宋体" w:eastAsia="宋体" w:hint="default"/>
        </w:rPr>
        <w:t>,</w:t>
      </w:r>
      <w:r>
        <w:rPr/>
        <w:t>长期股权投资的初始投资成本大于投资时应享有被投资单位可辨认净资产公允价值份额的</w:t>
      </w:r>
      <w:r>
        <w:rPr>
          <w:rFonts w:ascii="宋体" w:hAnsi="宋体" w:cs="宋体" w:eastAsia="宋体" w:hint="default"/>
        </w:rPr>
        <w:t>,</w:t>
      </w:r>
      <w:r>
        <w:rPr/>
        <w:t>归入长期股 权投资的初始投资成本；长期股权投资的初始投资成本小于投资时应享有被投资单位可辨认净资产公允价值份额的</w:t>
      </w:r>
      <w:r>
        <w:rPr>
          <w:rFonts w:ascii="宋体" w:hAnsi="宋体" w:cs="宋体" w:eastAsia="宋体" w:hint="default"/>
        </w:rPr>
        <w:t>,</w:t>
      </w:r>
      <w:r>
        <w:rPr/>
        <w:t>其差额</w:t>
      </w:r>
    </w:p>
    <w:p>
      <w:pPr>
        <w:spacing w:after="0" w:line="321" w:lineRule="auto"/>
        <w:jc w:val="both"/>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before="44"/>
        <w:ind w:left="501" w:right="1119" w:hanging="361"/>
        <w:jc w:val="left"/>
      </w:pPr>
      <w:r>
        <w:rPr/>
        <w:t>计入当期损益</w:t>
      </w:r>
      <w:r>
        <w:rPr>
          <w:rFonts w:ascii="宋体" w:hAnsi="宋体" w:cs="宋体" w:eastAsia="宋体" w:hint="default"/>
        </w:rPr>
        <w:t>,</w:t>
      </w:r>
      <w:r>
        <w:rPr/>
        <w:t>同时调整长期股权投资的成本。 采用权益法时</w:t>
      </w:r>
      <w:r>
        <w:rPr>
          <w:rFonts w:ascii="宋体" w:hAnsi="宋体" w:cs="宋体" w:eastAsia="宋体" w:hint="default"/>
        </w:rPr>
        <w:t>,</w:t>
      </w:r>
      <w:r>
        <w:rPr/>
        <w:t>取得长期股权投资后</w:t>
      </w:r>
      <w:r>
        <w:rPr>
          <w:rFonts w:ascii="宋体" w:hAnsi="宋体" w:cs="宋体" w:eastAsia="宋体" w:hint="default"/>
        </w:rPr>
        <w:t>,</w:t>
      </w:r>
      <w:r>
        <w:rPr/>
        <w:t>按照应享有或应分担的被投资单位实现的净损益的份额</w:t>
      </w:r>
      <w:r>
        <w:rPr>
          <w:rFonts w:ascii="宋体" w:hAnsi="宋体" w:cs="宋体" w:eastAsia="宋体" w:hint="default"/>
        </w:rPr>
        <w:t>,</w:t>
      </w:r>
      <w:r>
        <w:rPr/>
        <w:t>确认投资损益并调整长期</w:t>
      </w:r>
    </w:p>
    <w:p>
      <w:pPr>
        <w:pStyle w:val="BodyText"/>
        <w:spacing w:line="319" w:lineRule="auto" w:before="18"/>
        <w:ind w:right="1119"/>
        <w:jc w:val="left"/>
      </w:pPr>
      <w:r>
        <w:rPr/>
        <w:t>股权投资的账面价值。在确认应享有被投资单位净损益的份额时</w:t>
      </w:r>
      <w:r>
        <w:rPr>
          <w:rFonts w:ascii="宋体" w:hAnsi="宋体" w:cs="宋体" w:eastAsia="宋体" w:hint="default"/>
        </w:rPr>
        <w:t>,</w:t>
      </w:r>
      <w:r>
        <w:rPr/>
        <w:t>以取得投资时被投资单位各项可辨认资产等的公允价值为</w:t>
      </w:r>
      <w:r>
        <w:rPr>
          <w:spacing w:val="-84"/>
        </w:rPr>
        <w:t> </w:t>
      </w:r>
      <w:r>
        <w:rPr/>
        <w:t>基础</w:t>
      </w:r>
      <w:r>
        <w:rPr>
          <w:rFonts w:ascii="宋体" w:hAnsi="宋体" w:cs="宋体" w:eastAsia="宋体" w:hint="default"/>
        </w:rPr>
        <w:t>,</w:t>
      </w:r>
      <w:r>
        <w:rPr/>
        <w:t>按照本公司的会计政策及会计期间</w:t>
      </w:r>
      <w:r>
        <w:rPr>
          <w:rFonts w:ascii="宋体" w:hAnsi="宋体" w:cs="宋体" w:eastAsia="宋体" w:hint="default"/>
        </w:rPr>
        <w:t>,</w:t>
      </w:r>
      <w:r>
        <w:rPr/>
        <w:t>并抵销与联营企业及合营企业之间发生的内部交易损益按照持股比例计算归属于 投资企业的部分</w:t>
      </w:r>
      <w:r>
        <w:rPr>
          <w:rFonts w:ascii="宋体" w:hAnsi="宋体" w:cs="宋体" w:eastAsia="宋体" w:hint="default"/>
        </w:rPr>
        <w:t>(</w:t>
      </w:r>
      <w:r>
        <w:rPr/>
        <w:t>但内部交易损失属于资产减值损失的</w:t>
      </w:r>
      <w:r>
        <w:rPr>
          <w:rFonts w:ascii="宋体" w:hAnsi="宋体" w:cs="宋体" w:eastAsia="宋体" w:hint="default"/>
        </w:rPr>
        <w:t>,</w:t>
      </w:r>
      <w:r>
        <w:rPr/>
        <w:t>应全额确认</w:t>
      </w:r>
      <w:r>
        <w:rPr>
          <w:rFonts w:ascii="宋体" w:hAnsi="宋体" w:cs="宋体" w:eastAsia="宋体" w:hint="default"/>
        </w:rPr>
        <w:t>)</w:t>
      </w:r>
      <w:r>
        <w:rPr/>
        <w:t>，对被投资单位的净利润进行调整后确认。按照被投资</w:t>
      </w:r>
      <w:r>
        <w:rPr>
          <w:spacing w:val="-85"/>
        </w:rPr>
        <w:t> </w:t>
      </w:r>
      <w:r>
        <w:rPr/>
        <w:t>单位宣告分派的利润或现金股利计算应分得的部分</w:t>
      </w:r>
      <w:r>
        <w:rPr>
          <w:rFonts w:ascii="宋体" w:hAnsi="宋体" w:cs="宋体" w:eastAsia="宋体" w:hint="default"/>
        </w:rPr>
        <w:t>,</w:t>
      </w:r>
      <w:r>
        <w:rPr/>
        <w:t>相应减少长期股权投资的账面价值。本公司确认被投资单位发生的净亏</w:t>
      </w:r>
      <w:r>
        <w:rPr>
          <w:spacing w:val="-85"/>
        </w:rPr>
        <w:t> </w:t>
      </w:r>
      <w:r>
        <w:rPr/>
        <w:t>损</w:t>
      </w:r>
      <w:r>
        <w:rPr>
          <w:rFonts w:ascii="宋体" w:hAnsi="宋体" w:cs="宋体" w:eastAsia="宋体" w:hint="default"/>
        </w:rPr>
        <w:t>,</w:t>
      </w:r>
      <w:r>
        <w:rPr/>
        <w:t>以长期股权投资的账面价值以及其他实质上构成对被投资单位净投资的长期权益减记至零为限</w:t>
      </w:r>
      <w:r>
        <w:rPr>
          <w:rFonts w:ascii="宋体" w:hAnsi="宋体" w:cs="宋体" w:eastAsia="宋体" w:hint="default"/>
        </w:rPr>
        <w:t>,</w:t>
      </w:r>
      <w:r>
        <w:rPr/>
        <w:t>本公司负有承担额外损</w:t>
      </w:r>
      <w:r>
        <w:rPr>
          <w:spacing w:val="-81"/>
        </w:rPr>
        <w:t> </w:t>
      </w:r>
      <w:r>
        <w:rPr/>
        <w:t>失义务的除外。对于被投资单位除净损益以外所有者权益的其他变动</w:t>
      </w:r>
      <w:r>
        <w:rPr>
          <w:rFonts w:ascii="宋体" w:hAnsi="宋体" w:cs="宋体" w:eastAsia="宋体" w:hint="default"/>
        </w:rPr>
        <w:t>,</w:t>
      </w:r>
      <w:r>
        <w:rPr/>
        <w:t>调整长期股权投资的账面价值并计入所有者权益。</w:t>
      </w:r>
    </w:p>
    <w:p>
      <w:pPr>
        <w:pStyle w:val="BodyText"/>
        <w:spacing w:line="321" w:lineRule="auto" w:before="5"/>
        <w:ind w:left="501" w:right="1133"/>
        <w:jc w:val="left"/>
      </w:pPr>
      <w:r>
        <w:rPr>
          <w:rFonts w:ascii="宋体" w:hAnsi="宋体" w:cs="宋体" w:eastAsia="宋体" w:hint="default"/>
        </w:rPr>
        <w:t>3.</w:t>
      </w:r>
      <w:r>
        <w:rPr/>
        <w:t>确定对被投资单位具有控制、重大影响的依据 </w:t>
      </w:r>
      <w:r>
        <w:rPr>
          <w:spacing w:val="-2"/>
        </w:rPr>
        <w:t>控制，是指拥有对被投资方的权力，通过参与被投资方的相关活动而享有可变回报，并且有能力运用对被投资方的权力</w:t>
      </w:r>
    </w:p>
    <w:p>
      <w:pPr>
        <w:pStyle w:val="BodyText"/>
        <w:spacing w:line="321" w:lineRule="auto" w:before="18"/>
        <w:ind w:right="1100"/>
        <w:jc w:val="left"/>
      </w:pPr>
      <w:r>
        <w:rPr>
          <w:spacing w:val="-2"/>
        </w:rPr>
        <w:t>影响回报金额；重大影响，是指投资方对被投资单位的财务和经营政策有参与决策的权力，但并不能够控制或者与其他方一</w:t>
      </w:r>
      <w:r>
        <w:rPr>
          <w:spacing w:val="-75"/>
        </w:rPr>
        <w:t> </w:t>
      </w:r>
      <w:r>
        <w:rPr>
          <w:spacing w:val="-75"/>
        </w:rPr>
      </w:r>
      <w:r>
        <w:rPr/>
        <w:t>起共同控制这些政策的制定。</w:t>
      </w:r>
    </w:p>
    <w:p>
      <w:pPr>
        <w:pStyle w:val="BodyText"/>
        <w:spacing w:line="240" w:lineRule="auto" w:before="19"/>
        <w:ind w:left="501" w:right="1100"/>
        <w:jc w:val="left"/>
      </w:pPr>
      <w:r>
        <w:rPr>
          <w:rFonts w:ascii="宋体" w:hAnsi="宋体" w:cs="宋体" w:eastAsia="宋体" w:hint="default"/>
        </w:rPr>
        <w:t>4.</w:t>
      </w:r>
      <w:r>
        <w:rPr/>
        <w:t>长期股权投资的处置</w:t>
      </w:r>
    </w:p>
    <w:p>
      <w:pPr>
        <w:pStyle w:val="BodyText"/>
        <w:spacing w:line="321" w:lineRule="auto" w:before="64"/>
        <w:ind w:left="501" w:right="1133"/>
        <w:jc w:val="left"/>
      </w:pPr>
      <w:r>
        <w:rPr/>
        <w:t>（</w:t>
      </w:r>
      <w:r>
        <w:rPr>
          <w:rFonts w:ascii="宋体" w:hAnsi="宋体" w:cs="宋体" w:eastAsia="宋体" w:hint="default"/>
        </w:rPr>
        <w:t>1</w:t>
      </w:r>
      <w:r>
        <w:rPr/>
        <w:t>）部分处置对子公司的长期股权投资，但不丧失控制权的情形 </w:t>
      </w:r>
      <w:r>
        <w:rPr>
          <w:spacing w:val="-2"/>
        </w:rPr>
        <w:t>部分处置对子公司的长期股权投资，但不丧失控制权时，应当将处置价款与处置投资对应的账面价值的差额确认为当期</w:t>
      </w:r>
    </w:p>
    <w:p>
      <w:pPr>
        <w:pStyle w:val="BodyText"/>
        <w:spacing w:line="240" w:lineRule="auto" w:before="18"/>
        <w:ind w:right="1100"/>
        <w:jc w:val="left"/>
      </w:pPr>
      <w:r>
        <w:rPr/>
        <w:t>投资收益。</w:t>
      </w:r>
    </w:p>
    <w:p>
      <w:pPr>
        <w:pStyle w:val="BodyText"/>
        <w:spacing w:line="321" w:lineRule="auto" w:before="80"/>
        <w:ind w:left="501" w:right="1133"/>
        <w:jc w:val="left"/>
      </w:pPr>
      <w:r>
        <w:rPr/>
        <w:t>（</w:t>
      </w:r>
      <w:r>
        <w:rPr>
          <w:rFonts w:ascii="宋体" w:hAnsi="宋体" w:cs="宋体" w:eastAsia="宋体" w:hint="default"/>
        </w:rPr>
        <w:t>2</w:t>
      </w:r>
      <w:r>
        <w:rPr/>
        <w:t>）部分处置股权投资或其他原因丧失了对子公司控制权的情形 </w:t>
      </w:r>
      <w:r>
        <w:rPr>
          <w:spacing w:val="-2"/>
        </w:rPr>
        <w:t>部分处置股权投资或其他原因丧失了对子公司控制权的，对于处置的股权，应结转与所售股权相对应的长期股权投资的</w:t>
      </w:r>
    </w:p>
    <w:p>
      <w:pPr>
        <w:pStyle w:val="BodyText"/>
        <w:spacing w:line="321" w:lineRule="auto" w:before="4"/>
        <w:ind w:right="1136"/>
        <w:jc w:val="both"/>
      </w:pPr>
      <w:r>
        <w:rPr>
          <w:spacing w:val="-2"/>
        </w:rPr>
        <w:t>账面价值，出售所得价款与处置长期股权投资账面价值之间差额，确认为投资收益（损失）；同时，对于剩余股权，应当按</w:t>
      </w:r>
      <w:r>
        <w:rPr>
          <w:spacing w:val="-73"/>
        </w:rPr>
        <w:t> </w:t>
      </w:r>
      <w:r>
        <w:rPr>
          <w:spacing w:val="-73"/>
        </w:rPr>
      </w:r>
      <w:r>
        <w:rPr>
          <w:spacing w:val="-2"/>
        </w:rPr>
        <w:t>其账面价值确认为长期股权投资或其它相关金融资产。处置后的剩余股权能够对子公司实施共同控制或重大影响的，应按有</w:t>
      </w:r>
      <w:r>
        <w:rPr>
          <w:spacing w:val="-72"/>
        </w:rPr>
        <w:t> </w:t>
      </w:r>
      <w:r>
        <w:rPr>
          <w:spacing w:val="-72"/>
        </w:rPr>
      </w:r>
      <w:r>
        <w:rPr/>
        <w:t>关成本法转为权益法的相关规定进行会计处理。</w:t>
      </w:r>
    </w:p>
    <w:p>
      <w:pPr>
        <w:pStyle w:val="BodyText"/>
        <w:spacing w:line="321" w:lineRule="auto" w:before="18"/>
        <w:ind w:left="501" w:right="1100"/>
        <w:jc w:val="left"/>
      </w:pPr>
      <w:r>
        <w:rPr>
          <w:rFonts w:ascii="宋体" w:hAnsi="宋体" w:cs="宋体" w:eastAsia="宋体" w:hint="default"/>
        </w:rPr>
        <w:t>5.</w:t>
      </w:r>
      <w:r>
        <w:rPr/>
        <w:t>减值测试方法及减值准备计提方法 </w:t>
      </w:r>
      <w:r>
        <w:rPr>
          <w:spacing w:val="-2"/>
        </w:rPr>
        <w:t>对子公司、联营企业及合营企业的投资，在资产负债表日有客观证据表明其发生减值的，按照账面价值与可收回金额的</w:t>
      </w:r>
    </w:p>
    <w:p>
      <w:pPr>
        <w:pStyle w:val="BodyText"/>
        <w:spacing w:line="240" w:lineRule="auto" w:before="4"/>
        <w:ind w:right="1100"/>
        <w:jc w:val="left"/>
      </w:pPr>
      <w:r>
        <w:rPr/>
        <w:t>差额计提相应的减值准备。</w:t>
      </w:r>
    </w:p>
    <w:p>
      <w:pPr>
        <w:spacing w:line="240" w:lineRule="auto" w:before="0"/>
        <w:rPr>
          <w:rFonts w:ascii="宋体" w:hAnsi="宋体" w:cs="宋体" w:eastAsia="宋体" w:hint="default"/>
          <w:sz w:val="18"/>
          <w:szCs w:val="18"/>
        </w:rPr>
      </w:pPr>
    </w:p>
    <w:p>
      <w:pPr>
        <w:pStyle w:val="Heading4"/>
        <w:spacing w:line="240" w:lineRule="auto" w:before="139"/>
        <w:ind w:right="1100"/>
        <w:jc w:val="left"/>
        <w:rPr>
          <w:b w:val="0"/>
          <w:bCs w:val="0"/>
        </w:rPr>
      </w:pPr>
      <w:bookmarkStart w:name="17、固定资产" w:id="188"/>
      <w:bookmarkEnd w:id="188"/>
      <w:r>
        <w:rPr>
          <w:b w:val="0"/>
          <w:bCs w:val="0"/>
        </w:rPr>
      </w:r>
      <w:r>
        <w:rPr>
          <w:rFonts w:ascii="Times New Roman" w:hAnsi="Times New Roman" w:cs="Times New Roman" w:eastAsia="Times New Roman" w:hint="default"/>
        </w:rPr>
        <w:t>17</w:t>
      </w:r>
      <w:r>
        <w:rPr/>
        <w:t>、固定资产</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1100"/>
        <w:jc w:val="left"/>
        <w:rPr>
          <w:b w:val="0"/>
          <w:bCs w:val="0"/>
        </w:rPr>
      </w:pPr>
      <w:bookmarkStart w:name="（1）确认条件" w:id="189"/>
      <w:bookmarkEnd w:id="189"/>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3"/>
        <w:rPr>
          <w:rFonts w:ascii="宋体" w:hAnsi="宋体" w:cs="宋体" w:eastAsia="宋体" w:hint="default"/>
          <w:b/>
          <w:bCs/>
          <w:sz w:val="25"/>
          <w:szCs w:val="25"/>
        </w:rPr>
      </w:pPr>
    </w:p>
    <w:p>
      <w:pPr>
        <w:pStyle w:val="BodyText"/>
        <w:spacing w:line="321" w:lineRule="auto"/>
        <w:ind w:right="1100"/>
        <w:jc w:val="left"/>
      </w:pPr>
      <w:r>
        <w:rPr>
          <w:spacing w:val="-2"/>
        </w:rPr>
        <w:t>固定资产是指为生产商品、提供劳务、出租或经营管理而持有的，使用年限超过一个会计年度的有形资产。固定资产以取得</w:t>
      </w:r>
      <w:r>
        <w:rPr>
          <w:spacing w:val="-42"/>
        </w:rPr>
        <w:t> </w:t>
      </w:r>
      <w:r>
        <w:rPr>
          <w:spacing w:val="-42"/>
        </w:rPr>
      </w:r>
      <w:r>
        <w:rPr/>
        <w:t>时的实际成本入账，并从其达到预定可使用状态的次月起采用年限平均法计提折旧。</w:t>
      </w:r>
    </w:p>
    <w:p>
      <w:pPr>
        <w:spacing w:line="240" w:lineRule="auto" w:before="13"/>
        <w:rPr>
          <w:rFonts w:ascii="宋体" w:hAnsi="宋体" w:cs="宋体" w:eastAsia="宋体" w:hint="default"/>
          <w:sz w:val="23"/>
          <w:szCs w:val="23"/>
        </w:rPr>
      </w:pPr>
    </w:p>
    <w:p>
      <w:pPr>
        <w:pStyle w:val="Heading4"/>
        <w:spacing w:line="240" w:lineRule="auto"/>
        <w:ind w:right="1100"/>
        <w:jc w:val="left"/>
        <w:rPr>
          <w:b w:val="0"/>
          <w:bCs w:val="0"/>
        </w:rPr>
      </w:pPr>
      <w:bookmarkStart w:name="（2）折旧方法" w:id="190"/>
      <w:bookmarkEnd w:id="190"/>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
        <w:rPr>
          <w:rFonts w:ascii="宋体" w:hAnsi="宋体" w:cs="宋体" w:eastAsia="宋体" w:hint="default"/>
          <w:b/>
          <w:bCs/>
          <w:sz w:val="24"/>
          <w:szCs w:val="24"/>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类别</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5"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20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4.00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4.80</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生产工具</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4.00-5.00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19.00-19.20</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3-5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3.00-5.00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19.00-32.33</w:t>
            </w:r>
          </w:p>
        </w:tc>
      </w:tr>
      <w:tr>
        <w:trPr>
          <w:trHeight w:val="39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4</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4" w:right="0"/>
              <w:jc w:val="left"/>
              <w:rPr>
                <w:rFonts w:ascii="Times New Roman" w:hAnsi="Times New Roman" w:cs="Times New Roman" w:eastAsia="Times New Roman" w:hint="default"/>
                <w:sz w:val="18"/>
                <w:szCs w:val="18"/>
              </w:rPr>
            </w:pPr>
            <w:r>
              <w:rPr>
                <w:rFonts w:ascii="Times New Roman"/>
                <w:sz w:val="18"/>
              </w:rPr>
              <w:t>5.00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23.75</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3.00-5.00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19.00-19.40</w:t>
            </w:r>
          </w:p>
        </w:tc>
      </w:tr>
    </w:tbl>
    <w:p>
      <w:pPr>
        <w:spacing w:after="0" w:line="240" w:lineRule="auto"/>
        <w:jc w:val="lef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b/>
          <w:bCs/>
          <w:sz w:val="26"/>
          <w:szCs w:val="26"/>
        </w:rPr>
      </w:pPr>
    </w:p>
    <w:p>
      <w:pPr>
        <w:pStyle w:val="Heading4"/>
        <w:spacing w:line="240" w:lineRule="auto" w:before="35"/>
        <w:ind w:right="0"/>
        <w:jc w:val="both"/>
        <w:rPr>
          <w:b w:val="0"/>
          <w:bCs w:val="0"/>
        </w:rPr>
      </w:pPr>
      <w:bookmarkStart w:name="（3）融资租入固定资产的认定依据、计价和折旧方法" w:id="191"/>
      <w:bookmarkEnd w:id="191"/>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5"/>
        <w:rPr>
          <w:rFonts w:ascii="宋体" w:hAnsi="宋体" w:cs="宋体" w:eastAsia="宋体" w:hint="default"/>
          <w:b/>
          <w:bCs/>
          <w:sz w:val="26"/>
          <w:szCs w:val="26"/>
        </w:rPr>
      </w:pPr>
    </w:p>
    <w:p>
      <w:pPr>
        <w:pStyle w:val="BodyText"/>
        <w:spacing w:line="302" w:lineRule="auto"/>
        <w:ind w:right="1109"/>
        <w:jc w:val="both"/>
      </w:pPr>
      <w:r>
        <w:rPr>
          <w:spacing w:val="-5"/>
        </w:rPr>
        <w:t>符合下列一项或数项标准的，认定为融资租赁：（</w:t>
      </w:r>
      <w:r>
        <w:rPr>
          <w:rFonts w:ascii="Times New Roman" w:hAnsi="Times New Roman" w:cs="Times New Roman" w:eastAsia="Times New Roman" w:hint="default"/>
          <w:spacing w:val="-5"/>
        </w:rPr>
        <w:t>1</w:t>
      </w:r>
      <w:r>
        <w:rPr>
          <w:spacing w:val="-5"/>
        </w:rPr>
        <w:t>）</w:t>
      </w:r>
      <w:r>
        <w:rPr>
          <w:spacing w:val="-7"/>
        </w:rPr>
        <w:t> </w:t>
      </w:r>
      <w:r>
        <w:rPr>
          <w:spacing w:val="-5"/>
        </w:rPr>
        <w:t>在租赁期届满时，租赁资产的所有权转移给承租人；（</w:t>
      </w:r>
      <w:r>
        <w:rPr>
          <w:rFonts w:ascii="Times New Roman" w:hAnsi="Times New Roman" w:cs="Times New Roman" w:eastAsia="Times New Roman" w:hint="default"/>
          <w:spacing w:val="-5"/>
        </w:rPr>
        <w:t>2</w:t>
      </w:r>
      <w:r>
        <w:rPr>
          <w:spacing w:val="-5"/>
        </w:rPr>
        <w:t>）</w:t>
      </w:r>
      <w:r>
        <w:rPr>
          <w:spacing w:val="-7"/>
        </w:rPr>
        <w:t> </w:t>
      </w:r>
      <w:r>
        <w:rPr/>
        <w:t>承租人有购</w:t>
      </w:r>
      <w:r>
        <w:rPr>
          <w:spacing w:val="-88"/>
        </w:rPr>
        <w:t> </w:t>
      </w:r>
      <w:r>
        <w:rPr>
          <w:spacing w:val="-88"/>
        </w:rPr>
      </w:r>
      <w:r>
        <w:rPr>
          <w:spacing w:val="-2"/>
        </w:rPr>
        <w:t>买租赁资产的选择权，所订立的购买价款预计将远低于行使选择权时租赁资产的公允价值，因而在租赁开始日就可以合理确</w:t>
      </w:r>
      <w:r>
        <w:rPr>
          <w:spacing w:val="-72"/>
        </w:rPr>
        <w:t> </w:t>
      </w:r>
      <w:r>
        <w:rPr>
          <w:spacing w:val="-72"/>
        </w:rPr>
      </w:r>
      <w:r>
        <w:rPr>
          <w:spacing w:val="-6"/>
        </w:rPr>
        <w:t>定承租人将会行使这种选择权；（</w:t>
      </w:r>
      <w:r>
        <w:rPr>
          <w:rFonts w:ascii="Times New Roman" w:hAnsi="Times New Roman" w:cs="Times New Roman" w:eastAsia="Times New Roman" w:hint="default"/>
          <w:spacing w:val="-6"/>
        </w:rPr>
        <w:t>3</w:t>
      </w:r>
      <w:r>
        <w:rPr>
          <w:spacing w:val="-6"/>
        </w:rPr>
        <w:t>）</w:t>
      </w:r>
      <w:r>
        <w:rPr/>
        <w:t> </w:t>
      </w:r>
      <w:r>
        <w:rPr>
          <w:spacing w:val="-1"/>
        </w:rPr>
        <w:t>即使资产的所有权不转移，但租赁期占租赁资产使用寿命的大部分</w:t>
      </w:r>
      <w:r>
        <w:rPr/>
        <w:t> </w:t>
      </w:r>
      <w:r>
        <w:rPr>
          <w:rFonts w:ascii="Times New Roman" w:hAnsi="Times New Roman" w:cs="Times New Roman" w:eastAsia="Times New Roman" w:hint="default"/>
        </w:rPr>
        <w:t>[</w:t>
      </w:r>
      <w:r>
        <w:rPr>
          <w:rFonts w:ascii="Times New Roman" w:hAnsi="Times New Roman" w:cs="Times New Roman" w:eastAsia="Times New Roman" w:hint="default"/>
          <w:spacing w:val="4"/>
        </w:rPr>
        <w:t> </w:t>
      </w:r>
      <w:r>
        <w:rPr/>
        <w:t>通常占租赁资产 使用寿命的</w:t>
      </w:r>
      <w:r>
        <w:rPr>
          <w:spacing w:val="-37"/>
        </w:rPr>
        <w:t> </w:t>
      </w:r>
      <w:r>
        <w:rPr>
          <w:rFonts w:ascii="Times New Roman" w:hAnsi="Times New Roman" w:cs="Times New Roman" w:eastAsia="Times New Roman" w:hint="default"/>
          <w:spacing w:val="-3"/>
        </w:rPr>
        <w:t>75%</w:t>
      </w:r>
      <w:r>
        <w:rPr>
          <w:spacing w:val="-3"/>
        </w:rPr>
        <w:t>以上（含</w:t>
      </w:r>
      <w:r>
        <w:rPr>
          <w:spacing w:val="-37"/>
        </w:rPr>
        <w:t> </w:t>
      </w:r>
      <w:r>
        <w:rPr>
          <w:rFonts w:ascii="Times New Roman" w:hAnsi="Times New Roman" w:cs="Times New Roman" w:eastAsia="Times New Roman" w:hint="default"/>
          <w:spacing w:val="-14"/>
        </w:rPr>
        <w:t>75%</w:t>
      </w:r>
      <w:r>
        <w:rPr>
          <w:spacing w:val="-14"/>
        </w:rPr>
        <w:t>）</w:t>
      </w:r>
      <w:r>
        <w:rPr>
          <w:rFonts w:ascii="Times New Roman" w:hAnsi="Times New Roman" w:cs="Times New Roman" w:eastAsia="Times New Roman" w:hint="default"/>
          <w:spacing w:val="-14"/>
        </w:rPr>
        <w:t>]</w:t>
      </w:r>
      <w:r>
        <w:rPr>
          <w:spacing w:val="-14"/>
        </w:rPr>
        <w:t>；（</w:t>
      </w:r>
      <w:r>
        <w:rPr>
          <w:rFonts w:ascii="Times New Roman" w:hAnsi="Times New Roman" w:cs="Times New Roman" w:eastAsia="Times New Roman" w:hint="default"/>
          <w:spacing w:val="-14"/>
        </w:rPr>
        <w:t>4</w:t>
      </w:r>
      <w:r>
        <w:rPr>
          <w:spacing w:val="-14"/>
        </w:rPr>
        <w:t>）</w:t>
      </w:r>
      <w:r>
        <w:rPr>
          <w:spacing w:val="-2"/>
        </w:rPr>
        <w:t> </w:t>
      </w:r>
      <w:r>
        <w:rPr>
          <w:spacing w:val="-1"/>
        </w:rPr>
        <w:t>承租人在租赁开始日的最低租赁付款额现值，几乎相当于租赁开始日租赁资产公允</w:t>
      </w:r>
      <w:r>
        <w:rPr>
          <w:spacing w:val="-88"/>
        </w:rPr>
        <w:t> </w:t>
      </w:r>
      <w:r>
        <w:rPr>
          <w:spacing w:val="-88"/>
        </w:rPr>
      </w:r>
      <w:r>
        <w:rPr/>
        <w:t>价值 </w:t>
      </w:r>
      <w:r>
        <w:rPr>
          <w:rFonts w:ascii="Times New Roman" w:hAnsi="Times New Roman" w:cs="Times New Roman" w:eastAsia="Times New Roman" w:hint="default"/>
        </w:rPr>
        <w:t>[ </w:t>
      </w:r>
      <w:r>
        <w:rPr>
          <w:rFonts w:ascii="Times New Roman" w:hAnsi="Times New Roman" w:cs="Times New Roman" w:eastAsia="Times New Roman" w:hint="default"/>
          <w:spacing w:val="-5"/>
        </w:rPr>
        <w:t>90%</w:t>
      </w:r>
      <w:r>
        <w:rPr>
          <w:spacing w:val="-5"/>
        </w:rPr>
        <w:t>以上（含 </w:t>
      </w:r>
      <w:r>
        <w:rPr>
          <w:rFonts w:ascii="Times New Roman" w:hAnsi="Times New Roman" w:cs="Times New Roman" w:eastAsia="Times New Roman" w:hint="default"/>
          <w:spacing w:val="-3"/>
        </w:rPr>
        <w:t>90%</w:t>
      </w:r>
      <w:r>
        <w:rPr>
          <w:spacing w:val="-3"/>
        </w:rPr>
        <w:t>）</w:t>
      </w:r>
      <w:r>
        <w:rPr>
          <w:rFonts w:ascii="Times New Roman" w:hAnsi="Times New Roman" w:cs="Times New Roman" w:eastAsia="Times New Roman" w:hint="default"/>
          <w:spacing w:val="-3"/>
        </w:rPr>
        <w:t>]</w:t>
      </w:r>
      <w:r>
        <w:rPr>
          <w:spacing w:val="-3"/>
        </w:rPr>
        <w:t>；出租人在租赁开始日的最低租赁收款额现值，几乎相当于租赁开始日租赁资产公允价值 </w:t>
      </w:r>
      <w:r>
        <w:rPr>
          <w:rFonts w:ascii="Times New Roman" w:hAnsi="Times New Roman" w:cs="Times New Roman" w:eastAsia="Times New Roman" w:hint="default"/>
        </w:rPr>
        <w:t>[</w:t>
      </w:r>
      <w:r>
        <w:rPr>
          <w:rFonts w:ascii="Times New Roman" w:hAnsi="Times New Roman" w:cs="Times New Roman" w:eastAsia="Times New Roman" w:hint="default"/>
          <w:spacing w:val="15"/>
        </w:rPr>
        <w:t> </w:t>
      </w:r>
      <w:r>
        <w:rPr>
          <w:rFonts w:ascii="Times New Roman" w:hAnsi="Times New Roman" w:cs="Times New Roman" w:eastAsia="Times New Roman" w:hint="default"/>
        </w:rPr>
        <w:t>90% </w:t>
      </w:r>
      <w:r>
        <w:rPr/>
        <w:t>以上（含</w:t>
      </w:r>
      <w:r>
        <w:rPr>
          <w:spacing w:val="-37"/>
        </w:rPr>
        <w:t> </w:t>
      </w:r>
      <w:r>
        <w:rPr>
          <w:rFonts w:ascii="Times New Roman" w:hAnsi="Times New Roman" w:cs="Times New Roman" w:eastAsia="Times New Roman" w:hint="default"/>
          <w:spacing w:val="-2"/>
        </w:rPr>
        <w:t>90%</w:t>
      </w:r>
      <w:r>
        <w:rPr>
          <w:spacing w:val="-2"/>
        </w:rPr>
        <w:t>）</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5</w:t>
      </w:r>
      <w:r>
        <w:rPr>
          <w:spacing w:val="-2"/>
        </w:rPr>
        <w:t>）租赁资产性质特殊，如果不作较大改造，只有承租人才能使用。融资租入的固定资产，按租赁开始</w:t>
      </w:r>
      <w:r>
        <w:rPr>
          <w:spacing w:val="-84"/>
        </w:rPr>
        <w:t> </w:t>
      </w:r>
      <w:r>
        <w:rPr/>
        <w:t>日租赁资产的公允价值与最低租赁付款额的现值中较低者入账，按自有固定资产的折旧政策计提折旧。</w:t>
      </w:r>
    </w:p>
    <w:p>
      <w:pPr>
        <w:spacing w:line="240" w:lineRule="auto" w:before="1"/>
        <w:rPr>
          <w:rFonts w:ascii="宋体" w:hAnsi="宋体" w:cs="宋体" w:eastAsia="宋体" w:hint="default"/>
          <w:sz w:val="25"/>
          <w:szCs w:val="25"/>
        </w:rPr>
      </w:pPr>
    </w:p>
    <w:p>
      <w:pPr>
        <w:pStyle w:val="Heading4"/>
        <w:spacing w:line="240" w:lineRule="auto"/>
        <w:ind w:right="0"/>
        <w:jc w:val="both"/>
        <w:rPr>
          <w:b w:val="0"/>
          <w:bCs w:val="0"/>
        </w:rPr>
      </w:pPr>
      <w:bookmarkStart w:name="18、在建工程" w:id="192"/>
      <w:bookmarkEnd w:id="192"/>
      <w:r>
        <w:rPr>
          <w:b w:val="0"/>
          <w:bCs w:val="0"/>
        </w:rPr>
      </w:r>
      <w:r>
        <w:rPr>
          <w:rFonts w:ascii="Times New Roman" w:hAnsi="Times New Roman" w:cs="Times New Roman" w:eastAsia="Times New Roman" w:hint="default"/>
        </w:rPr>
        <w:t>18</w:t>
      </w:r>
      <w:r>
        <w:rPr/>
        <w:t>、在建工程</w:t>
      </w:r>
      <w:r>
        <w:rPr>
          <w:b w:val="0"/>
          <w:bCs w:val="0"/>
        </w:rPr>
      </w:r>
    </w:p>
    <w:p>
      <w:pPr>
        <w:spacing w:line="240" w:lineRule="auto" w:before="3"/>
        <w:rPr>
          <w:rFonts w:ascii="宋体" w:hAnsi="宋体" w:cs="宋体" w:eastAsia="宋体" w:hint="default"/>
          <w:b/>
          <w:bCs/>
          <w:sz w:val="25"/>
          <w:szCs w:val="25"/>
        </w:rPr>
      </w:pPr>
    </w:p>
    <w:p>
      <w:pPr>
        <w:pStyle w:val="BodyText"/>
        <w:spacing w:line="304" w:lineRule="auto"/>
        <w:ind w:right="1194" w:firstLine="420"/>
        <w:jc w:val="left"/>
      </w:pPr>
      <w:r>
        <w:rPr>
          <w:rFonts w:ascii="Times New Roman" w:hAnsi="Times New Roman" w:cs="Times New Roman" w:eastAsia="Times New Roman" w:hint="default"/>
        </w:rPr>
        <w:t>1.</w:t>
      </w:r>
      <w:r>
        <w:rPr/>
        <w:t>在建工程达到预定可使用状态时，按工程实际成本转入固定资产。已达到预定可使用状态但尚未办理竣工决算的， 先按估计价值转入固定资产，待办理竣工决算后再按实际成本调整原暂估价值，但不再调整原已计提的折旧。</w:t>
      </w:r>
    </w:p>
    <w:p>
      <w:pPr>
        <w:spacing w:line="240" w:lineRule="auto" w:before="0"/>
        <w:rPr>
          <w:rFonts w:ascii="宋体" w:hAnsi="宋体" w:cs="宋体" w:eastAsia="宋体" w:hint="default"/>
          <w:sz w:val="15"/>
          <w:szCs w:val="15"/>
        </w:rPr>
      </w:pPr>
    </w:p>
    <w:p>
      <w:pPr>
        <w:pStyle w:val="BodyText"/>
        <w:spacing w:line="240" w:lineRule="auto"/>
        <w:ind w:left="561" w:right="1100"/>
        <w:jc w:val="left"/>
      </w:pPr>
      <w:r>
        <w:rPr>
          <w:rFonts w:ascii="Times New Roman" w:hAnsi="Times New Roman" w:cs="Times New Roman" w:eastAsia="Times New Roman" w:hint="default"/>
        </w:rPr>
        <w:t>2.</w:t>
      </w:r>
      <w:r>
        <w:rPr/>
        <w:t>资产负债表日，有迹象表明在建工程发生减值的，按照账面价值与可收回金额的差额计提相应的减值准备。</w:t>
      </w:r>
    </w:p>
    <w:p>
      <w:pPr>
        <w:spacing w:line="240" w:lineRule="auto" w:before="6"/>
        <w:rPr>
          <w:rFonts w:ascii="宋体" w:hAnsi="宋体" w:cs="宋体" w:eastAsia="宋体" w:hint="default"/>
          <w:sz w:val="26"/>
          <w:szCs w:val="26"/>
        </w:rPr>
      </w:pPr>
    </w:p>
    <w:p>
      <w:pPr>
        <w:pStyle w:val="Heading4"/>
        <w:spacing w:line="240" w:lineRule="auto"/>
        <w:ind w:right="0"/>
        <w:jc w:val="both"/>
        <w:rPr>
          <w:b w:val="0"/>
          <w:bCs w:val="0"/>
        </w:rPr>
      </w:pPr>
      <w:bookmarkStart w:name="19、无形资产" w:id="193"/>
      <w:bookmarkEnd w:id="193"/>
      <w:r>
        <w:rPr>
          <w:b w:val="0"/>
          <w:bCs w:val="0"/>
        </w:rPr>
      </w:r>
      <w:r>
        <w:rPr>
          <w:rFonts w:ascii="Times New Roman" w:hAnsi="Times New Roman" w:cs="Times New Roman" w:eastAsia="Times New Roman" w:hint="default"/>
        </w:rPr>
        <w:t>19</w:t>
      </w:r>
      <w:r>
        <w:rPr/>
        <w:t>、无形资产</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0"/>
        <w:jc w:val="both"/>
        <w:rPr>
          <w:b w:val="0"/>
          <w:bCs w:val="0"/>
        </w:rPr>
      </w:pPr>
      <w:bookmarkStart w:name="（1）计价方法、使用寿命、减值测试" w:id="194"/>
      <w:bookmarkEnd w:id="194"/>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6"/>
        <w:rPr>
          <w:rFonts w:ascii="宋体" w:hAnsi="宋体" w:cs="宋体" w:eastAsia="宋体" w:hint="default"/>
          <w:b/>
          <w:bCs/>
          <w:sz w:val="27"/>
          <w:szCs w:val="27"/>
        </w:rPr>
      </w:pPr>
    </w:p>
    <w:p>
      <w:pPr>
        <w:pStyle w:val="BodyText"/>
        <w:spacing w:line="240" w:lineRule="auto"/>
        <w:ind w:left="561" w:right="1100"/>
        <w:jc w:val="left"/>
      </w:pPr>
      <w:r>
        <w:rPr>
          <w:rFonts w:ascii="Times New Roman" w:hAnsi="Times New Roman" w:cs="Times New Roman" w:eastAsia="Times New Roman" w:hint="default"/>
        </w:rPr>
        <w:t>1.</w:t>
      </w:r>
      <w:r>
        <w:rPr/>
        <w:t>无形资产包括软件、专利权及非专利技术等，按成本进行初始计量。</w:t>
      </w:r>
    </w:p>
    <w:p>
      <w:pPr>
        <w:spacing w:line="240" w:lineRule="auto" w:before="5"/>
        <w:rPr>
          <w:rFonts w:ascii="宋体" w:hAnsi="宋体" w:cs="宋体" w:eastAsia="宋体" w:hint="default"/>
          <w:sz w:val="15"/>
          <w:szCs w:val="15"/>
        </w:rPr>
      </w:pPr>
    </w:p>
    <w:p>
      <w:pPr>
        <w:pStyle w:val="BodyText"/>
        <w:spacing w:line="302" w:lineRule="auto"/>
        <w:ind w:right="1194" w:firstLine="420"/>
        <w:jc w:val="left"/>
      </w:pPr>
      <w:r>
        <w:rPr>
          <w:rFonts w:ascii="Times New Roman" w:hAnsi="Times New Roman" w:cs="Times New Roman" w:eastAsia="Times New Roman" w:hint="default"/>
        </w:rPr>
        <w:t>2.</w:t>
      </w:r>
      <w:r>
        <w:rPr/>
        <w:t>使用寿命有限的无形资产，在使用寿命内按照与该项无形资产有关的经济利益的预期实现方式系统合理地摊销，无 法可靠确定预期实现方式的，采用直线法摊销。</w:t>
      </w:r>
    </w:p>
    <w:p>
      <w:pPr>
        <w:spacing w:line="240" w:lineRule="auto" w:before="0"/>
        <w:rPr>
          <w:rFonts w:ascii="宋体" w:hAnsi="宋体" w:cs="宋体" w:eastAsia="宋体" w:hint="default"/>
          <w:sz w:val="14"/>
          <w:szCs w:val="14"/>
        </w:rPr>
      </w:pPr>
    </w:p>
    <w:p>
      <w:pPr>
        <w:pStyle w:val="BodyText"/>
        <w:spacing w:line="240" w:lineRule="auto"/>
        <w:ind w:left="561" w:right="1100"/>
        <w:jc w:val="left"/>
      </w:pPr>
      <w:r>
        <w:rPr/>
        <w:t>使用寿命不确定的无形资产不摊销，本公司在每个会计期间均对该无形资产的使用寿命进行复核。</w:t>
      </w:r>
    </w:p>
    <w:p>
      <w:pPr>
        <w:spacing w:line="240" w:lineRule="auto" w:before="7"/>
        <w:rPr>
          <w:rFonts w:ascii="宋体" w:hAnsi="宋体" w:cs="宋体" w:eastAsia="宋体" w:hint="default"/>
          <w:sz w:val="17"/>
          <w:szCs w:val="17"/>
        </w:rPr>
      </w:pPr>
    </w:p>
    <w:p>
      <w:pPr>
        <w:pStyle w:val="BodyText"/>
        <w:spacing w:line="304" w:lineRule="auto"/>
        <w:ind w:right="1029" w:firstLine="420"/>
        <w:jc w:val="left"/>
      </w:pPr>
      <w:r>
        <w:rPr>
          <w:rFonts w:ascii="Times New Roman" w:hAnsi="Times New Roman" w:cs="Times New Roman" w:eastAsia="Times New Roman" w:hint="default"/>
        </w:rPr>
        <w:t>3.</w:t>
      </w:r>
      <w:r>
        <w:rPr/>
        <w:t>使用寿命确定的无形资产，在资产负债表日有迹象表明发生减值的，按照账面价值与可收回金额的差额计提相应的 减值准备；使用寿命不确定的无形资产和尚未达到可使用状态的无形资产，无论是否存在减值迹象，每年均进行减值测试。</w:t>
      </w:r>
    </w:p>
    <w:p>
      <w:pPr>
        <w:spacing w:line="240" w:lineRule="auto" w:before="10"/>
        <w:rPr>
          <w:rFonts w:ascii="宋体" w:hAnsi="宋体" w:cs="宋体" w:eastAsia="宋体" w:hint="default"/>
          <w:sz w:val="23"/>
          <w:szCs w:val="23"/>
        </w:rPr>
      </w:pPr>
    </w:p>
    <w:p>
      <w:pPr>
        <w:pStyle w:val="Heading4"/>
        <w:spacing w:line="240" w:lineRule="auto"/>
        <w:ind w:right="0"/>
        <w:jc w:val="both"/>
        <w:rPr>
          <w:b w:val="0"/>
          <w:bCs w:val="0"/>
        </w:rPr>
      </w:pPr>
      <w:bookmarkStart w:name="（2）内部研究开发支出会计政策" w:id="195"/>
      <w:bookmarkEnd w:id="195"/>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3"/>
        <w:rPr>
          <w:rFonts w:ascii="宋体" w:hAnsi="宋体" w:cs="宋体" w:eastAsia="宋体" w:hint="default"/>
          <w:b/>
          <w:bCs/>
          <w:sz w:val="25"/>
          <w:szCs w:val="25"/>
        </w:rPr>
      </w:pPr>
    </w:p>
    <w:p>
      <w:pPr>
        <w:pStyle w:val="BodyText"/>
        <w:spacing w:line="312" w:lineRule="auto"/>
        <w:ind w:right="1041" w:firstLine="420"/>
        <w:jc w:val="both"/>
      </w:pPr>
      <w:r>
        <w:rPr/>
        <w:t>内部研究开发项目研究阶段的支出，于发生时计入当期损益。内部研究开发项目开发阶段的支出，同时满足下列条件 </w:t>
      </w:r>
      <w:r>
        <w:rPr>
          <w:spacing w:val="-5"/>
        </w:rPr>
        <w:t>的，确认为无形资产：（</w:t>
      </w:r>
      <w:r>
        <w:rPr>
          <w:rFonts w:ascii="Times New Roman" w:hAnsi="Times New Roman" w:cs="Times New Roman" w:eastAsia="Times New Roman" w:hint="default"/>
          <w:spacing w:val="-5"/>
        </w:rPr>
        <w:t>1</w:t>
      </w:r>
      <w:r>
        <w:rPr>
          <w:spacing w:val="-5"/>
        </w:rPr>
        <w:t>）完成该无形资产以使其能够使用或出售在技术上具有可行性；（</w:t>
      </w:r>
      <w:r>
        <w:rPr>
          <w:rFonts w:ascii="Times New Roman" w:hAnsi="Times New Roman" w:cs="Times New Roman" w:eastAsia="Times New Roman" w:hint="default"/>
          <w:spacing w:val="-5"/>
        </w:rPr>
        <w:t>2</w:t>
      </w:r>
      <w:r>
        <w:rPr>
          <w:spacing w:val="-5"/>
        </w:rPr>
        <w:t>）具有完成该无形资产并使用或</w:t>
      </w:r>
      <w:r>
        <w:rPr>
          <w:spacing w:val="-58"/>
        </w:rPr>
        <w:t> </w:t>
      </w:r>
      <w:r>
        <w:rPr>
          <w:spacing w:val="-58"/>
        </w:rPr>
      </w:r>
      <w:r>
        <w:rPr>
          <w:spacing w:val="-4"/>
        </w:rPr>
        <w:t>出售的意图；（</w:t>
      </w:r>
      <w:r>
        <w:rPr>
          <w:rFonts w:ascii="Times New Roman" w:hAnsi="Times New Roman" w:cs="Times New Roman" w:eastAsia="Times New Roman" w:hint="default"/>
          <w:spacing w:val="-4"/>
        </w:rPr>
        <w:t>3</w:t>
      </w:r>
      <w:r>
        <w:rPr>
          <w:spacing w:val="-4"/>
        </w:rPr>
        <w:t>）无形资产产生经济利益的方式，包括能够证明运用该无形资产生产的产品存在市场或无形资产自身存在市</w:t>
      </w:r>
    </w:p>
    <w:p>
      <w:pPr>
        <w:pStyle w:val="BodyText"/>
        <w:spacing w:line="319" w:lineRule="auto" w:before="6"/>
        <w:ind w:right="1030"/>
        <w:jc w:val="left"/>
      </w:pPr>
      <w:r>
        <w:rPr/>
        <w:t>场</w:t>
      </w:r>
      <w:r>
        <w:rPr>
          <w:spacing w:val="-31"/>
        </w:rPr>
        <w:t>，</w:t>
      </w:r>
      <w:r>
        <w:rPr/>
        <w:t>无形资产将在内部使用的</w:t>
      </w:r>
      <w:r>
        <w:rPr>
          <w:spacing w:val="-31"/>
        </w:rPr>
        <w:t>，</w:t>
      </w:r>
      <w:r>
        <w:rPr/>
        <w:t>能证明其有用性</w:t>
      </w:r>
      <w:r>
        <w:rPr>
          <w:spacing w:val="-121"/>
        </w:rPr>
        <w:t>；</w:t>
      </w:r>
      <w:r>
        <w:rPr>
          <w:spacing w:val="5"/>
        </w:rPr>
        <w:t>（</w:t>
      </w:r>
      <w:r>
        <w:rPr>
          <w:rFonts w:ascii="Times New Roman" w:hAnsi="Times New Roman" w:cs="Times New Roman" w:eastAsia="Times New Roman" w:hint="default"/>
        </w:rPr>
        <w:t>4</w:t>
      </w:r>
      <w:r>
        <w:rPr>
          <w:spacing w:val="-31"/>
        </w:rPr>
        <w:t>）</w:t>
      </w:r>
      <w:r>
        <w:rPr/>
        <w:t>有足够的技术</w:t>
      </w:r>
      <w:r>
        <w:rPr>
          <w:spacing w:val="-31"/>
        </w:rPr>
        <w:t>、</w:t>
      </w:r>
      <w:r>
        <w:rPr/>
        <w:t>财务资源和其他资源支持</w:t>
      </w:r>
      <w:r>
        <w:rPr>
          <w:spacing w:val="-31"/>
        </w:rPr>
        <w:t>，</w:t>
      </w:r>
      <w:r>
        <w:rPr/>
        <w:t>以完成该无形资产的开发，</w:t>
      </w:r>
      <w:r>
        <w:rPr/>
        <w:t> 并有能力使用或出售该无形资产</w:t>
      </w:r>
      <w:r>
        <w:rPr>
          <w:spacing w:val="-90"/>
        </w:rPr>
        <w:t>；</w:t>
      </w:r>
      <w:r>
        <w:rPr>
          <w:spacing w:val="3"/>
        </w:rPr>
        <w:t>（</w:t>
      </w:r>
      <w:r>
        <w:rPr>
          <w:rFonts w:ascii="Times New Roman" w:hAnsi="Times New Roman" w:cs="Times New Roman" w:eastAsia="Times New Roman" w:hint="default"/>
        </w:rPr>
        <w:t>5</w:t>
      </w:r>
      <w:r>
        <w:rPr/>
        <w:t>）归属于该无形资产开发阶段的支出能够可靠地计量。</w:t>
      </w:r>
    </w:p>
    <w:p>
      <w:pPr>
        <w:pStyle w:val="BodyText"/>
        <w:spacing w:line="240" w:lineRule="auto" w:before="135"/>
        <w:ind w:left="561" w:right="1100"/>
        <w:jc w:val="left"/>
      </w:pPr>
      <w:r>
        <w:rPr/>
        <w:t>无法区分研究阶段支出和开发阶段支出的，将发生的研发支出全部计入当期损益。</w:t>
      </w:r>
    </w:p>
    <w:p>
      <w:pPr>
        <w:spacing w:line="240" w:lineRule="auto" w:before="0"/>
        <w:rPr>
          <w:rFonts w:ascii="宋体" w:hAnsi="宋体" w:cs="宋体" w:eastAsia="宋体" w:hint="default"/>
          <w:sz w:val="18"/>
          <w:szCs w:val="18"/>
        </w:rPr>
      </w:pPr>
    </w:p>
    <w:p>
      <w:pPr>
        <w:pStyle w:val="Heading4"/>
        <w:spacing w:line="240" w:lineRule="auto" w:before="124"/>
        <w:ind w:right="0"/>
        <w:jc w:val="both"/>
        <w:rPr>
          <w:b w:val="0"/>
          <w:bCs w:val="0"/>
        </w:rPr>
      </w:pPr>
      <w:bookmarkStart w:name="20、长期资产减值" w:id="196"/>
      <w:bookmarkEnd w:id="196"/>
      <w:r>
        <w:rPr>
          <w:b w:val="0"/>
          <w:bCs w:val="0"/>
        </w:rPr>
      </w:r>
      <w:r>
        <w:rPr>
          <w:rFonts w:ascii="Times New Roman" w:hAnsi="Times New Roman" w:cs="Times New Roman" w:eastAsia="Times New Roman" w:hint="default"/>
        </w:rPr>
        <w:t>20</w:t>
      </w:r>
      <w:r>
        <w:rPr/>
        <w:t>、长期资产减值</w:t>
      </w:r>
      <w:r>
        <w:rPr>
          <w:b w:val="0"/>
          <w:bCs w:val="0"/>
        </w:rPr>
      </w:r>
    </w:p>
    <w:p>
      <w:pPr>
        <w:spacing w:line="240" w:lineRule="auto" w:before="5"/>
        <w:rPr>
          <w:rFonts w:ascii="宋体" w:hAnsi="宋体" w:cs="宋体" w:eastAsia="宋体" w:hint="default"/>
          <w:b/>
          <w:bCs/>
          <w:sz w:val="26"/>
          <w:szCs w:val="26"/>
        </w:rPr>
      </w:pPr>
    </w:p>
    <w:p>
      <w:pPr>
        <w:pStyle w:val="BodyText"/>
        <w:spacing w:line="475" w:lineRule="auto"/>
        <w:ind w:left="561" w:right="1689"/>
        <w:jc w:val="left"/>
      </w:pPr>
      <w:r>
        <w:rPr/>
        <w:t>公司应当在资产负债表日判断资产是否存在可能发生减值的迹象。 因企业合并所形成的商誉和使用寿命不确定的无形资产，无论是否存在减值迹象，每年都应当进行减值测试。 存在下列迹象的，表明资产可能发生了减值：</w:t>
      </w:r>
    </w:p>
    <w:p>
      <w:pPr>
        <w:spacing w:after="0" w:line="475"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307" w:lineRule="auto" w:before="44"/>
        <w:ind w:right="1095" w:firstLine="420"/>
        <w:jc w:val="both"/>
      </w:pPr>
      <w:r>
        <w:rPr>
          <w:spacing w:val="-3"/>
        </w:rPr>
        <w:t>（</w:t>
      </w:r>
      <w:r>
        <w:rPr>
          <w:rFonts w:ascii="Times New Roman" w:hAnsi="Times New Roman" w:cs="Times New Roman" w:eastAsia="Times New Roman" w:hint="default"/>
          <w:spacing w:val="-3"/>
        </w:rPr>
        <w:t>1</w:t>
      </w:r>
      <w:r>
        <w:rPr>
          <w:spacing w:val="-3"/>
        </w:rPr>
        <w:t>）资产的市价当期大幅度下跌，其跌幅明显高于因时间的推移或者正常使用而预计的下跌；（</w:t>
      </w:r>
      <w:r>
        <w:rPr>
          <w:rFonts w:ascii="Times New Roman" w:hAnsi="Times New Roman" w:cs="Times New Roman" w:eastAsia="Times New Roman" w:hint="default"/>
          <w:spacing w:val="-3"/>
        </w:rPr>
        <w:t>2</w:t>
      </w:r>
      <w:r>
        <w:rPr>
          <w:spacing w:val="-3"/>
        </w:rPr>
        <w:t>）企业经营所处的经</w:t>
      </w:r>
      <w:r>
        <w:rPr/>
        <w:t> </w:t>
      </w:r>
      <w:r>
        <w:rPr>
          <w:spacing w:val="-3"/>
        </w:rPr>
        <w:t>济、技术或者法律等环境以及资产所处的市场在当期或者将在近期发生重大变化，从而对企业产生不利影响；（</w:t>
      </w:r>
      <w:r>
        <w:rPr>
          <w:rFonts w:ascii="Times New Roman" w:hAnsi="Times New Roman" w:cs="Times New Roman" w:eastAsia="Times New Roman" w:hint="default"/>
          <w:spacing w:val="-3"/>
        </w:rPr>
        <w:t>3</w:t>
      </w:r>
      <w:r>
        <w:rPr>
          <w:spacing w:val="-3"/>
        </w:rPr>
        <w:t>）市场利率</w:t>
      </w:r>
      <w:r>
        <w:rPr>
          <w:spacing w:val="-65"/>
        </w:rPr>
        <w:t> </w:t>
      </w:r>
      <w:r>
        <w:rPr>
          <w:spacing w:val="-65"/>
        </w:rPr>
      </w:r>
      <w:r>
        <w:rPr/>
        <w:t>或者其他市场投资报酬率在当期已经提高，从而影响公司计算资产预计未来现金流量现值的折现率，</w:t>
      </w:r>
      <w:r>
        <w:rPr>
          <w:spacing w:val="9"/>
        </w:rPr>
        <w:t> </w:t>
      </w:r>
      <w:r>
        <w:rPr/>
        <w:t>导致资产可收回金额</w:t>
      </w:r>
      <w:r>
        <w:rPr/>
        <w:t> </w:t>
      </w:r>
      <w:r>
        <w:rPr>
          <w:spacing w:val="-5"/>
        </w:rPr>
        <w:t>大幅度降低；（</w:t>
      </w:r>
      <w:r>
        <w:rPr>
          <w:rFonts w:ascii="Times New Roman" w:hAnsi="Times New Roman" w:cs="Times New Roman" w:eastAsia="Times New Roman" w:hint="default"/>
          <w:spacing w:val="-5"/>
        </w:rPr>
        <w:t>4</w:t>
      </w:r>
      <w:r>
        <w:rPr>
          <w:spacing w:val="-5"/>
        </w:rPr>
        <w:t>）有证据表明资产已经陈旧过时或者其实体已经损坏；（</w:t>
      </w:r>
      <w:r>
        <w:rPr>
          <w:rFonts w:ascii="Times New Roman" w:hAnsi="Times New Roman" w:cs="Times New Roman" w:eastAsia="Times New Roman" w:hint="default"/>
          <w:spacing w:val="-5"/>
        </w:rPr>
        <w:t>5</w:t>
      </w:r>
      <w:r>
        <w:rPr>
          <w:spacing w:val="-5"/>
        </w:rPr>
        <w:t>）资产已经或者将被闲置、终止使用或者计划提前</w:t>
      </w:r>
      <w:r>
        <w:rPr>
          <w:spacing w:val="-59"/>
        </w:rPr>
        <w:t> </w:t>
      </w:r>
      <w:r>
        <w:rPr>
          <w:spacing w:val="-59"/>
        </w:rPr>
      </w:r>
      <w:r>
        <w:rPr>
          <w:spacing w:val="-4"/>
        </w:rPr>
        <w:t>处置；（</w:t>
      </w:r>
      <w:r>
        <w:rPr>
          <w:rFonts w:ascii="Times New Roman" w:hAnsi="Times New Roman" w:cs="Times New Roman" w:eastAsia="Times New Roman" w:hint="default"/>
          <w:spacing w:val="-4"/>
        </w:rPr>
        <w:t>6</w:t>
      </w:r>
      <w:r>
        <w:rPr>
          <w:spacing w:val="-4"/>
        </w:rPr>
        <w:t>）公司内部报告的证据表明资产的经济绩效已经低于或者将低于预期，如资产所创造的净现金流量或者实现的营业</w:t>
      </w:r>
      <w:r>
        <w:rPr>
          <w:spacing w:val="-53"/>
        </w:rPr>
        <w:t> </w:t>
      </w:r>
      <w:r>
        <w:rPr>
          <w:spacing w:val="-53"/>
        </w:rPr>
      </w:r>
      <w:r>
        <w:rPr>
          <w:spacing w:val="-2"/>
        </w:rPr>
        <w:t>利润（或者亏损）远远低于（或者高于）预计金额等；（</w:t>
      </w:r>
      <w:r>
        <w:rPr>
          <w:rFonts w:ascii="Times New Roman" w:hAnsi="Times New Roman" w:cs="Times New Roman" w:eastAsia="Times New Roman" w:hint="default"/>
          <w:spacing w:val="-2"/>
        </w:rPr>
        <w:t>7</w:t>
      </w:r>
      <w:r>
        <w:rPr>
          <w:spacing w:val="-2"/>
        </w:rPr>
        <w:t>）其他表明资产可能已经发生减值的迹象。</w:t>
      </w:r>
    </w:p>
    <w:p>
      <w:pPr>
        <w:pStyle w:val="BodyText"/>
        <w:spacing w:line="482" w:lineRule="auto" w:before="145"/>
        <w:ind w:left="561" w:right="1100"/>
        <w:jc w:val="left"/>
      </w:pPr>
      <w:r>
        <w:rPr/>
        <w:t>资产存在减值迹象的，应当估计其可收回金额。 可收回金额应当根据资产的公允价值减去处置费用后的净额与资产预计未来现金流量的现值两者之间较高者确定。</w:t>
      </w:r>
      <w:r>
        <w:rPr>
          <w:spacing w:val="-82"/>
        </w:rPr>
        <w:t> </w:t>
      </w:r>
      <w:r>
        <w:rPr>
          <w:spacing w:val="-82"/>
        </w:rPr>
      </w:r>
      <w:r>
        <w:rPr/>
        <w:t>处置费用包括与资产处置有关的法律费用、相关税费、搬运费以及为使资产达到可销售状态所发生的直接费用等。</w:t>
      </w:r>
    </w:p>
    <w:p>
      <w:pPr>
        <w:pStyle w:val="BodyText"/>
        <w:spacing w:line="321" w:lineRule="auto" w:before="33"/>
        <w:ind w:right="1136" w:firstLine="420"/>
        <w:jc w:val="both"/>
      </w:pPr>
      <w:r>
        <w:rPr/>
        <w:t>资产预计未来现金流量的现值，应当按照资产在持续使用过程中和最终处置时所产生的预计未来现金流量，选择恰当 </w:t>
      </w:r>
      <w:r>
        <w:rPr>
          <w:spacing w:val="-2"/>
        </w:rPr>
        <w:t>的折现率对其进行折现后的金额加以确定。预计资产未来现金流量的现值，应当综合考虑资产的预计未来现金流量、使用寿</w:t>
      </w:r>
      <w:r>
        <w:rPr>
          <w:spacing w:val="-75"/>
        </w:rPr>
        <w:t> </w:t>
      </w:r>
      <w:r>
        <w:rPr>
          <w:spacing w:val="-75"/>
        </w:rPr>
      </w:r>
      <w:r>
        <w:rPr/>
        <w:t>命和折现率等因素。</w:t>
      </w:r>
    </w:p>
    <w:p>
      <w:pPr>
        <w:spacing w:line="240" w:lineRule="auto" w:before="12"/>
        <w:rPr>
          <w:rFonts w:ascii="宋体" w:hAnsi="宋体" w:cs="宋体" w:eastAsia="宋体" w:hint="default"/>
          <w:sz w:val="12"/>
          <w:szCs w:val="12"/>
        </w:rPr>
      </w:pPr>
    </w:p>
    <w:p>
      <w:pPr>
        <w:pStyle w:val="BodyText"/>
        <w:spacing w:line="321" w:lineRule="auto"/>
        <w:ind w:right="1167" w:firstLine="420"/>
        <w:jc w:val="both"/>
      </w:pPr>
      <w:r>
        <w:rPr/>
        <w:t>可收回金额的计量结果表明，资产的可收回金额低于其账面价值的，应当将资产的账面价值减记至可收回金额，减记 的金额确认为资产减值损失，计入当期损益，同时计提相应的资产减值准备。</w:t>
      </w:r>
    </w:p>
    <w:p>
      <w:pPr>
        <w:spacing w:line="240" w:lineRule="auto" w:before="0"/>
        <w:rPr>
          <w:rFonts w:ascii="宋体" w:hAnsi="宋体" w:cs="宋体" w:eastAsia="宋体" w:hint="default"/>
          <w:sz w:val="24"/>
          <w:szCs w:val="24"/>
        </w:rPr>
      </w:pPr>
    </w:p>
    <w:p>
      <w:pPr>
        <w:pStyle w:val="Heading4"/>
        <w:spacing w:line="240" w:lineRule="auto"/>
        <w:ind w:right="1100"/>
        <w:jc w:val="left"/>
        <w:rPr>
          <w:b w:val="0"/>
          <w:bCs w:val="0"/>
        </w:rPr>
      </w:pPr>
      <w:bookmarkStart w:name="21、长期待摊费用" w:id="197"/>
      <w:bookmarkEnd w:id="197"/>
      <w:r>
        <w:rPr>
          <w:b w:val="0"/>
          <w:bCs w:val="0"/>
        </w:rPr>
      </w:r>
      <w:r>
        <w:rPr>
          <w:rFonts w:ascii="Times New Roman" w:hAnsi="Times New Roman" w:cs="Times New Roman" w:eastAsia="Times New Roman" w:hint="default"/>
        </w:rPr>
        <w:t>21</w:t>
      </w:r>
      <w:r>
        <w:rPr/>
        <w:t>、长期待摊费用</w:t>
      </w:r>
      <w:r>
        <w:rPr>
          <w:b w:val="0"/>
          <w:bCs w:val="0"/>
        </w:rPr>
      </w:r>
    </w:p>
    <w:p>
      <w:pPr>
        <w:spacing w:line="240" w:lineRule="auto" w:before="1"/>
        <w:rPr>
          <w:rFonts w:ascii="宋体" w:hAnsi="宋体" w:cs="宋体" w:eastAsia="宋体" w:hint="default"/>
          <w:b/>
          <w:bCs/>
          <w:sz w:val="24"/>
          <w:szCs w:val="24"/>
        </w:rPr>
      </w:pPr>
    </w:p>
    <w:p>
      <w:pPr>
        <w:pStyle w:val="BodyText"/>
        <w:spacing w:line="336" w:lineRule="auto"/>
        <w:ind w:right="1167" w:firstLine="420"/>
        <w:jc w:val="both"/>
      </w:pPr>
      <w:r>
        <w:rPr/>
        <w:t>长期待摊费用按实际发生额入账，在受益期或规定的期限内分期平均摊销。如果长期待摊的费用项目不能使以后会计 期间受益则将尚未摊销的该项目的摊余价值全部转入当期损益。</w:t>
      </w:r>
    </w:p>
    <w:p>
      <w:pPr>
        <w:pStyle w:val="BodyText"/>
        <w:spacing w:line="240" w:lineRule="auto" w:before="158"/>
        <w:ind w:left="561" w:right="1100"/>
        <w:jc w:val="left"/>
      </w:pPr>
      <w:r>
        <w:rPr/>
        <w:t>本公司的长期待摊费用主要包括租赁房屋的装修费等。长期待摊费用在预计受益期间按直线法摊销。</w:t>
      </w:r>
    </w:p>
    <w:p>
      <w:pPr>
        <w:spacing w:line="240" w:lineRule="auto" w:before="0"/>
        <w:rPr>
          <w:rFonts w:ascii="宋体" w:hAnsi="宋体" w:cs="宋体" w:eastAsia="宋体" w:hint="default"/>
          <w:sz w:val="18"/>
          <w:szCs w:val="18"/>
        </w:rPr>
      </w:pPr>
    </w:p>
    <w:p>
      <w:pPr>
        <w:pStyle w:val="Heading4"/>
        <w:spacing w:line="240" w:lineRule="auto" w:before="124"/>
        <w:ind w:right="1100"/>
        <w:jc w:val="left"/>
        <w:rPr>
          <w:b w:val="0"/>
          <w:bCs w:val="0"/>
        </w:rPr>
      </w:pPr>
      <w:bookmarkStart w:name="22、职工薪酬" w:id="198"/>
      <w:bookmarkEnd w:id="198"/>
      <w:r>
        <w:rPr>
          <w:b w:val="0"/>
          <w:bCs w:val="0"/>
        </w:rPr>
      </w:r>
      <w:r>
        <w:rPr>
          <w:rFonts w:ascii="Times New Roman" w:hAnsi="Times New Roman" w:cs="Times New Roman" w:eastAsia="Times New Roman" w:hint="default"/>
        </w:rPr>
        <w:t>22</w:t>
      </w:r>
      <w:r>
        <w:rPr/>
        <w:t>、职工薪酬</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1100"/>
        <w:jc w:val="left"/>
        <w:rPr>
          <w:b w:val="0"/>
          <w:bCs w:val="0"/>
        </w:rPr>
      </w:pPr>
      <w:bookmarkStart w:name="（1）短期薪酬的会计处理方法" w:id="199"/>
      <w:bookmarkEnd w:id="199"/>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3"/>
        <w:rPr>
          <w:rFonts w:ascii="宋体" w:hAnsi="宋体" w:cs="宋体" w:eastAsia="宋体" w:hint="default"/>
          <w:b/>
          <w:bCs/>
          <w:sz w:val="25"/>
          <w:szCs w:val="25"/>
        </w:rPr>
      </w:pPr>
    </w:p>
    <w:p>
      <w:pPr>
        <w:pStyle w:val="BodyText"/>
        <w:spacing w:line="321" w:lineRule="auto"/>
        <w:ind w:right="1167" w:firstLine="420"/>
        <w:jc w:val="both"/>
      </w:pPr>
      <w:r>
        <w:rPr/>
        <w:t>本公司在职工提供服务的会计期间，将实际发生的短期薪酬确认为负债，并计入当期损益或相关资产成本。其中，非 货币性福利按照公允价值计量。</w:t>
      </w:r>
    </w:p>
    <w:p>
      <w:pPr>
        <w:pStyle w:val="BodyText"/>
        <w:spacing w:line="450" w:lineRule="exact" w:before="34"/>
        <w:ind w:left="561" w:right="1149"/>
        <w:jc w:val="left"/>
      </w:pPr>
      <w:r>
        <w:rPr/>
        <w:t>短期薪酬的会计处理方法 短期薪酬主要包括工资、奖金、津贴和补贴、职工福利费、医疗保险费、生育保险费、工伤保险费、住房公积金、工</w:t>
      </w:r>
    </w:p>
    <w:p>
      <w:pPr>
        <w:pStyle w:val="BodyText"/>
        <w:spacing w:line="321" w:lineRule="auto" w:before="15"/>
        <w:ind w:right="1100"/>
        <w:jc w:val="left"/>
      </w:pPr>
      <w:r>
        <w:rPr>
          <w:spacing w:val="-2"/>
        </w:rPr>
        <w:t>会经费和职工教育经费、非货币性福利等。本公司在职工为本公司提供服务的会计期间将实际发生的短期职工薪酬确认为负</w:t>
      </w:r>
      <w:r>
        <w:rPr>
          <w:spacing w:val="-72"/>
        </w:rPr>
        <w:t> </w:t>
      </w:r>
      <w:r>
        <w:rPr>
          <w:spacing w:val="-72"/>
        </w:rPr>
      </w:r>
      <w:r>
        <w:rPr/>
        <w:t>债，并计入当期损益或相关资产成本。其中非货币性福利按公允价值计量。</w:t>
      </w:r>
    </w:p>
    <w:p>
      <w:pPr>
        <w:spacing w:line="240" w:lineRule="auto" w:before="13"/>
        <w:rPr>
          <w:rFonts w:ascii="宋体" w:hAnsi="宋体" w:cs="宋体" w:eastAsia="宋体" w:hint="default"/>
          <w:sz w:val="23"/>
          <w:szCs w:val="23"/>
        </w:rPr>
      </w:pPr>
    </w:p>
    <w:p>
      <w:pPr>
        <w:pStyle w:val="Heading4"/>
        <w:spacing w:line="240" w:lineRule="auto"/>
        <w:ind w:right="1100"/>
        <w:jc w:val="left"/>
        <w:rPr>
          <w:b w:val="0"/>
          <w:bCs w:val="0"/>
        </w:rPr>
      </w:pPr>
      <w:bookmarkStart w:name="（2）离职后福利的会计处理方法" w:id="200"/>
      <w:bookmarkEnd w:id="200"/>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1"/>
        <w:rPr>
          <w:rFonts w:ascii="宋体" w:hAnsi="宋体" w:cs="宋体" w:eastAsia="宋体" w:hint="default"/>
          <w:b/>
          <w:bCs/>
          <w:sz w:val="24"/>
          <w:szCs w:val="24"/>
        </w:rPr>
      </w:pPr>
    </w:p>
    <w:p>
      <w:pPr>
        <w:pStyle w:val="BodyText"/>
        <w:spacing w:line="326" w:lineRule="auto"/>
        <w:ind w:right="1029" w:firstLine="420"/>
        <w:jc w:val="left"/>
      </w:pPr>
      <w:r>
        <w:rPr/>
        <w:t>本公司职工参加了由当地劳动和社会保障部门组织实施的社会基本养老保险。本公司以当地规定的社会基本养老保险 </w:t>
      </w:r>
      <w:r>
        <w:rPr>
          <w:spacing w:val="-2"/>
        </w:rPr>
        <w:t>缴纳基数和比例，按月向当地社会基本养老保险经办机构缴纳养老保险费。职工退休后，当地劳动及社会保障部门有责任向</w:t>
      </w:r>
      <w:r>
        <w:rPr>
          <w:spacing w:val="-64"/>
        </w:rPr>
        <w:t> </w:t>
      </w:r>
      <w:r>
        <w:rPr>
          <w:spacing w:val="-64"/>
        </w:rPr>
      </w:r>
      <w:r>
        <w:rPr/>
        <w:t>已退休员工支付社会基本养老金。本公司在职工提供服务的会计期间，将根据上述社保规定计算应缴纳的金额确认为负债， 并计入当期损益或相关资产成本。</w:t>
      </w:r>
    </w:p>
    <w:p>
      <w:pPr>
        <w:spacing w:after="0" w:line="326" w:lineRule="auto"/>
        <w:jc w:val="left"/>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4"/>
        <w:spacing w:line="240" w:lineRule="auto" w:before="35"/>
        <w:ind w:right="0"/>
        <w:jc w:val="both"/>
        <w:rPr>
          <w:b w:val="0"/>
          <w:bCs w:val="0"/>
        </w:rPr>
      </w:pPr>
      <w:bookmarkStart w:name="（3）辞退福利的会计处理方法" w:id="201"/>
      <w:bookmarkEnd w:id="201"/>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3"/>
        <w:rPr>
          <w:rFonts w:ascii="宋体" w:hAnsi="宋体" w:cs="宋体" w:eastAsia="宋体" w:hint="default"/>
          <w:b/>
          <w:bCs/>
          <w:sz w:val="25"/>
          <w:szCs w:val="25"/>
        </w:rPr>
      </w:pPr>
    </w:p>
    <w:p>
      <w:pPr>
        <w:pStyle w:val="BodyText"/>
        <w:spacing w:line="321" w:lineRule="auto"/>
        <w:ind w:right="1121" w:firstLine="420"/>
        <w:jc w:val="both"/>
      </w:pPr>
      <w:r>
        <w:rPr/>
        <w:t>本公司在职工劳动合同到期之前解除与职工的劳动关系、或者为鼓励职工自愿接受裁减而提出给予补偿，在本公司不 </w:t>
      </w:r>
      <w:r>
        <w:rPr>
          <w:spacing w:val="-2"/>
        </w:rPr>
        <w:t>能单方面撤回解除劳动关系计划或裁减建议时和确认与涉及支付辞退福利的重组相关的成本费用时两者孰早日，确认因解除</w:t>
      </w:r>
      <w:r>
        <w:rPr>
          <w:spacing w:val="-58"/>
        </w:rPr>
        <w:t> </w:t>
      </w:r>
      <w:r>
        <w:rPr>
          <w:spacing w:val="-58"/>
        </w:rPr>
      </w:r>
      <w:r>
        <w:rPr/>
        <w:t>与职工的劳动关系给予补偿而产生的负债，同时计入当期损益。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2"/>
          <w:szCs w:val="22"/>
        </w:rPr>
      </w:pPr>
    </w:p>
    <w:p>
      <w:pPr>
        <w:pStyle w:val="Heading4"/>
        <w:spacing w:line="240" w:lineRule="auto"/>
        <w:ind w:right="0"/>
        <w:jc w:val="both"/>
        <w:rPr>
          <w:b w:val="0"/>
          <w:bCs w:val="0"/>
        </w:rPr>
      </w:pPr>
      <w:bookmarkStart w:name="（4）其他长期职工福利的会计处理方法" w:id="202"/>
      <w:bookmarkEnd w:id="202"/>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10"/>
        <w:rPr>
          <w:rFonts w:ascii="宋体" w:hAnsi="宋体" w:cs="宋体" w:eastAsia="宋体" w:hint="default"/>
          <w:b/>
          <w:bCs/>
          <w:sz w:val="22"/>
          <w:szCs w:val="22"/>
        </w:rPr>
      </w:pPr>
    </w:p>
    <w:p>
      <w:pPr>
        <w:pStyle w:val="Heading3"/>
        <w:spacing w:line="276" w:lineRule="auto"/>
        <w:ind w:right="1087"/>
        <w:jc w:val="both"/>
        <w:rPr>
          <w:i w:val="0"/>
        </w:rPr>
      </w:pPr>
      <w:r>
        <w:rPr>
          <w:w w:val="95"/>
        </w:rPr>
        <w:t>本公司向职工提供的其他长期职工福利，符合设定提存计划的，按照设定提存计划进行会计处理，除</w:t>
      </w:r>
      <w:r>
        <w:rPr>
          <w:w w:val="95"/>
        </w:rPr>
        <w:t> </w:t>
      </w:r>
      <w:r>
        <w:rPr/>
        <w:t>此之外按照设定收益计划进行会计处理。</w:t>
      </w:r>
      <w:r>
        <w:rPr>
          <w:i w:val="0"/>
        </w:rPr>
      </w:r>
    </w:p>
    <w:p>
      <w:pPr>
        <w:spacing w:line="240" w:lineRule="auto" w:before="0"/>
        <w:rPr>
          <w:rFonts w:ascii="宋体" w:hAnsi="宋体" w:cs="宋体" w:eastAsia="宋体" w:hint="default"/>
          <w:i/>
          <w:sz w:val="22"/>
          <w:szCs w:val="22"/>
        </w:rPr>
      </w:pPr>
    </w:p>
    <w:p>
      <w:pPr>
        <w:spacing w:line="240" w:lineRule="auto" w:before="0"/>
        <w:rPr>
          <w:rFonts w:ascii="宋体" w:hAnsi="宋体" w:cs="宋体" w:eastAsia="宋体" w:hint="default"/>
          <w:i/>
          <w:sz w:val="22"/>
          <w:szCs w:val="22"/>
        </w:rPr>
      </w:pPr>
    </w:p>
    <w:p>
      <w:pPr>
        <w:spacing w:line="240" w:lineRule="auto" w:before="2"/>
        <w:rPr>
          <w:rFonts w:ascii="宋体" w:hAnsi="宋体" w:cs="宋体" w:eastAsia="宋体" w:hint="default"/>
          <w:i/>
          <w:sz w:val="16"/>
          <w:szCs w:val="16"/>
        </w:rPr>
      </w:pPr>
    </w:p>
    <w:p>
      <w:pPr>
        <w:pStyle w:val="Heading4"/>
        <w:spacing w:line="240" w:lineRule="auto"/>
        <w:ind w:right="0"/>
        <w:jc w:val="both"/>
        <w:rPr>
          <w:b w:val="0"/>
          <w:bCs w:val="0"/>
        </w:rPr>
      </w:pPr>
      <w:bookmarkStart w:name="23、收入" w:id="203"/>
      <w:bookmarkEnd w:id="203"/>
      <w:r>
        <w:rPr>
          <w:b w:val="0"/>
          <w:bCs w:val="0"/>
        </w:rPr>
      </w:r>
      <w:r>
        <w:rPr>
          <w:rFonts w:ascii="Times New Roman" w:hAnsi="Times New Roman" w:cs="Times New Roman" w:eastAsia="Times New Roman" w:hint="default"/>
        </w:rPr>
        <w:t>23</w:t>
      </w:r>
      <w:r>
        <w:rPr/>
        <w:t>、收入</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both"/>
      </w:pPr>
      <w:r>
        <w:rPr/>
        <w:t>公司需遵守《深圳证券交易所行业信息披露指引第</w:t>
      </w:r>
      <w:r>
        <w:rPr>
          <w:spacing w:val="-40"/>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26"/>
        <w:ind w:left="561" w:right="1100"/>
        <w:jc w:val="left"/>
      </w:pPr>
      <w:r>
        <w:rPr>
          <w:rFonts w:ascii="Times New Roman" w:hAnsi="Times New Roman" w:cs="Times New Roman" w:eastAsia="Times New Roman" w:hint="default"/>
        </w:rPr>
        <w:t>1.</w:t>
      </w:r>
      <w:r>
        <w:rPr/>
        <w:t>销售商品</w:t>
      </w:r>
    </w:p>
    <w:p>
      <w:pPr>
        <w:spacing w:line="240" w:lineRule="auto" w:before="3"/>
        <w:rPr>
          <w:rFonts w:ascii="宋体" w:hAnsi="宋体" w:cs="宋体" w:eastAsia="宋体" w:hint="default"/>
          <w:sz w:val="14"/>
          <w:szCs w:val="14"/>
        </w:rPr>
      </w:pPr>
    </w:p>
    <w:p>
      <w:pPr>
        <w:pStyle w:val="BodyText"/>
        <w:spacing w:line="321" w:lineRule="auto"/>
        <w:ind w:right="1136" w:firstLine="420"/>
        <w:jc w:val="both"/>
      </w:pPr>
      <w:r>
        <w:rPr/>
        <w:t>公司研发生产销售智能身份认证产品，在销售合同（订单）已经签订，相关产品已经发出交付客户，已将商品所有权 </w:t>
      </w:r>
      <w:r>
        <w:rPr>
          <w:spacing w:val="-2"/>
        </w:rPr>
        <w:t>上的主要风险和报酬转移给买方，既没有保留通常与所有权相联系的继续管理权，也没有对已售商品实施有效控制，收入的</w:t>
      </w:r>
      <w:r>
        <w:rPr>
          <w:spacing w:val="-75"/>
        </w:rPr>
        <w:t> </w:t>
      </w:r>
      <w:r>
        <w:rPr>
          <w:spacing w:val="-75"/>
        </w:rPr>
      </w:r>
      <w:r>
        <w:rPr>
          <w:spacing w:val="-2"/>
        </w:rPr>
        <w:t>金额能够可靠地计量，相关的经济利益很可能流入企业，相关的已发生或将发生的成本能够可靠地计量时，确认商品销售收</w:t>
      </w:r>
      <w:r>
        <w:rPr>
          <w:spacing w:val="-75"/>
        </w:rPr>
        <w:t> </w:t>
      </w:r>
      <w:r>
        <w:rPr>
          <w:spacing w:val="-75"/>
        </w:rPr>
      </w:r>
      <w:r>
        <w:rPr/>
        <w:t>入的实现。</w:t>
      </w:r>
    </w:p>
    <w:p>
      <w:pPr>
        <w:pStyle w:val="BodyText"/>
        <w:spacing w:line="328" w:lineRule="auto" w:before="154"/>
        <w:ind w:right="1029" w:firstLine="420"/>
        <w:jc w:val="left"/>
      </w:pPr>
      <w:r>
        <w:rPr/>
        <w:t>公司研发生产销售智能身份认证产品，国内销售在销售合同（订单）已经签订，相关产品已经发出交付客户，经客户 对产品验收后确认收入；境外销售在销售合同（订单）已经签订，相关产品已经发出经检验合格后通过海关报关出口放行，</w:t>
      </w:r>
      <w:r>
        <w:rPr>
          <w:spacing w:val="-82"/>
        </w:rPr>
        <w:t> </w:t>
      </w:r>
      <w:r>
        <w:rPr>
          <w:spacing w:val="-82"/>
        </w:rPr>
      </w:r>
      <w:r>
        <w:rPr/>
        <w:t>取得报关单时确认收入。</w:t>
      </w:r>
    </w:p>
    <w:p>
      <w:pPr>
        <w:pStyle w:val="BodyText"/>
        <w:spacing w:line="420" w:lineRule="atLeast" w:before="7"/>
        <w:ind w:left="561" w:right="1149"/>
        <w:jc w:val="left"/>
      </w:pPr>
      <w:r>
        <w:rPr>
          <w:rFonts w:ascii="Times New Roman" w:hAnsi="Times New Roman" w:cs="Times New Roman" w:eastAsia="Times New Roman" w:hint="default"/>
        </w:rPr>
        <w:t>2.</w:t>
      </w:r>
      <w:r>
        <w:rPr/>
        <w:t>提供劳务 提供劳务交易的结果在资产负债表日能够可靠估计的（同时满足收入的金额能够可靠地计量、相关经济利益很可能流</w:t>
      </w:r>
    </w:p>
    <w:p>
      <w:pPr>
        <w:pStyle w:val="BodyText"/>
        <w:spacing w:line="326" w:lineRule="auto" w:before="80"/>
        <w:ind w:right="1106"/>
        <w:jc w:val="both"/>
      </w:pPr>
      <w:r>
        <w:rPr>
          <w:spacing w:val="-2"/>
        </w:rPr>
        <w:t>入、交易的完工进度能够可靠地确定、交易中已发生和将发生的成本能够可靠地计量），采用完工百分比法确认提供劳务的</w:t>
      </w:r>
      <w:r>
        <w:rPr>
          <w:spacing w:val="-42"/>
        </w:rPr>
        <w:t> </w:t>
      </w:r>
      <w:r>
        <w:rPr>
          <w:spacing w:val="-42"/>
        </w:rPr>
      </w:r>
      <w:r>
        <w:rPr>
          <w:spacing w:val="-2"/>
        </w:rPr>
        <w:t>收入，并按已经发生的成本占估计总成本的比例确定提供劳务交易的完工进度。提供劳务交易的结果在资产负债表日不能够</w:t>
      </w:r>
      <w:r>
        <w:rPr>
          <w:spacing w:val="-72"/>
        </w:rPr>
        <w:t> </w:t>
      </w:r>
      <w:r>
        <w:rPr>
          <w:spacing w:val="-72"/>
        </w:rPr>
      </w:r>
      <w:r>
        <w:rPr>
          <w:spacing w:val="-2"/>
        </w:rPr>
        <w:t>可靠估计的，若已经发生的劳务成本预计能够得到补偿，按已经发生的劳务成本金额确认提供劳务收入，并按相同金额结转</w:t>
      </w:r>
      <w:r>
        <w:rPr>
          <w:spacing w:val="-75"/>
        </w:rPr>
        <w:t> </w:t>
      </w:r>
      <w:r>
        <w:rPr>
          <w:spacing w:val="-75"/>
        </w:rPr>
      </w:r>
      <w:r>
        <w:rPr/>
        <w:t>劳务成本；若已经发生的劳务成本预计不能够得到补偿，将已经发生的劳务成本计入当期损益，不确认劳务收入。</w:t>
      </w:r>
    </w:p>
    <w:p>
      <w:pPr>
        <w:pStyle w:val="BodyText"/>
        <w:spacing w:line="321" w:lineRule="auto" w:before="149"/>
        <w:ind w:right="1136" w:firstLine="420"/>
        <w:jc w:val="both"/>
      </w:pPr>
      <w:r>
        <w:rPr/>
        <w:t>本公司与其他企业签订的合同或协议包括销售商品和提供劳务时，如销售商品部分和提供劳务部分能够区分并单独计 </w:t>
      </w:r>
      <w:r>
        <w:rPr>
          <w:spacing w:val="-2"/>
        </w:rPr>
        <w:t>量的，将销售商品部分和提供劳务部分分别处理；如销售商品部分和提供劳务部分不能够区分，或虽能区分但不能够单独计</w:t>
      </w:r>
      <w:r>
        <w:rPr>
          <w:spacing w:val="-75"/>
        </w:rPr>
        <w:t> </w:t>
      </w:r>
      <w:r>
        <w:rPr>
          <w:spacing w:val="-75"/>
        </w:rPr>
      </w:r>
      <w:r>
        <w:rPr/>
        <w:t>量的，将该合同全部作为销售商品处理。</w:t>
      </w:r>
    </w:p>
    <w:p>
      <w:pPr>
        <w:spacing w:line="240" w:lineRule="auto" w:before="3"/>
        <w:rPr>
          <w:rFonts w:ascii="宋体" w:hAnsi="宋体" w:cs="宋体" w:eastAsia="宋体" w:hint="default"/>
          <w:sz w:val="15"/>
          <w:szCs w:val="15"/>
        </w:rPr>
      </w:pPr>
    </w:p>
    <w:p>
      <w:pPr>
        <w:pStyle w:val="BodyText"/>
        <w:spacing w:line="434" w:lineRule="auto"/>
        <w:ind w:left="561" w:right="6549"/>
        <w:jc w:val="left"/>
      </w:pPr>
      <w:r>
        <w:rPr>
          <w:rFonts w:ascii="Times New Roman" w:hAnsi="Times New Roman" w:cs="Times New Roman" w:eastAsia="Times New Roman" w:hint="default"/>
        </w:rPr>
        <w:t>3.</w:t>
      </w:r>
      <w:r>
        <w:rPr/>
        <w:t>使用费收入 根据有关合同或协议，按权责发生制确认收入。</w:t>
      </w:r>
    </w:p>
    <w:p>
      <w:pPr>
        <w:spacing w:line="240" w:lineRule="auto" w:before="5"/>
        <w:rPr>
          <w:rFonts w:ascii="宋体" w:hAnsi="宋体" w:cs="宋体" w:eastAsia="宋体" w:hint="default"/>
          <w:sz w:val="16"/>
          <w:szCs w:val="16"/>
        </w:rPr>
      </w:pPr>
    </w:p>
    <w:p>
      <w:pPr>
        <w:pStyle w:val="Heading4"/>
        <w:spacing w:line="240" w:lineRule="auto"/>
        <w:ind w:right="0"/>
        <w:jc w:val="both"/>
        <w:rPr>
          <w:b w:val="0"/>
          <w:bCs w:val="0"/>
        </w:rPr>
      </w:pPr>
      <w:bookmarkStart w:name="24、政府补助" w:id="204"/>
      <w:bookmarkEnd w:id="204"/>
      <w:r>
        <w:rPr>
          <w:b w:val="0"/>
          <w:bCs w:val="0"/>
        </w:rPr>
      </w:r>
      <w:r>
        <w:rPr>
          <w:rFonts w:ascii="Times New Roman" w:hAnsi="Times New Roman" w:cs="Times New Roman" w:eastAsia="Times New Roman" w:hint="default"/>
        </w:rPr>
        <w:t>24</w:t>
      </w:r>
      <w:r>
        <w:rPr/>
        <w:t>、政府补助</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61" w:right="1100"/>
        <w:jc w:val="left"/>
      </w:pPr>
      <w:r>
        <w:rPr>
          <w:rFonts w:ascii="Times New Roman" w:hAnsi="Times New Roman" w:cs="Times New Roman" w:eastAsia="Times New Roman" w:hint="default"/>
        </w:rPr>
        <w:t>1.</w:t>
      </w:r>
      <w:r>
        <w:rPr/>
        <w:t>政府补助包括与资产相关的政府补助和与收益相关的政府补助。</w:t>
      </w:r>
    </w:p>
    <w:p>
      <w:pPr>
        <w:spacing w:after="0" w:line="240"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302" w:lineRule="auto" w:before="44"/>
        <w:ind w:right="1194" w:firstLine="420"/>
        <w:jc w:val="left"/>
      </w:pPr>
      <w:r>
        <w:rPr>
          <w:rFonts w:ascii="Times New Roman" w:hAnsi="Times New Roman" w:cs="Times New Roman" w:eastAsia="Times New Roman" w:hint="default"/>
        </w:rPr>
        <w:t>2.</w:t>
      </w:r>
      <w:r>
        <w:rPr/>
        <w:t>政府补助为货币性资产的，按照收到或应收的金额计量；政府补助为非货币性资产的，按照公允价值计量，公允价 值不能可靠取得的，按照名义金额计量。</w:t>
      </w:r>
    </w:p>
    <w:p>
      <w:pPr>
        <w:spacing w:line="240" w:lineRule="auto" w:before="2"/>
        <w:rPr>
          <w:rFonts w:ascii="宋体" w:hAnsi="宋体" w:cs="宋体" w:eastAsia="宋体" w:hint="default"/>
          <w:sz w:val="15"/>
          <w:szCs w:val="15"/>
        </w:rPr>
      </w:pPr>
    </w:p>
    <w:p>
      <w:pPr>
        <w:pStyle w:val="BodyText"/>
        <w:spacing w:line="240" w:lineRule="auto"/>
        <w:ind w:left="561" w:right="1100"/>
        <w:jc w:val="left"/>
      </w:pPr>
      <w:r>
        <w:rPr>
          <w:rFonts w:ascii="Times New Roman" w:hAnsi="Times New Roman" w:cs="Times New Roman" w:eastAsia="Times New Roman" w:hint="default"/>
        </w:rPr>
        <w:t>3.</w:t>
      </w:r>
      <w:r>
        <w:rPr/>
        <w:t>政府补助采用总额法：</w:t>
      </w:r>
    </w:p>
    <w:p>
      <w:pPr>
        <w:spacing w:line="240" w:lineRule="auto" w:before="5"/>
        <w:rPr>
          <w:rFonts w:ascii="宋体" w:hAnsi="宋体" w:cs="宋体" w:eastAsia="宋体" w:hint="default"/>
          <w:sz w:val="15"/>
          <w:szCs w:val="15"/>
        </w:rPr>
      </w:pPr>
    </w:p>
    <w:p>
      <w:pPr>
        <w:pStyle w:val="BodyText"/>
        <w:spacing w:line="304" w:lineRule="auto"/>
        <w:ind w:right="1100" w:firstLine="420"/>
        <w:jc w:val="left"/>
      </w:pPr>
      <w:r>
        <w:rPr>
          <w:spacing w:val="-2"/>
        </w:rPr>
        <w:t>（</w:t>
      </w:r>
      <w:r>
        <w:rPr>
          <w:rFonts w:ascii="Times New Roman" w:hAnsi="Times New Roman" w:cs="Times New Roman" w:eastAsia="Times New Roman" w:hint="default"/>
          <w:spacing w:val="-2"/>
        </w:rPr>
        <w:t>1</w:t>
      </w:r>
      <w:r>
        <w:rPr>
          <w:spacing w:val="-2"/>
        </w:rPr>
        <w:t>）与资产相关的政府补助，确认为递延收益，在相关资产使用寿命内按照合理、系统的方法分期计入损益。相关资</w:t>
      </w:r>
      <w:r>
        <w:rPr/>
        <w:t> 产在使用寿命结束前被出售、转让、报废或发生毁损的，将尚未分配的相关递延收益余额转入资产处置当期的损益。</w:t>
      </w:r>
    </w:p>
    <w:p>
      <w:pPr>
        <w:spacing w:line="240" w:lineRule="auto" w:before="11"/>
        <w:rPr>
          <w:rFonts w:ascii="宋体" w:hAnsi="宋体" w:cs="宋体" w:eastAsia="宋体" w:hint="default"/>
          <w:sz w:val="13"/>
          <w:szCs w:val="13"/>
        </w:rPr>
      </w:pPr>
    </w:p>
    <w:p>
      <w:pPr>
        <w:pStyle w:val="BodyText"/>
        <w:spacing w:line="304" w:lineRule="auto"/>
        <w:ind w:right="1100" w:firstLine="420"/>
        <w:jc w:val="left"/>
      </w:pPr>
      <w:r>
        <w:rPr>
          <w:spacing w:val="-2"/>
        </w:rPr>
        <w:t>（</w:t>
      </w:r>
      <w:r>
        <w:rPr>
          <w:rFonts w:ascii="Times New Roman" w:hAnsi="Times New Roman" w:cs="Times New Roman" w:eastAsia="Times New Roman" w:hint="default"/>
          <w:spacing w:val="-2"/>
        </w:rPr>
        <w:t>2</w:t>
      </w:r>
      <w:r>
        <w:rPr>
          <w:spacing w:val="-2"/>
        </w:rPr>
        <w:t>）与收益相关的政府补助，用于补偿以后期间的相关费用或损失的，确认为递延收益，在确认相关费用的期间，计</w:t>
      </w:r>
      <w:r>
        <w:rPr/>
        <w:t> 入当期损益；用于补偿已发生的相关费用或损失的，直接计入当期损益。</w:t>
      </w:r>
    </w:p>
    <w:p>
      <w:pPr>
        <w:spacing w:line="240" w:lineRule="auto" w:before="11"/>
        <w:rPr>
          <w:rFonts w:ascii="宋体" w:hAnsi="宋体" w:cs="宋体" w:eastAsia="宋体" w:hint="default"/>
          <w:sz w:val="13"/>
          <w:szCs w:val="13"/>
        </w:rPr>
      </w:pPr>
    </w:p>
    <w:p>
      <w:pPr>
        <w:pStyle w:val="BodyText"/>
        <w:spacing w:line="240" w:lineRule="auto"/>
        <w:ind w:left="561" w:right="1100"/>
        <w:jc w:val="left"/>
      </w:pPr>
      <w:r>
        <w:rPr/>
        <w:t>注：公司政府补助全部采用总额法。</w:t>
      </w:r>
    </w:p>
    <w:p>
      <w:pPr>
        <w:spacing w:line="240" w:lineRule="auto" w:before="7"/>
        <w:rPr>
          <w:rFonts w:ascii="宋体" w:hAnsi="宋体" w:cs="宋体" w:eastAsia="宋体" w:hint="default"/>
          <w:sz w:val="17"/>
          <w:szCs w:val="17"/>
        </w:rPr>
      </w:pPr>
    </w:p>
    <w:p>
      <w:pPr>
        <w:pStyle w:val="BodyText"/>
        <w:spacing w:line="302" w:lineRule="auto"/>
        <w:ind w:right="1194" w:firstLine="420"/>
        <w:jc w:val="left"/>
      </w:pPr>
      <w:r>
        <w:rPr>
          <w:rFonts w:ascii="Times New Roman" w:hAnsi="Times New Roman" w:cs="Times New Roman" w:eastAsia="Times New Roman" w:hint="default"/>
        </w:rPr>
        <w:t>4.</w:t>
      </w:r>
      <w:r>
        <w:rPr/>
        <w:t>对于同时包含与资产相关部分和与收益相关部分的政府补助，区分不同部分分别进行会计处理；难以区分的，整体 归类为与收益相关的政府补助。</w:t>
      </w:r>
    </w:p>
    <w:p>
      <w:pPr>
        <w:spacing w:line="240" w:lineRule="auto" w:before="0"/>
        <w:rPr>
          <w:rFonts w:ascii="宋体" w:hAnsi="宋体" w:cs="宋体" w:eastAsia="宋体" w:hint="default"/>
          <w:sz w:val="14"/>
          <w:szCs w:val="14"/>
        </w:rPr>
      </w:pPr>
    </w:p>
    <w:p>
      <w:pPr>
        <w:pStyle w:val="BodyText"/>
        <w:spacing w:line="304" w:lineRule="auto"/>
        <w:ind w:right="1194" w:firstLine="420"/>
        <w:jc w:val="left"/>
      </w:pPr>
      <w:r>
        <w:rPr>
          <w:rFonts w:ascii="Times New Roman" w:hAnsi="Times New Roman" w:cs="Times New Roman" w:eastAsia="Times New Roman" w:hint="default"/>
        </w:rPr>
        <w:t>5.</w:t>
      </w:r>
      <w:r>
        <w:rPr/>
        <w:t>本公司将与本公司日常活动相关的政府补助按照经济业务实质计入其他收益或冲减相关成本费用；将与本公司日常 活动无关的政府补助，应当计入营业外收支。</w:t>
      </w:r>
    </w:p>
    <w:p>
      <w:pPr>
        <w:spacing w:line="240" w:lineRule="auto" w:before="11"/>
        <w:rPr>
          <w:rFonts w:ascii="宋体" w:hAnsi="宋体" w:cs="宋体" w:eastAsia="宋体" w:hint="default"/>
          <w:sz w:val="13"/>
          <w:szCs w:val="13"/>
        </w:rPr>
      </w:pPr>
    </w:p>
    <w:p>
      <w:pPr>
        <w:pStyle w:val="BodyText"/>
        <w:spacing w:line="304" w:lineRule="auto"/>
        <w:ind w:right="1194" w:firstLine="420"/>
        <w:jc w:val="left"/>
      </w:pPr>
      <w:r>
        <w:rPr>
          <w:rFonts w:ascii="Times New Roman" w:hAnsi="Times New Roman" w:cs="Times New Roman" w:eastAsia="Times New Roman" w:hint="default"/>
        </w:rPr>
        <w:t>6.</w:t>
      </w:r>
      <w:r>
        <w:rPr/>
        <w:t>本公司将取得的政策性优惠贷款贴息按照财政将贴息资金拨付给贷款银行和财政将贴息资金直接拨付给本公司两种 情况处理：</w:t>
      </w:r>
    </w:p>
    <w:p>
      <w:pPr>
        <w:spacing w:line="240" w:lineRule="auto" w:before="11"/>
        <w:rPr>
          <w:rFonts w:ascii="宋体" w:hAnsi="宋体" w:cs="宋体" w:eastAsia="宋体" w:hint="default"/>
          <w:sz w:val="13"/>
          <w:szCs w:val="13"/>
        </w:rPr>
      </w:pPr>
    </w:p>
    <w:p>
      <w:pPr>
        <w:pStyle w:val="BodyText"/>
        <w:spacing w:line="302" w:lineRule="auto"/>
        <w:ind w:right="1111" w:firstLine="420"/>
        <w:jc w:val="left"/>
      </w:pPr>
      <w:r>
        <w:rPr>
          <w:spacing w:val="-1"/>
        </w:rPr>
        <w:t>（</w:t>
      </w:r>
      <w:r>
        <w:rPr>
          <w:rFonts w:ascii="Times New Roman" w:hAnsi="Times New Roman" w:cs="Times New Roman" w:eastAsia="Times New Roman" w:hint="default"/>
          <w:spacing w:val="-1"/>
        </w:rPr>
        <w:t>1</w:t>
      </w:r>
      <w:r>
        <w:rPr>
          <w:spacing w:val="-1"/>
        </w:rPr>
        <w:t>）财政将贴息资金拨付给贷款银行，由贷款银行以政策性优惠利率向本公司提供贷款的，本公司选择按照下列方法</w:t>
      </w:r>
      <w:r>
        <w:rPr/>
        <w:t> 进行会计处理：以实际收到的借款金额作为借款的入账价值，按照借款本金和该政策性优惠利率计算相关借款费用。</w:t>
      </w:r>
    </w:p>
    <w:p>
      <w:pPr>
        <w:spacing w:line="240" w:lineRule="auto" w:before="13"/>
        <w:rPr>
          <w:rFonts w:ascii="宋体" w:hAnsi="宋体" w:cs="宋体" w:eastAsia="宋体" w:hint="default"/>
          <w:sz w:val="13"/>
          <w:szCs w:val="13"/>
        </w:rPr>
      </w:pPr>
    </w:p>
    <w:p>
      <w:pPr>
        <w:pStyle w:val="BodyText"/>
        <w:spacing w:line="240" w:lineRule="auto"/>
        <w:ind w:left="501" w:right="1100"/>
        <w:jc w:val="left"/>
      </w:pPr>
      <w:r>
        <w:rPr/>
        <w:t>（</w:t>
      </w:r>
      <w:r>
        <w:rPr>
          <w:rFonts w:ascii="Times New Roman" w:hAnsi="Times New Roman" w:cs="Times New Roman" w:eastAsia="Times New Roman" w:hint="default"/>
        </w:rPr>
        <w:t>2</w:t>
      </w:r>
      <w:r>
        <w:rPr/>
        <w:t>）财政将贴息资金直接拨付给本公司的，本公司将对应的贴息冲减相关借款费用。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Heading4"/>
        <w:spacing w:line="240" w:lineRule="auto"/>
        <w:ind w:right="1100"/>
        <w:jc w:val="left"/>
        <w:rPr>
          <w:b w:val="0"/>
          <w:bCs w:val="0"/>
        </w:rPr>
      </w:pPr>
      <w:bookmarkStart w:name="25、递延所得税资产/递延所得税负债" w:id="205"/>
      <w:bookmarkEnd w:id="205"/>
      <w:r>
        <w:rPr>
          <w:b w:val="0"/>
          <w:bCs w:val="0"/>
        </w:rPr>
      </w:r>
      <w:r>
        <w:rPr>
          <w:rFonts w:ascii="Times New Roman" w:hAnsi="Times New Roman" w:cs="Times New Roman" w:eastAsia="Times New Roman" w:hint="default"/>
        </w:rPr>
        <w:t>25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5"/>
        <w:rPr>
          <w:rFonts w:ascii="宋体" w:hAnsi="宋体" w:cs="宋体" w:eastAsia="宋体" w:hint="default"/>
          <w:b/>
          <w:bCs/>
          <w:sz w:val="26"/>
          <w:szCs w:val="26"/>
        </w:rPr>
      </w:pPr>
    </w:p>
    <w:p>
      <w:pPr>
        <w:pStyle w:val="BodyText"/>
        <w:spacing w:line="304" w:lineRule="auto"/>
        <w:ind w:right="1136" w:firstLine="420"/>
        <w:jc w:val="both"/>
      </w:pPr>
      <w:r>
        <w:rPr>
          <w:rFonts w:ascii="Times New Roman" w:hAnsi="Times New Roman" w:cs="Times New Roman" w:eastAsia="Times New Roman" w:hint="default"/>
        </w:rPr>
        <w:t>1.</w:t>
      </w:r>
      <w:r>
        <w:rPr/>
        <w:t>根据资产、负债的账面价值与其计税基础之间的差额（未作为资产和负债确认的项目按照税法规定可以确定其计税 </w:t>
      </w:r>
      <w:r>
        <w:rPr>
          <w:spacing w:val="-2"/>
        </w:rPr>
        <w:t>基础的，该计税基础与其账面数之间的差额），按照预期收回该资产或清偿该负债期间的适用税率计算确认递延所得税资产</w:t>
      </w:r>
      <w:r>
        <w:rPr>
          <w:spacing w:val="-75"/>
        </w:rPr>
        <w:t> </w:t>
      </w:r>
      <w:r>
        <w:rPr>
          <w:spacing w:val="-75"/>
        </w:rPr>
      </w:r>
      <w:r>
        <w:rPr/>
        <w:t>或递延所得税负债。</w:t>
      </w:r>
    </w:p>
    <w:p>
      <w:pPr>
        <w:spacing w:line="240" w:lineRule="auto" w:before="13"/>
        <w:rPr>
          <w:rFonts w:ascii="宋体" w:hAnsi="宋体" w:cs="宋体" w:eastAsia="宋体" w:hint="default"/>
          <w:sz w:val="14"/>
          <w:szCs w:val="14"/>
        </w:rPr>
      </w:pPr>
    </w:p>
    <w:p>
      <w:pPr>
        <w:pStyle w:val="BodyText"/>
        <w:spacing w:line="288" w:lineRule="auto"/>
        <w:ind w:right="1100" w:firstLine="420"/>
        <w:jc w:val="left"/>
      </w:pPr>
      <w:r>
        <w:rPr>
          <w:rFonts w:ascii="Times New Roman" w:hAnsi="Times New Roman" w:cs="Times New Roman" w:eastAsia="Times New Roman" w:hint="default"/>
        </w:rPr>
        <w:t>2.</w:t>
      </w:r>
      <w:r>
        <w:rPr/>
        <w:t>确认递延所得税资产以很可能取得用来抵扣可抵扣暂时性差异的应纳税所得额为限。资产负债表日，有确凿证据表 明未来期间很可能获得足够的应纳税所得额用来抵扣可抵扣暂时性差异的，确认以前会计期间未确认的递延所得税资产。</w:t>
      </w:r>
    </w:p>
    <w:p>
      <w:pPr>
        <w:spacing w:line="240" w:lineRule="auto" w:before="13"/>
        <w:rPr>
          <w:rFonts w:ascii="宋体" w:hAnsi="宋体" w:cs="宋体" w:eastAsia="宋体" w:hint="default"/>
          <w:sz w:val="15"/>
          <w:szCs w:val="15"/>
        </w:rPr>
      </w:pPr>
    </w:p>
    <w:p>
      <w:pPr>
        <w:pStyle w:val="BodyText"/>
        <w:spacing w:line="290" w:lineRule="auto"/>
        <w:ind w:right="1100" w:firstLine="420"/>
        <w:jc w:val="left"/>
      </w:pPr>
      <w:r>
        <w:rPr>
          <w:rFonts w:ascii="Times New Roman" w:hAnsi="Times New Roman" w:cs="Times New Roman" w:eastAsia="Times New Roman" w:hint="default"/>
        </w:rPr>
        <w:t>3.</w:t>
      </w:r>
      <w:r>
        <w:rPr/>
        <w:t>资产负债表日，对递延所得税资产的账面价值进行复核，如果未来期间很可能无法获得足够的应纳税所得额用以抵 扣递延所得税资产的利益，则减记递延所得税资产的账面价值。在很可能获得足够的应纳税所得额时，转回减记的金额。</w:t>
      </w:r>
    </w:p>
    <w:p>
      <w:pPr>
        <w:spacing w:line="240" w:lineRule="auto" w:before="11"/>
        <w:rPr>
          <w:rFonts w:ascii="宋体" w:hAnsi="宋体" w:cs="宋体" w:eastAsia="宋体" w:hint="default"/>
          <w:sz w:val="15"/>
          <w:szCs w:val="15"/>
        </w:rPr>
      </w:pPr>
    </w:p>
    <w:p>
      <w:pPr>
        <w:pStyle w:val="BodyText"/>
        <w:spacing w:line="302" w:lineRule="auto"/>
        <w:ind w:right="1104" w:firstLine="420"/>
        <w:jc w:val="left"/>
      </w:pPr>
      <w:r>
        <w:rPr>
          <w:rFonts w:ascii="Times New Roman" w:hAnsi="Times New Roman" w:cs="Times New Roman" w:eastAsia="Times New Roman" w:hint="default"/>
        </w:rPr>
        <w:t>4.</w:t>
      </w:r>
      <w:r>
        <w:rPr/>
        <w:t>本公司当期所得税和递延所得税作为所得税费用或收益计入当期损益，但不包括下列情况产生的所得税：（</w:t>
      </w:r>
      <w:r>
        <w:rPr>
          <w:rFonts w:ascii="Times New Roman" w:hAnsi="Times New Roman" w:cs="Times New Roman" w:eastAsia="Times New Roman" w:hint="default"/>
        </w:rPr>
        <w:t>1</w:t>
      </w:r>
      <w:r>
        <w:rPr/>
        <w:t>）企业 合并；（</w:t>
      </w:r>
      <w:r>
        <w:rPr>
          <w:rFonts w:ascii="Times New Roman" w:hAnsi="Times New Roman" w:cs="Times New Roman" w:eastAsia="Times New Roman" w:hint="default"/>
        </w:rPr>
        <w:t>2</w:t>
      </w:r>
      <w:r>
        <w:rPr/>
        <w:t>）直接在所有者权益中确认的交易或者事项。</w:t>
      </w:r>
    </w:p>
    <w:p>
      <w:pPr>
        <w:spacing w:line="240" w:lineRule="auto" w:before="7"/>
        <w:rPr>
          <w:rFonts w:ascii="宋体" w:hAnsi="宋体" w:cs="宋体" w:eastAsia="宋体" w:hint="default"/>
          <w:sz w:val="22"/>
          <w:szCs w:val="22"/>
        </w:rPr>
      </w:pPr>
    </w:p>
    <w:p>
      <w:pPr>
        <w:pStyle w:val="Heading4"/>
        <w:spacing w:line="240" w:lineRule="auto"/>
        <w:ind w:right="1100"/>
        <w:jc w:val="left"/>
        <w:rPr>
          <w:b w:val="0"/>
          <w:bCs w:val="0"/>
        </w:rPr>
      </w:pPr>
      <w:bookmarkStart w:name="26、租赁" w:id="206"/>
      <w:bookmarkEnd w:id="206"/>
      <w:r>
        <w:rPr>
          <w:b w:val="0"/>
          <w:bCs w:val="0"/>
        </w:rPr>
      </w:r>
      <w:r>
        <w:rPr>
          <w:rFonts w:ascii="Times New Roman" w:hAnsi="Times New Roman" w:cs="Times New Roman" w:eastAsia="Times New Roman" w:hint="default"/>
        </w:rPr>
        <w:t>26</w:t>
      </w:r>
      <w:r>
        <w:rPr/>
        <w:t>、租赁</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1100"/>
        <w:jc w:val="left"/>
        <w:rPr>
          <w:b w:val="0"/>
          <w:bCs w:val="0"/>
        </w:rPr>
      </w:pPr>
      <w:bookmarkStart w:name="（1）经营租赁的会计处理方法" w:id="207"/>
      <w:bookmarkEnd w:id="207"/>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3"/>
        <w:rPr>
          <w:rFonts w:ascii="宋体" w:hAnsi="宋体" w:cs="宋体" w:eastAsia="宋体" w:hint="default"/>
          <w:b/>
          <w:bCs/>
          <w:sz w:val="25"/>
          <w:szCs w:val="25"/>
        </w:rPr>
      </w:pPr>
    </w:p>
    <w:p>
      <w:pPr>
        <w:pStyle w:val="BodyText"/>
        <w:spacing w:line="321" w:lineRule="auto"/>
        <w:ind w:right="1100" w:firstLine="420"/>
        <w:jc w:val="left"/>
      </w:pPr>
      <w:r>
        <w:rPr/>
        <w:t>本公司为承租人时，在租赁期内各个期间按照直线法将租金计入相关资产成本或确认为当期损益，发生的初始直接费 用，直接计入当期损益。或有租金在实际发生时计入当期损益。</w:t>
      </w:r>
    </w:p>
    <w:p>
      <w:pPr>
        <w:spacing w:after="0" w:line="321" w:lineRule="auto"/>
        <w:jc w:val="left"/>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4"/>
        <w:spacing w:line="240" w:lineRule="auto" w:before="35"/>
        <w:ind w:right="1100"/>
        <w:jc w:val="left"/>
        <w:rPr>
          <w:b w:val="0"/>
          <w:bCs w:val="0"/>
        </w:rPr>
      </w:pPr>
      <w:bookmarkStart w:name="（2）融资租赁的会计处理方法" w:id="208"/>
      <w:bookmarkEnd w:id="208"/>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3"/>
        <w:rPr>
          <w:rFonts w:ascii="宋体" w:hAnsi="宋体" w:cs="宋体" w:eastAsia="宋体" w:hint="default"/>
          <w:b/>
          <w:bCs/>
          <w:sz w:val="25"/>
          <w:szCs w:val="25"/>
        </w:rPr>
      </w:pPr>
    </w:p>
    <w:p>
      <w:pPr>
        <w:pStyle w:val="BodyText"/>
        <w:spacing w:line="321" w:lineRule="auto"/>
        <w:ind w:right="1029" w:firstLine="420"/>
        <w:jc w:val="left"/>
      </w:pPr>
      <w:r>
        <w:rPr/>
        <w:t>本公司为承租人时，在租赁期开始日，本公司以租赁开始日租赁资产公允价值与最低租赁付款额现值中两者较低者作 为租入资产的入账价值，将最低租赁付款额作为长期应付款的入账价值，其差额为未确认融资费用，发生的初始直接费用， 计入租赁资产价值。在租赁期各个期间，采用实际利率法计算确认当期的融资费用。</w:t>
      </w:r>
    </w:p>
    <w:p>
      <w:pPr>
        <w:spacing w:line="240" w:lineRule="auto" w:before="12"/>
        <w:rPr>
          <w:rFonts w:ascii="宋体" w:hAnsi="宋体" w:cs="宋体" w:eastAsia="宋体" w:hint="default"/>
          <w:sz w:val="12"/>
          <w:szCs w:val="12"/>
        </w:rPr>
      </w:pPr>
    </w:p>
    <w:p>
      <w:pPr>
        <w:pStyle w:val="BodyText"/>
        <w:spacing w:line="321" w:lineRule="auto"/>
        <w:ind w:right="1136" w:firstLine="420"/>
        <w:jc w:val="both"/>
      </w:pPr>
      <w:r>
        <w:rPr/>
        <w:t>本公司为出租人时，在租赁期开始日，本公司以租赁开始日最低租赁收款额与初始直接费用之和作为应收融资租赁款 </w:t>
      </w:r>
      <w:r>
        <w:rPr>
          <w:spacing w:val="-2"/>
        </w:rPr>
        <w:t>的入账价值，同时记录未担保余值；将最低租赁收款额、初始直接费用及未担保余值之和与其现值之和的差额确认为未实现</w:t>
      </w:r>
      <w:r>
        <w:rPr>
          <w:spacing w:val="-75"/>
        </w:rPr>
        <w:t> </w:t>
      </w:r>
      <w:r>
        <w:rPr>
          <w:spacing w:val="-75"/>
        </w:rPr>
      </w:r>
      <w:r>
        <w:rPr/>
        <w:t>融资收益。在租赁期各个期间，采用实际利率法计算确认当期的融资收入。</w:t>
      </w:r>
    </w:p>
    <w:p>
      <w:pPr>
        <w:spacing w:line="240" w:lineRule="auto" w:before="11"/>
        <w:rPr>
          <w:rFonts w:ascii="宋体" w:hAnsi="宋体" w:cs="宋体" w:eastAsia="宋体" w:hint="default"/>
          <w:sz w:val="22"/>
          <w:szCs w:val="22"/>
        </w:rPr>
      </w:pPr>
    </w:p>
    <w:p>
      <w:pPr>
        <w:pStyle w:val="Heading4"/>
        <w:spacing w:line="240" w:lineRule="auto"/>
        <w:ind w:right="1100"/>
        <w:jc w:val="left"/>
        <w:rPr>
          <w:b w:val="0"/>
          <w:bCs w:val="0"/>
        </w:rPr>
      </w:pPr>
      <w:bookmarkStart w:name="27、重要会计政策和会计估计变更" w:id="209"/>
      <w:bookmarkEnd w:id="209"/>
      <w:r>
        <w:rPr>
          <w:b w:val="0"/>
          <w:bCs w:val="0"/>
        </w:rPr>
      </w:r>
      <w:r>
        <w:rPr>
          <w:rFonts w:ascii="Times New Roman" w:hAnsi="Times New Roman" w:cs="Times New Roman" w:eastAsia="Times New Roman" w:hint="default"/>
        </w:rPr>
        <w:t>27</w:t>
      </w:r>
      <w:r>
        <w:rPr/>
        <w:t>、重要会计政策和会计估计变更</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1100"/>
        <w:jc w:val="left"/>
        <w:rPr>
          <w:b w:val="0"/>
          <w:bCs w:val="0"/>
        </w:rPr>
      </w:pPr>
      <w:bookmarkStart w:name="（1）重要会计政策变更" w:id="210"/>
      <w:bookmarkEnd w:id="210"/>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95"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8512"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年陆续修订印发《企业会</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计准则第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金融工具确认和计量</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金融资产转</w:t>
            </w:r>
          </w:p>
          <w:p>
            <w:pPr>
              <w:pStyle w:val="TableParagraph"/>
              <w:spacing w:line="240" w:lineRule="auto" w:before="51"/>
              <w:ind w:left="15" w:right="-45"/>
              <w:jc w:val="left"/>
              <w:rPr>
                <w:rFonts w:ascii="宋体" w:hAnsi="宋体" w:cs="宋体" w:eastAsia="宋体" w:hint="default"/>
                <w:sz w:val="18"/>
                <w:szCs w:val="18"/>
              </w:rPr>
            </w:pPr>
            <w:r>
              <w:rPr>
                <w:rFonts w:ascii="宋体" w:hAnsi="宋体" w:cs="宋体" w:eastAsia="宋体" w:hint="default"/>
                <w:sz w:val="18"/>
                <w:szCs w:val="18"/>
              </w:rPr>
              <w:t>移</w:t>
            </w:r>
            <w:r>
              <w:rPr>
                <w:rFonts w:ascii="宋体" w:hAnsi="宋体" w:cs="宋体" w:eastAsia="宋体" w:hint="default"/>
                <w:spacing w:val="-90"/>
                <w:sz w:val="18"/>
                <w:szCs w:val="18"/>
              </w:rPr>
              <w:t>》、</w:t>
            </w:r>
            <w:r>
              <w:rPr>
                <w:rFonts w:ascii="宋体" w:hAnsi="宋体" w:cs="宋体" w:eastAsia="宋体" w:hint="default"/>
                <w:sz w:val="18"/>
                <w:szCs w:val="18"/>
              </w:rPr>
              <w:t>《企业会计准则第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套期会计》</w:t>
            </w:r>
          </w:p>
          <w:p>
            <w:pPr>
              <w:pStyle w:val="TableParagraph"/>
              <w:spacing w:line="300" w:lineRule="auto" w:before="66"/>
              <w:ind w:left="15" w:right="28"/>
              <w:jc w:val="left"/>
              <w:rPr>
                <w:rFonts w:ascii="宋体" w:hAnsi="宋体" w:cs="宋体" w:eastAsia="宋体" w:hint="default"/>
                <w:sz w:val="18"/>
                <w:szCs w:val="18"/>
              </w:rPr>
            </w:pPr>
            <w:r>
              <w:rPr>
                <w:rFonts w:ascii="宋体" w:hAnsi="宋体" w:cs="宋体" w:eastAsia="宋体" w:hint="default"/>
                <w:sz w:val="18"/>
                <w:szCs w:val="18"/>
              </w:rPr>
              <w:t>和《企业会计准则第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37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金融工具列 报》等四项会计准则（简称</w:t>
            </w:r>
            <w:r>
              <w:rPr>
                <w:rFonts w:ascii="Times New Roman" w:hAnsi="Times New Roman" w:cs="Times New Roman" w:eastAsia="Times New Roman" w:hint="default"/>
                <w:sz w:val="18"/>
                <w:szCs w:val="18"/>
              </w:rPr>
              <w:t>"</w:t>
            </w:r>
            <w:r>
              <w:rPr>
                <w:rFonts w:ascii="宋体" w:hAnsi="宋体" w:cs="宋体" w:eastAsia="宋体" w:hint="default"/>
                <w:sz w:val="18"/>
                <w:szCs w:val="18"/>
              </w:rPr>
              <w:t>新金融准则</w:t>
            </w:r>
            <w:r>
              <w:rPr>
                <w:rFonts w:ascii="宋体" w:hAnsi="宋体" w:cs="宋体" w:eastAsia="宋体" w:hint="default"/>
                <w:spacing w:val="-88"/>
                <w:sz w:val="18"/>
                <w:szCs w:val="18"/>
              </w:rPr>
              <w:t> </w:t>
            </w:r>
            <w:r>
              <w:rPr>
                <w:rFonts w:ascii="Times New Roman" w:hAnsi="Times New Roman" w:cs="Times New Roman" w:eastAsia="Times New Roman" w:hint="default"/>
                <w:spacing w:val="-9"/>
                <w:w w:val="99"/>
                <w:sz w:val="18"/>
                <w:szCs w:val="18"/>
              </w:rPr>
              <w:t>"</w:t>
            </w:r>
            <w:r>
              <w:rPr>
                <w:rFonts w:ascii="宋体" w:hAnsi="宋体" w:cs="宋体" w:eastAsia="宋体" w:hint="default"/>
                <w:spacing w:val="-9"/>
                <w:w w:val="99"/>
                <w:sz w:val="18"/>
                <w:szCs w:val="18"/>
              </w:rPr>
              <w:t>），境内上市企业自</w:t>
            </w:r>
            <w:r>
              <w:rPr>
                <w:rFonts w:ascii="宋体" w:hAnsi="宋体" w:cs="宋体" w:eastAsia="宋体" w:hint="default"/>
                <w:spacing w:val="-43"/>
                <w:w w:val="99"/>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日起 开始执行。</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04" w:lineRule="auto"/>
              <w:ind w:left="14" w:right="89"/>
              <w:jc w:val="both"/>
              <w:rPr>
                <w:rFonts w:ascii="宋体" w:hAnsi="宋体" w:cs="宋体" w:eastAsia="宋体" w:hint="default"/>
                <w:sz w:val="18"/>
                <w:szCs w:val="18"/>
              </w:rPr>
            </w:pPr>
            <w:r>
              <w:rPr>
                <w:rFonts w:ascii="宋体" w:hAnsi="宋体" w:cs="宋体" w:eastAsia="宋体" w:hint="default"/>
                <w:sz w:val="18"/>
                <w:szCs w:val="18"/>
              </w:rPr>
              <w:t>经本公司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 三届董事会第二十四次会议和第三届监 事会第十七次会议审议通过。</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60"/>
              <w:ind w:left="30" w:right="1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、以企业持有金融资产的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业务模式</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和</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金融资产合同现金流量特征</w:t>
            </w:r>
            <w:r>
              <w:rPr>
                <w:rFonts w:ascii="Times New Roman" w:hAnsi="Times New Roman" w:cs="Times New Roman" w:eastAsia="Times New Roman" w:hint="default"/>
                <w:sz w:val="18"/>
                <w:szCs w:val="18"/>
              </w:rPr>
              <w:t>"</w:t>
            </w:r>
            <w:r>
              <w:rPr>
                <w:rFonts w:ascii="宋体" w:hAnsi="宋体" w:cs="宋体" w:eastAsia="宋体" w:hint="default"/>
                <w:sz w:val="18"/>
                <w:szCs w:val="18"/>
              </w:rPr>
              <w:t>作为金融</w:t>
            </w:r>
            <w:r>
              <w:rPr>
                <w:rFonts w:ascii="宋体" w:hAnsi="宋体" w:cs="宋体" w:eastAsia="宋体" w:hint="default"/>
                <w:spacing w:val="-88"/>
                <w:sz w:val="18"/>
                <w:szCs w:val="18"/>
              </w:rPr>
              <w:t> </w:t>
            </w:r>
            <w:r>
              <w:rPr>
                <w:rFonts w:ascii="宋体" w:hAnsi="宋体" w:cs="宋体" w:eastAsia="宋体" w:hint="default"/>
                <w:sz w:val="18"/>
                <w:szCs w:val="18"/>
              </w:rPr>
              <w:t>资产分类的判断依据，将金融资产分类</w:t>
            </w:r>
          </w:p>
          <w:p>
            <w:pPr>
              <w:pStyle w:val="TableParagraph"/>
              <w:spacing w:line="312"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为</w:t>
            </w:r>
            <w:r>
              <w:rPr>
                <w:rFonts w:ascii="Times New Roman" w:hAnsi="Times New Roman" w:cs="Times New Roman" w:eastAsia="Times New Roman" w:hint="default"/>
                <w:sz w:val="18"/>
                <w:szCs w:val="18"/>
              </w:rPr>
              <w:t>"</w:t>
            </w:r>
            <w:r>
              <w:rPr>
                <w:rFonts w:ascii="宋体" w:hAnsi="宋体" w:cs="宋体" w:eastAsia="宋体" w:hint="default"/>
                <w:sz w:val="18"/>
                <w:szCs w:val="18"/>
              </w:rPr>
              <w:t>以摊余成本计量的金融资产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以公</w:t>
            </w:r>
            <w:r>
              <w:rPr>
                <w:rFonts w:ascii="宋体" w:hAnsi="宋体" w:cs="宋体" w:eastAsia="宋体" w:hint="default"/>
                <w:spacing w:val="-86"/>
                <w:sz w:val="18"/>
                <w:szCs w:val="18"/>
              </w:rPr>
              <w:t> </w:t>
            </w:r>
            <w:r>
              <w:rPr>
                <w:rFonts w:ascii="宋体" w:hAnsi="宋体" w:cs="宋体" w:eastAsia="宋体" w:hint="default"/>
                <w:sz w:val="18"/>
                <w:szCs w:val="18"/>
              </w:rPr>
              <w:t>允价值计量且其变动计入其他综合收益 的金融资产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以公允价值计量且其变 动计入当期损益的金融资产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三类。</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pacing w:val="-87"/>
                <w:sz w:val="18"/>
                <w:szCs w:val="18"/>
              </w:rPr>
              <w:t> </w:t>
            </w:r>
            <w:r>
              <w:rPr>
                <w:rFonts w:ascii="宋体" w:hAnsi="宋体" w:cs="宋体" w:eastAsia="宋体" w:hint="default"/>
                <w:sz w:val="18"/>
                <w:szCs w:val="18"/>
              </w:rPr>
              <w:t>调整了非交易性权益工具投资的会计处 理。允许企业将非交易性权益工具投资 指定为以公允价值计量且其变动计入其 他综合收益进行处理，但该指定不可撤 销，且在处置时应将之前已计入其他综 合收益的累计利得或损失转入留存收</w:t>
            </w:r>
            <w:r>
              <w:rPr>
                <w:rFonts w:ascii="宋体" w:hAnsi="宋体" w:cs="宋体" w:eastAsia="宋体" w:hint="default"/>
                <w:sz w:val="18"/>
                <w:szCs w:val="18"/>
              </w:rPr>
              <w:t> 益，不得结转计入当期损益。</w:t>
            </w:r>
            <w:r>
              <w:rPr>
                <w:rFonts w:ascii="Times New Roman" w:hAnsi="Times New Roman" w:cs="Times New Roman" w:eastAsia="Times New Roman" w:hint="default"/>
                <w:sz w:val="18"/>
                <w:szCs w:val="18"/>
              </w:rPr>
              <w:t>3</w:t>
            </w:r>
            <w:r>
              <w:rPr>
                <w:rFonts w:ascii="宋体" w:hAnsi="宋体" w:cs="宋体" w:eastAsia="宋体" w:hint="default"/>
                <w:sz w:val="18"/>
                <w:szCs w:val="18"/>
              </w:rPr>
              <w:t>、金融资</w:t>
            </w:r>
          </w:p>
          <w:p>
            <w:pPr>
              <w:pStyle w:val="TableParagraph"/>
              <w:spacing w:line="290" w:lineRule="auto" w:before="6"/>
              <w:ind w:left="30" w:right="17"/>
              <w:jc w:val="both"/>
              <w:rPr>
                <w:rFonts w:ascii="宋体" w:hAnsi="宋体" w:cs="宋体" w:eastAsia="宋体" w:hint="default"/>
                <w:sz w:val="18"/>
                <w:szCs w:val="18"/>
              </w:rPr>
            </w:pPr>
            <w:r>
              <w:rPr>
                <w:rFonts w:ascii="宋体" w:hAnsi="宋体" w:cs="宋体" w:eastAsia="宋体" w:hint="default"/>
                <w:sz w:val="18"/>
                <w:szCs w:val="18"/>
              </w:rPr>
              <w:t>产减值会计处理由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已发生损失法</w:t>
            </w:r>
            <w:r>
              <w:rPr>
                <w:rFonts w:ascii="Times New Roman" w:hAnsi="Times New Roman" w:cs="Times New Roman" w:eastAsia="Times New Roman" w:hint="default"/>
                <w:sz w:val="18"/>
                <w:szCs w:val="18"/>
              </w:rPr>
              <w:t>"</w:t>
            </w:r>
            <w:r>
              <w:rPr>
                <w:rFonts w:ascii="宋体" w:hAnsi="宋体" w:cs="宋体" w:eastAsia="宋体" w:hint="default"/>
                <w:sz w:val="18"/>
                <w:szCs w:val="18"/>
              </w:rPr>
              <w:t>改为</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预期损失法</w:t>
            </w:r>
            <w:r>
              <w:rPr>
                <w:rFonts w:ascii="Times New Roman" w:hAnsi="Times New Roman" w:cs="Times New Roman" w:eastAsia="Times New Roman" w:hint="default"/>
                <w:sz w:val="18"/>
                <w:szCs w:val="18"/>
              </w:rPr>
              <w:t>"</w:t>
            </w:r>
            <w:r>
              <w:rPr>
                <w:rFonts w:ascii="宋体" w:hAnsi="宋体" w:cs="宋体" w:eastAsia="宋体" w:hint="default"/>
                <w:sz w:val="18"/>
                <w:szCs w:val="18"/>
              </w:rPr>
              <w:t>，要求考虑金融资产未来预 期信用损失情况，从而更加及时、足额</w:t>
            </w:r>
          </w:p>
          <w:p>
            <w:pPr>
              <w:pStyle w:val="TableParagraph"/>
              <w:spacing w:line="290" w:lineRule="auto" w:before="57"/>
              <w:ind w:left="30" w:right="1"/>
              <w:jc w:val="left"/>
              <w:rPr>
                <w:rFonts w:ascii="宋体" w:hAnsi="宋体" w:cs="宋体" w:eastAsia="宋体" w:hint="default"/>
                <w:sz w:val="18"/>
                <w:szCs w:val="18"/>
              </w:rPr>
            </w:pPr>
            <w:r>
              <w:rPr>
                <w:rFonts w:ascii="宋体" w:hAnsi="宋体" w:cs="宋体" w:eastAsia="宋体" w:hint="default"/>
                <w:sz w:val="18"/>
                <w:szCs w:val="18"/>
              </w:rPr>
              <w:t>地计提金融资产减值准备。</w:t>
            </w:r>
            <w:r>
              <w:rPr>
                <w:rFonts w:ascii="Times New Roman" w:hAnsi="Times New Roman" w:cs="Times New Roman" w:eastAsia="Times New Roman" w:hint="default"/>
                <w:sz w:val="18"/>
                <w:szCs w:val="18"/>
              </w:rPr>
              <w:t>4</w:t>
            </w:r>
            <w:r>
              <w:rPr>
                <w:rFonts w:ascii="宋体" w:hAnsi="宋体" w:cs="宋体" w:eastAsia="宋体" w:hint="default"/>
                <w:sz w:val="18"/>
                <w:szCs w:val="18"/>
              </w:rPr>
              <w:t>、进一步明 确金融资产转移的判断原则及其会计处</w:t>
            </w:r>
          </w:p>
          <w:p>
            <w:pPr>
              <w:pStyle w:val="TableParagraph"/>
              <w:spacing w:line="297" w:lineRule="auto" w:before="56"/>
              <w:ind w:left="30" w:right="1"/>
              <w:jc w:val="left"/>
              <w:rPr>
                <w:rFonts w:ascii="宋体" w:hAnsi="宋体" w:cs="宋体" w:eastAsia="宋体" w:hint="default"/>
                <w:sz w:val="18"/>
                <w:szCs w:val="18"/>
              </w:rPr>
            </w:pPr>
            <w:r>
              <w:rPr>
                <w:rFonts w:ascii="宋体" w:hAnsi="宋体" w:cs="宋体" w:eastAsia="宋体" w:hint="default"/>
                <w:sz w:val="18"/>
                <w:szCs w:val="18"/>
              </w:rPr>
              <w:t>理。</w:t>
            </w:r>
            <w:r>
              <w:rPr>
                <w:rFonts w:ascii="Times New Roman" w:hAnsi="Times New Roman" w:cs="Times New Roman" w:eastAsia="Times New Roman" w:hint="default"/>
                <w:sz w:val="18"/>
                <w:szCs w:val="18"/>
              </w:rPr>
              <w:t>5</w:t>
            </w:r>
            <w:r>
              <w:rPr>
                <w:rFonts w:ascii="宋体" w:hAnsi="宋体" w:cs="宋体" w:eastAsia="宋体" w:hint="default"/>
                <w:sz w:val="18"/>
                <w:szCs w:val="18"/>
              </w:rPr>
              <w:t>、修订套期会计相关规定，使套期 会计更加如实地反映企业的风险管理活 动。根据新金融准则衔接规定要求，公</w:t>
            </w:r>
          </w:p>
          <w:p>
            <w:pPr>
              <w:pStyle w:val="TableParagraph"/>
              <w:spacing w:line="316" w:lineRule="auto" w:before="36"/>
              <w:ind w:left="30" w:right="91"/>
              <w:jc w:val="left"/>
              <w:rPr>
                <w:rFonts w:ascii="宋体" w:hAnsi="宋体" w:cs="宋体" w:eastAsia="宋体" w:hint="default"/>
                <w:sz w:val="18"/>
                <w:szCs w:val="18"/>
              </w:rPr>
            </w:pPr>
            <w:r>
              <w:rPr>
                <w:rFonts w:ascii="宋体" w:hAnsi="宋体" w:cs="宋体" w:eastAsia="宋体" w:hint="default"/>
                <w:sz w:val="18"/>
                <w:szCs w:val="18"/>
              </w:rPr>
              <w:t>司对上年同期比较报表不进行追溯调 整，新旧准则转换累计影响结果仅对期 初留存收益或其他综合收益进行调整。 执行上述新金融准则不会对公司财务报 表产生重大影响。</w:t>
            </w:r>
          </w:p>
        </w:tc>
      </w:tr>
    </w:tbl>
    <w:p>
      <w:pPr>
        <w:spacing w:after="0" w:line="316"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宋体" w:hAnsi="宋体" w:cs="宋体" w:eastAsia="宋体" w:hint="default"/>
          <w:sz w:val="20"/>
          <w:szCs w:val="20"/>
        </w:rPr>
      </w:pPr>
      <w:r>
        <w:rPr/>
        <w:pict>
          <v:shape style="position:absolute;margin-left:56.325001pt;margin-top:72.080002pt;width:480.25pt;height:685.35pt;mso-position-horizontal-relative:page;mso-position-vertical-relative:page;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9"/>
                    <w:gridCol w:w="3184"/>
                    <w:gridCol w:w="3199"/>
                  </w:tblGrid>
                  <w:tr>
                    <w:trPr>
                      <w:trHeight w:val="7581"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日发布《关于</w:t>
                        </w:r>
                      </w:p>
                      <w:p>
                        <w:pPr>
                          <w:pStyle w:val="TableParagraph"/>
                          <w:spacing w:line="304" w:lineRule="auto" w:before="51"/>
                          <w:ind w:left="15" w:right="15"/>
                          <w:jc w:val="left"/>
                          <w:rPr>
                            <w:rFonts w:ascii="宋体" w:hAnsi="宋体" w:cs="宋体" w:eastAsia="宋体" w:hint="default"/>
                            <w:sz w:val="18"/>
                            <w:szCs w:val="18"/>
                          </w:rPr>
                        </w:pPr>
                        <w:r>
                          <w:rPr>
                            <w:rFonts w:ascii="宋体" w:hAnsi="宋体" w:cs="宋体" w:eastAsia="宋体" w:hint="default"/>
                            <w:sz w:val="18"/>
                            <w:szCs w:val="18"/>
                          </w:rPr>
                          <w:t>修订印发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年度一般企业财务报表格 </w:t>
                        </w:r>
                        <w:r>
                          <w:rPr>
                            <w:rFonts w:ascii="宋体" w:hAnsi="宋体" w:cs="宋体" w:eastAsia="宋体" w:hint="default"/>
                            <w:spacing w:val="-6"/>
                            <w:sz w:val="18"/>
                            <w:szCs w:val="18"/>
                          </w:rPr>
                          <w:t>式的通知》（财会</w:t>
                        </w:r>
                        <w:r>
                          <w:rPr>
                            <w:rFonts w:ascii="Times New Roman" w:hAnsi="Times New Roman" w:cs="Times New Roman" w:eastAsia="Times New Roman" w:hint="default"/>
                            <w:spacing w:val="-6"/>
                            <w:sz w:val="18"/>
                            <w:szCs w:val="18"/>
                          </w:rPr>
                          <w:t>[2019]6</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号），适用于执</w:t>
                        </w:r>
                        <w:r>
                          <w:rPr>
                            <w:rFonts w:ascii="宋体" w:hAnsi="宋体" w:cs="宋体" w:eastAsia="宋体" w:hint="default"/>
                            <w:sz w:val="18"/>
                            <w:szCs w:val="18"/>
                          </w:rPr>
                          <w:t> 行企业会计准则的非金融企业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 度中期财务报表和年度财务报表及以后 期间的财务报表。</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97" w:lineRule="auto"/>
                          <w:ind w:left="14" w:right="92"/>
                          <w:jc w:val="both"/>
                          <w:rPr>
                            <w:rFonts w:ascii="宋体" w:hAnsi="宋体" w:cs="宋体" w:eastAsia="宋体" w:hint="default"/>
                            <w:sz w:val="18"/>
                            <w:szCs w:val="18"/>
                          </w:rPr>
                        </w:pPr>
                        <w:r>
                          <w:rPr>
                            <w:rFonts w:ascii="宋体" w:hAnsi="宋体" w:cs="宋体" w:eastAsia="宋体" w:hint="default"/>
                            <w:sz w:val="18"/>
                            <w:szCs w:val="18"/>
                          </w:rPr>
                          <w:t>经本公司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 三届董事会第二十四次会议和第三届监 事会第十七次会议审议通过。</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9"/>
                          <w:ind w:left="30" w:right="14"/>
                          <w:jc w:val="left"/>
                          <w:rPr>
                            <w:rFonts w:ascii="宋体" w:hAnsi="宋体" w:cs="宋体" w:eastAsia="宋体" w:hint="default"/>
                            <w:sz w:val="18"/>
                            <w:szCs w:val="18"/>
                          </w:rPr>
                        </w:pPr>
                        <w:r>
                          <w:rPr>
                            <w:rFonts w:ascii="宋体" w:hAnsi="宋体" w:cs="宋体" w:eastAsia="宋体" w:hint="default"/>
                            <w:sz w:val="18"/>
                            <w:szCs w:val="18"/>
                          </w:rPr>
                          <w:t>根据《关于修订印发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年度一般企业 </w:t>
                        </w:r>
                        <w:r>
                          <w:rPr>
                            <w:rFonts w:ascii="宋体" w:hAnsi="宋体" w:cs="宋体" w:eastAsia="宋体" w:hint="default"/>
                            <w:spacing w:val="-5"/>
                            <w:sz w:val="18"/>
                            <w:szCs w:val="18"/>
                          </w:rPr>
                          <w:t>财务报表格式的通知》（财会</w:t>
                        </w:r>
                        <w:r>
                          <w:rPr>
                            <w:rFonts w:ascii="Times New Roman" w:hAnsi="Times New Roman" w:cs="Times New Roman" w:eastAsia="Times New Roman" w:hint="default"/>
                            <w:spacing w:val="-5"/>
                            <w:sz w:val="18"/>
                            <w:szCs w:val="18"/>
                          </w:rPr>
                          <w:t>[2019]6</w:t>
                        </w:r>
                        <w:r>
                          <w:rPr>
                            <w:rFonts w:ascii="Times New Roman" w:hAnsi="Times New Roman" w:cs="Times New Roman" w:eastAsia="Times New Roman" w:hint="default"/>
                            <w:sz w:val="18"/>
                            <w:szCs w:val="18"/>
                          </w:rPr>
                          <w:t> </w:t>
                        </w:r>
                        <w:r>
                          <w:rPr>
                            <w:rFonts w:ascii="宋体" w:hAnsi="宋体" w:cs="宋体" w:eastAsia="宋体" w:hint="default"/>
                            <w:sz w:val="18"/>
                            <w:szCs w:val="18"/>
                          </w:rPr>
                          <w:t>号</w:t>
                        </w:r>
                        <w:r>
                          <w:rPr>
                            <w:rFonts w:ascii="宋体" w:hAnsi="宋体" w:cs="宋体" w:eastAsia="宋体" w:hint="default"/>
                            <w:spacing w:val="-77"/>
                            <w:sz w:val="18"/>
                            <w:szCs w:val="18"/>
                          </w:rPr>
                          <w:t> </w:t>
                        </w:r>
                        <w:r>
                          <w:rPr>
                            <w:rFonts w:ascii="宋体" w:hAnsi="宋体" w:cs="宋体" w:eastAsia="宋体" w:hint="default"/>
                            <w:sz w:val="18"/>
                            <w:szCs w:val="18"/>
                          </w:rPr>
                          <w:t>相关要求，公司将对财务报表相关项目 进行列报调整，并对可比会计期间的比</w:t>
                        </w:r>
                      </w:p>
                      <w:p>
                        <w:pPr>
                          <w:pStyle w:val="TableParagraph"/>
                          <w:spacing w:line="297" w:lineRule="auto" w:before="49"/>
                          <w:ind w:left="30" w:right="14"/>
                          <w:jc w:val="left"/>
                          <w:rPr>
                            <w:rFonts w:ascii="宋体" w:hAnsi="宋体" w:cs="宋体" w:eastAsia="宋体" w:hint="default"/>
                            <w:sz w:val="18"/>
                            <w:szCs w:val="18"/>
                          </w:rPr>
                        </w:pPr>
                        <w:r>
                          <w:rPr>
                            <w:rFonts w:ascii="宋体" w:hAnsi="宋体" w:cs="宋体" w:eastAsia="宋体" w:hint="default"/>
                            <w:spacing w:val="-7"/>
                            <w:sz w:val="18"/>
                            <w:szCs w:val="18"/>
                          </w:rPr>
                          <w:t>较数据相应进行调整，具体情况如下：</w:t>
                        </w:r>
                        <w:r>
                          <w:rPr>
                            <w:rFonts w:ascii="Times New Roman" w:hAnsi="Times New Roman" w:cs="Times New Roman" w:eastAsia="Times New Roman" w:hint="default"/>
                            <w:spacing w:val="-7"/>
                            <w:sz w:val="18"/>
                            <w:szCs w:val="18"/>
                          </w:rPr>
                          <w:t>1</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资产负债表中</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项</w:t>
                        </w:r>
                        <w:r>
                          <w:rPr>
                            <w:rFonts w:ascii="宋体" w:hAnsi="宋体" w:cs="宋体" w:eastAsia="宋体" w:hint="default"/>
                            <w:spacing w:val="-86"/>
                            <w:sz w:val="18"/>
                            <w:szCs w:val="18"/>
                          </w:rPr>
                          <w:t> </w:t>
                        </w:r>
                        <w:r>
                          <w:rPr>
                            <w:rFonts w:ascii="宋体" w:hAnsi="宋体" w:cs="宋体" w:eastAsia="宋体" w:hint="default"/>
                            <w:sz w:val="18"/>
                            <w:szCs w:val="18"/>
                          </w:rPr>
                          <w:t>目分拆为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两个</w:t>
                        </w:r>
                        <w:r>
                          <w:rPr>
                            <w:rFonts w:ascii="宋体" w:hAnsi="宋体" w:cs="宋体" w:eastAsia="宋体" w:hint="default"/>
                            <w:spacing w:val="-85"/>
                            <w:sz w:val="18"/>
                            <w:szCs w:val="18"/>
                          </w:rPr>
                          <w:t> </w:t>
                        </w:r>
                        <w:r>
                          <w:rPr>
                            <w:rFonts w:ascii="宋体" w:hAnsi="宋体" w:cs="宋体" w:eastAsia="宋体" w:hint="default"/>
                            <w:spacing w:val="-4"/>
                            <w:w w:val="99"/>
                            <w:sz w:val="18"/>
                            <w:szCs w:val="18"/>
                          </w:rPr>
                          <w:t>项目；</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应付票据及应付账款</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项目分拆为</w:t>
                        </w:r>
                        <w:r>
                          <w:rPr>
                            <w:rFonts w:ascii="宋体" w:hAnsi="宋体" w:cs="宋体" w:eastAsia="宋体" w:hint="default"/>
                            <w:spacing w:val="-85"/>
                            <w:w w:val="99"/>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两个项目。</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pacing w:val="-86"/>
                            <w:sz w:val="18"/>
                            <w:szCs w:val="18"/>
                          </w:rPr>
                          <w:t> </w:t>
                        </w:r>
                        <w:r>
                          <w:rPr>
                            <w:rFonts w:ascii="宋体" w:hAnsi="宋体" w:cs="宋体" w:eastAsia="宋体" w:hint="default"/>
                            <w:sz w:val="18"/>
                            <w:szCs w:val="18"/>
                          </w:rPr>
                          <w:t>资产负债表新增</w:t>
                        </w:r>
                        <w:r>
                          <w:rPr>
                            <w:rFonts w:ascii="Times New Roman" w:hAnsi="Times New Roman" w:cs="Times New Roman" w:eastAsia="Times New Roman" w:hint="default"/>
                            <w:sz w:val="18"/>
                            <w:szCs w:val="18"/>
                          </w:rPr>
                          <w:t>"</w:t>
                        </w:r>
                        <w:r>
                          <w:rPr>
                            <w:rFonts w:ascii="宋体" w:hAnsi="宋体" w:cs="宋体" w:eastAsia="宋体" w:hint="default"/>
                            <w:sz w:val="18"/>
                            <w:szCs w:val="18"/>
                          </w:rPr>
                          <w:t>其他权益工具投资</w:t>
                        </w:r>
                        <w:r>
                          <w:rPr>
                            <w:rFonts w:ascii="Times New Roman" w:hAnsi="Times New Roman" w:cs="Times New Roman" w:eastAsia="Times New Roman" w:hint="default"/>
                            <w:sz w:val="18"/>
                            <w:szCs w:val="18"/>
                          </w:rPr>
                          <w:t>"</w:t>
                        </w:r>
                        <w:r>
                          <w:rPr>
                            <w:rFonts w:ascii="宋体" w:hAnsi="宋体" w:cs="宋体" w:eastAsia="宋体" w:hint="default"/>
                            <w:sz w:val="18"/>
                            <w:szCs w:val="18"/>
                          </w:rPr>
                          <w:t>项</w:t>
                        </w:r>
                        <w:r>
                          <w:rPr>
                            <w:rFonts w:ascii="宋体" w:hAnsi="宋体" w:cs="宋体" w:eastAsia="宋体" w:hint="default"/>
                            <w:spacing w:val="-86"/>
                            <w:sz w:val="18"/>
                            <w:szCs w:val="18"/>
                          </w:rPr>
                          <w:t> </w:t>
                        </w:r>
                        <w:r>
                          <w:rPr>
                            <w:rFonts w:ascii="宋体" w:hAnsi="宋体" w:cs="宋体" w:eastAsia="宋体" w:hint="default"/>
                            <w:sz w:val="18"/>
                            <w:szCs w:val="18"/>
                          </w:rPr>
                          <w:t>目，反映资产负债表日企业指定为以公</w:t>
                        </w:r>
                      </w:p>
                      <w:p>
                        <w:pPr>
                          <w:pStyle w:val="TableParagraph"/>
                          <w:spacing w:line="312" w:lineRule="auto" w:before="36"/>
                          <w:ind w:left="30" w:right="58"/>
                          <w:jc w:val="both"/>
                          <w:rPr>
                            <w:rFonts w:ascii="Times New Roman" w:hAnsi="Times New Roman" w:cs="Times New Roman" w:eastAsia="Times New Roman" w:hint="default"/>
                            <w:sz w:val="18"/>
                            <w:szCs w:val="18"/>
                          </w:rPr>
                        </w:pPr>
                        <w:r>
                          <w:rPr>
                            <w:rFonts w:ascii="宋体" w:hAnsi="宋体" w:cs="宋体" w:eastAsia="宋体" w:hint="default"/>
                            <w:sz w:val="18"/>
                            <w:szCs w:val="18"/>
                          </w:rPr>
                          <w:t>允价值计量且其变动计入其他综合收益 的非交易性权益工具投资的期末账面价 </w:t>
                        </w:r>
                        <w:r>
                          <w:rPr>
                            <w:rFonts w:ascii="宋体" w:hAnsi="宋体" w:cs="宋体" w:eastAsia="宋体" w:hint="default"/>
                            <w:spacing w:val="-3"/>
                            <w:sz w:val="18"/>
                            <w:szCs w:val="18"/>
                          </w:rPr>
                          <w:t>值。</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、利润表新增</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信用减值损失</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项目</w:t>
                        </w:r>
                        <w:r>
                          <w:rPr>
                            <w:rFonts w:ascii="宋体" w:hAnsi="宋体" w:cs="宋体" w:eastAsia="宋体" w:hint="default"/>
                            <w:sz w:val="18"/>
                            <w:szCs w:val="18"/>
                          </w:rPr>
                          <w:t> 反映企业按照《企业会计准则第</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r>
                          <w:rPr>
                            <w:rFonts w:ascii="宋体" w:hAnsi="宋体" w:cs="宋体" w:eastAsia="宋体" w:hint="default"/>
                            <w:spacing w:val="-5"/>
                            <w:sz w:val="18"/>
                            <w:szCs w:val="18"/>
                          </w:rPr>
                          <w:t>金融工具确认和计量》（财会〔</w:t>
                        </w:r>
                        <w:r>
                          <w:rPr>
                            <w:rFonts w:ascii="Times New Roman" w:hAnsi="Times New Roman" w:cs="Times New Roman" w:eastAsia="Times New Roman" w:hint="default"/>
                            <w:spacing w:val="-5"/>
                            <w:sz w:val="18"/>
                            <w:szCs w:val="18"/>
                          </w:rPr>
                          <w:t>2017</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7</w:t>
                        </w:r>
                      </w:p>
                      <w:p>
                        <w:pPr>
                          <w:pStyle w:val="TableParagraph"/>
                          <w:spacing w:line="319" w:lineRule="auto"/>
                          <w:ind w:left="30" w:right="1"/>
                          <w:jc w:val="both"/>
                          <w:rPr>
                            <w:rFonts w:ascii="宋体" w:hAnsi="宋体" w:cs="宋体" w:eastAsia="宋体" w:hint="default"/>
                            <w:sz w:val="18"/>
                            <w:szCs w:val="18"/>
                          </w:rPr>
                        </w:pPr>
                        <w:r>
                          <w:rPr>
                            <w:rFonts w:ascii="宋体" w:hAnsi="宋体" w:cs="宋体" w:eastAsia="宋体" w:hint="default"/>
                            <w:sz w:val="18"/>
                            <w:szCs w:val="18"/>
                          </w:rPr>
                          <w:t>号）要求计提的各项金融工具信用减值 准备所确认的信用损失。</w:t>
                        </w:r>
                        <w:r>
                          <w:rPr>
                            <w:rFonts w:ascii="Times New Roman" w:hAnsi="Times New Roman" w:cs="Times New Roman" w:eastAsia="Times New Roman" w:hint="default"/>
                            <w:sz w:val="18"/>
                            <w:szCs w:val="18"/>
                          </w:rPr>
                          <w:t>4</w:t>
                        </w:r>
                        <w:r>
                          <w:rPr>
                            <w:rFonts w:ascii="宋体" w:hAnsi="宋体" w:cs="宋体" w:eastAsia="宋体" w:hint="default"/>
                            <w:sz w:val="18"/>
                            <w:szCs w:val="18"/>
                          </w:rPr>
                          <w:t>、将利润表</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pacing w:val="-4"/>
                            <w:sz w:val="18"/>
                            <w:szCs w:val="18"/>
                          </w:rPr>
                          <w:t>减：资产减值损失</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调整为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加：资产减值</w:t>
                        </w:r>
                      </w:p>
                      <w:p>
                        <w:pPr>
                          <w:pStyle w:val="TableParagraph"/>
                          <w:spacing w:line="297" w:lineRule="auto"/>
                          <w:ind w:left="30" w:right="14"/>
                          <w:jc w:val="both"/>
                          <w:rPr>
                            <w:rFonts w:ascii="宋体" w:hAnsi="宋体" w:cs="宋体" w:eastAsia="宋体" w:hint="default"/>
                            <w:sz w:val="18"/>
                            <w:szCs w:val="18"/>
                          </w:rPr>
                        </w:pPr>
                        <w:r>
                          <w:rPr>
                            <w:rFonts w:ascii="宋体" w:hAnsi="宋体" w:cs="宋体" w:eastAsia="宋体" w:hint="default"/>
                            <w:sz w:val="18"/>
                            <w:szCs w:val="18"/>
                          </w:rPr>
                          <w:t>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r>
                          <w:rPr>
                            <w:rFonts w:ascii="Times New Roman" w:hAnsi="Times New Roman" w:cs="Times New Roman" w:eastAsia="Times New Roman" w:hint="default"/>
                            <w:sz w:val="18"/>
                            <w:szCs w:val="18"/>
                          </w:rPr>
                          <w:t>"5</w:t>
                        </w:r>
                        <w:r>
                          <w:rPr>
                            <w:rFonts w:ascii="宋体" w:hAnsi="宋体" w:cs="宋体" w:eastAsia="宋体" w:hint="default"/>
                            <w:sz w:val="18"/>
                            <w:szCs w:val="18"/>
                          </w:rPr>
                          <w:t>、现金流量表</w:t>
                        </w:r>
                        <w:r>
                          <w:rPr>
                            <w:rFonts w:ascii="宋体" w:hAnsi="宋体" w:cs="宋体" w:eastAsia="宋体" w:hint="default"/>
                            <w:spacing w:val="-87"/>
                            <w:sz w:val="18"/>
                            <w:szCs w:val="18"/>
                          </w:rPr>
                          <w:t> </w:t>
                        </w:r>
                        <w:r>
                          <w:rPr>
                            <w:rFonts w:ascii="宋体" w:hAnsi="宋体" w:cs="宋体" w:eastAsia="宋体" w:hint="default"/>
                            <w:sz w:val="18"/>
                            <w:szCs w:val="18"/>
                          </w:rPr>
                          <w:t>明确了政府补助的填列口径，企业实际 收到的政府补助，无论是与资产相关还</w:t>
                        </w:r>
                      </w:p>
                      <w:p>
                        <w:pPr>
                          <w:pStyle w:val="TableParagraph"/>
                          <w:spacing w:line="304" w:lineRule="auto" w:before="51"/>
                          <w:ind w:left="30" w:right="14"/>
                          <w:jc w:val="both"/>
                          <w:rPr>
                            <w:rFonts w:ascii="宋体" w:hAnsi="宋体" w:cs="宋体" w:eastAsia="宋体" w:hint="default"/>
                            <w:sz w:val="18"/>
                            <w:szCs w:val="18"/>
                          </w:rPr>
                        </w:pPr>
                        <w:r>
                          <w:rPr>
                            <w:rFonts w:ascii="宋体" w:hAnsi="宋体" w:cs="宋体" w:eastAsia="宋体" w:hint="default"/>
                            <w:sz w:val="18"/>
                            <w:szCs w:val="18"/>
                          </w:rPr>
                          <w:t>是与收益相关，均在</w:t>
                        </w:r>
                        <w:r>
                          <w:rPr>
                            <w:rFonts w:ascii="Times New Roman" w:hAnsi="Times New Roman" w:cs="Times New Roman" w:eastAsia="Times New Roman" w:hint="default"/>
                            <w:sz w:val="18"/>
                            <w:szCs w:val="18"/>
                          </w:rPr>
                          <w:t>"</w:t>
                        </w:r>
                        <w:r>
                          <w:rPr>
                            <w:rFonts w:ascii="宋体" w:hAnsi="宋体" w:cs="宋体" w:eastAsia="宋体" w:hint="default"/>
                            <w:sz w:val="18"/>
                            <w:szCs w:val="18"/>
                          </w:rPr>
                          <w:t>收到的其他与经营</w:t>
                        </w:r>
                        <w:r>
                          <w:rPr>
                            <w:rFonts w:ascii="宋体" w:hAnsi="宋体" w:cs="宋体" w:eastAsia="宋体" w:hint="default"/>
                            <w:spacing w:val="-88"/>
                            <w:sz w:val="18"/>
                            <w:szCs w:val="18"/>
                          </w:rPr>
                          <w:t> </w:t>
                        </w:r>
                        <w:r>
                          <w:rPr>
                            <w:rFonts w:ascii="宋体" w:hAnsi="宋体" w:cs="宋体" w:eastAsia="宋体" w:hint="default"/>
                            <w:sz w:val="18"/>
                            <w:szCs w:val="18"/>
                          </w:rPr>
                          <w:t>活动有关的现金</w:t>
                        </w:r>
                        <w:r>
                          <w:rPr>
                            <w:rFonts w:ascii="Times New Roman" w:hAnsi="Times New Roman" w:cs="Times New Roman" w:eastAsia="Times New Roman" w:hint="default"/>
                            <w:sz w:val="18"/>
                            <w:szCs w:val="18"/>
                          </w:rPr>
                          <w:t>"</w:t>
                        </w:r>
                        <w:r>
                          <w:rPr>
                            <w:rFonts w:ascii="宋体" w:hAnsi="宋体" w:cs="宋体" w:eastAsia="宋体" w:hint="default"/>
                            <w:sz w:val="18"/>
                            <w:szCs w:val="18"/>
                          </w:rPr>
                          <w:t>项目填列。</w:t>
                        </w:r>
                      </w:p>
                    </w:tc>
                  </w:tr>
                  <w:tr>
                    <w:trPr>
                      <w:trHeight w:val="2898"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日发布《企业会</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计准则第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非货币性资产交换</w:t>
                        </w:r>
                        <w:r>
                          <w:rPr>
                            <w:rFonts w:ascii="宋体" w:hAnsi="宋体" w:cs="宋体" w:eastAsia="宋体" w:hint="default"/>
                            <w:spacing w:val="-166"/>
                            <w:sz w:val="18"/>
                            <w:szCs w:val="18"/>
                          </w:rPr>
                          <w:t>》</w:t>
                        </w:r>
                        <w:r>
                          <w:rPr>
                            <w:rFonts w:ascii="宋体" w:hAnsi="宋体" w:cs="宋体" w:eastAsia="宋体" w:hint="default"/>
                            <w:sz w:val="18"/>
                            <w:szCs w:val="18"/>
                          </w:rPr>
                          <w:t>（财会</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pacing w:val="-60"/>
                            <w:sz w:val="18"/>
                            <w:szCs w:val="18"/>
                          </w:rPr>
                          <w:t>】</w:t>
                        </w:r>
                        <w:r>
                          <w:rPr>
                            <w:rFonts w:ascii="Times New Roman" w:hAnsi="Times New Roman" w:cs="Times New Roman" w:eastAsia="Times New Roman" w:hint="default"/>
                            <w:sz w:val="18"/>
                            <w:szCs w:val="18"/>
                          </w:rPr>
                          <w:t>8 </w:t>
                        </w:r>
                        <w:r>
                          <w:rPr>
                            <w:rFonts w:ascii="宋体" w:hAnsi="宋体" w:cs="宋体" w:eastAsia="宋体" w:hint="default"/>
                            <w:sz w:val="18"/>
                            <w:szCs w:val="18"/>
                          </w:rPr>
                          <w:t>号</w:t>
                        </w:r>
                        <w:r>
                          <w:rPr>
                            <w:rFonts w:ascii="宋体" w:hAnsi="宋体" w:cs="宋体" w:eastAsia="宋体" w:hint="default"/>
                            <w:spacing w:val="-90"/>
                            <w:sz w:val="18"/>
                            <w:szCs w:val="18"/>
                          </w:rPr>
                          <w:t>）</w:t>
                        </w:r>
                        <w:r>
                          <w:rPr>
                            <w:rFonts w:ascii="宋体" w:hAnsi="宋体" w:cs="宋体" w:eastAsia="宋体" w:hint="default"/>
                            <w:spacing w:val="-60"/>
                            <w:sz w:val="18"/>
                            <w:szCs w:val="18"/>
                          </w:rPr>
                          <w:t>，</w:t>
                        </w:r>
                        <w:r>
                          <w:rPr>
                            <w:rFonts w:ascii="宋体" w:hAnsi="宋体" w:cs="宋体" w:eastAsia="宋体" w:hint="default"/>
                            <w:sz w:val="18"/>
                            <w:szCs w:val="18"/>
                          </w:rPr>
                          <w:t>根据要求</w:t>
                        </w:r>
                        <w:r>
                          <w:rPr>
                            <w:rFonts w:ascii="宋体" w:hAnsi="宋体" w:cs="宋体" w:eastAsia="宋体" w:hint="default"/>
                            <w:spacing w:val="-60"/>
                            <w:sz w:val="18"/>
                            <w:szCs w:val="18"/>
                          </w:rPr>
                          <w:t>，</w:t>
                        </w:r>
                        <w:r>
                          <w:rPr>
                            <w:rFonts w:ascii="宋体" w:hAnsi="宋体" w:cs="宋体" w:eastAsia="宋体" w:hint="default"/>
                            <w:sz w:val="18"/>
                            <w:szCs w:val="18"/>
                          </w:rPr>
                          <w:t>本公司对</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p>
                      <w:p>
                        <w:pPr>
                          <w:pStyle w:val="TableParagraph"/>
                          <w:spacing w:line="276" w:lineRule="auto" w:before="66"/>
                          <w:ind w:left="15" w:right="106"/>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日至执行日之间发生的非货币 性资产交换，根据本准则进行调整。</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4" w:lineRule="auto"/>
                          <w:ind w:left="14" w:right="44"/>
                          <w:jc w:val="both"/>
                          <w:rPr>
                            <w:rFonts w:ascii="宋体" w:hAnsi="宋体" w:cs="宋体" w:eastAsia="宋体" w:hint="default"/>
                            <w:sz w:val="18"/>
                            <w:szCs w:val="18"/>
                          </w:rPr>
                        </w:pPr>
                        <w:r>
                          <w:rPr>
                            <w:rFonts w:ascii="宋体" w:hAnsi="宋体" w:cs="宋体" w:eastAsia="宋体" w:hint="default"/>
                            <w:sz w:val="18"/>
                            <w:szCs w:val="18"/>
                          </w:rPr>
                          <w:t>经本公司</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日召开的第三 届董事会第二十四次会议和第三届监事 会第十七次会议审议通过。</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59"/>
                          <w:ind w:left="30"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、非货币性资产示例中删除</w:t>
                        </w:r>
                        <w:r>
                          <w:rPr>
                            <w:rFonts w:ascii="Times New Roman" w:hAnsi="Times New Roman" w:cs="Times New Roman" w:eastAsia="Times New Roman" w:hint="default"/>
                            <w:sz w:val="18"/>
                            <w:szCs w:val="18"/>
                          </w:rPr>
                          <w:t>"</w:t>
                        </w: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，其</w:t>
                        </w:r>
                        <w:r>
                          <w:rPr>
                            <w:rFonts w:ascii="宋体" w:hAnsi="宋体" w:cs="宋体" w:eastAsia="宋体" w:hint="default"/>
                            <w:spacing w:val="-86"/>
                            <w:sz w:val="18"/>
                            <w:szCs w:val="18"/>
                          </w:rPr>
                          <w:t> </w:t>
                        </w:r>
                        <w:r>
                          <w:rPr>
                            <w:rFonts w:ascii="宋体" w:hAnsi="宋体" w:cs="宋体" w:eastAsia="宋体" w:hint="default"/>
                            <w:sz w:val="18"/>
                            <w:szCs w:val="18"/>
                          </w:rPr>
                          <w:t>适用于第</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号收入准则；货币性资产定 义中将收取固定或可确定金额的</w:t>
                        </w:r>
                        <w:r>
                          <w:rPr>
                            <w:rFonts w:ascii="Times New Roman" w:hAnsi="Times New Roman" w:cs="Times New Roman" w:eastAsia="Times New Roman" w:hint="default"/>
                            <w:sz w:val="18"/>
                            <w:szCs w:val="18"/>
                          </w:rPr>
                          <w:t>"</w:t>
                        </w:r>
                        <w:r>
                          <w:rPr>
                            <w:rFonts w:ascii="宋体" w:hAnsi="宋体" w:cs="宋体" w:eastAsia="宋体" w:hint="default"/>
                            <w:sz w:val="18"/>
                            <w:szCs w:val="18"/>
                          </w:rPr>
                          <w:t>资产</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改为</w:t>
                        </w:r>
                        <w:r>
                          <w:rPr>
                            <w:rFonts w:ascii="Times New Roman" w:hAnsi="Times New Roman" w:cs="Times New Roman" w:eastAsia="Times New Roman" w:hint="default"/>
                            <w:sz w:val="18"/>
                            <w:szCs w:val="18"/>
                          </w:rPr>
                          <w:t>"</w:t>
                        </w:r>
                        <w:r>
                          <w:rPr>
                            <w:rFonts w:ascii="宋体" w:hAnsi="宋体" w:cs="宋体" w:eastAsia="宋体" w:hint="default"/>
                            <w:sz w:val="18"/>
                            <w:szCs w:val="18"/>
                          </w:rPr>
                          <w:t>权利</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、增加规范非货币性资产 交换的确认时点，即换入资产应在符合 资产定义并满足资产确认条件时予以确 认，换出资产应在满足资产终止确认条</w:t>
                        </w:r>
                      </w:p>
                      <w:p>
                        <w:pPr>
                          <w:pStyle w:val="TableParagraph"/>
                          <w:spacing w:line="290" w:lineRule="auto" w:before="47"/>
                          <w:ind w:left="30" w:right="30"/>
                          <w:jc w:val="left"/>
                          <w:rPr>
                            <w:rFonts w:ascii="宋体" w:hAnsi="宋体" w:cs="宋体" w:eastAsia="宋体" w:hint="default"/>
                            <w:sz w:val="18"/>
                            <w:szCs w:val="18"/>
                          </w:rPr>
                        </w:pPr>
                        <w:r>
                          <w:rPr>
                            <w:rFonts w:ascii="宋体" w:hAnsi="宋体" w:cs="宋体" w:eastAsia="宋体" w:hint="default"/>
                            <w:spacing w:val="-2"/>
                            <w:sz w:val="18"/>
                            <w:szCs w:val="18"/>
                          </w:rPr>
                          <w:t>件时终止确认；</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、将非货币性资产交换</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的计量原则与新收入准则协调一致。</w:t>
                        </w:r>
                      </w:p>
                    </w:tc>
                  </w:tr>
                  <w:tr>
                    <w:trPr>
                      <w:trHeight w:val="3213"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15"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日发布《企业</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债务重组</w:t>
                        </w:r>
                        <w:r>
                          <w:rPr>
                            <w:rFonts w:ascii="宋体" w:hAnsi="宋体" w:cs="宋体" w:eastAsia="宋体" w:hint="default"/>
                            <w:spacing w:val="-90"/>
                            <w:sz w:val="18"/>
                            <w:szCs w:val="18"/>
                          </w:rPr>
                          <w:t>》</w:t>
                        </w:r>
                        <w:r>
                          <w:rPr>
                            <w:rFonts w:ascii="宋体" w:hAnsi="宋体" w:cs="宋体" w:eastAsia="宋体" w:hint="default"/>
                            <w:sz w:val="18"/>
                            <w:szCs w:val="18"/>
                          </w:rPr>
                          <w:t>（财会</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pacing w:val="-60"/>
                            <w:sz w:val="18"/>
                            <w:szCs w:val="18"/>
                          </w:rPr>
                          <w:t>】</w:t>
                        </w:r>
                        <w:r>
                          <w:rPr>
                            <w:rFonts w:ascii="Times New Roman" w:hAnsi="Times New Roman" w:cs="Times New Roman" w:eastAsia="Times New Roman" w:hint="default"/>
                            <w:sz w:val="18"/>
                            <w:szCs w:val="18"/>
                          </w:rPr>
                          <w:t>9 </w:t>
                        </w:r>
                        <w:r>
                          <w:rPr>
                            <w:rFonts w:ascii="宋体" w:hAnsi="宋体" w:cs="宋体" w:eastAsia="宋体" w:hint="default"/>
                            <w:sz w:val="18"/>
                            <w:szCs w:val="18"/>
                          </w:rPr>
                          <w:t>号</w:t>
                        </w:r>
                        <w:r>
                          <w:rPr>
                            <w:rFonts w:ascii="宋体" w:hAnsi="宋体" w:cs="宋体" w:eastAsia="宋体" w:hint="default"/>
                            <w:spacing w:val="-90"/>
                            <w:sz w:val="18"/>
                            <w:szCs w:val="18"/>
                          </w:rPr>
                          <w:t>）</w:t>
                        </w:r>
                        <w:r>
                          <w:rPr>
                            <w:rFonts w:ascii="宋体" w:hAnsi="宋体" w:cs="宋体" w:eastAsia="宋体" w:hint="default"/>
                            <w:spacing w:val="-60"/>
                            <w:sz w:val="18"/>
                            <w:szCs w:val="18"/>
                          </w:rPr>
                          <w:t>，</w:t>
                        </w:r>
                        <w:r>
                          <w:rPr>
                            <w:rFonts w:ascii="宋体" w:hAnsi="宋体" w:cs="宋体" w:eastAsia="宋体" w:hint="default"/>
                            <w:sz w:val="18"/>
                            <w:szCs w:val="18"/>
                          </w:rPr>
                          <w:t>根据要求</w:t>
                        </w:r>
                        <w:r>
                          <w:rPr>
                            <w:rFonts w:ascii="宋体" w:hAnsi="宋体" w:cs="宋体" w:eastAsia="宋体" w:hint="default"/>
                            <w:spacing w:val="-60"/>
                            <w:sz w:val="18"/>
                            <w:szCs w:val="18"/>
                          </w:rPr>
                          <w:t>，</w:t>
                        </w:r>
                        <w:r>
                          <w:rPr>
                            <w:rFonts w:ascii="宋体" w:hAnsi="宋体" w:cs="宋体" w:eastAsia="宋体" w:hint="default"/>
                            <w:sz w:val="18"/>
                            <w:szCs w:val="18"/>
                          </w:rPr>
                          <w:t>本公司对</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p>
                      <w:p>
                        <w:pPr>
                          <w:pStyle w:val="TableParagraph"/>
                          <w:spacing w:line="290" w:lineRule="auto" w:before="66"/>
                          <w:ind w:left="15" w:right="106"/>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日至执行日之间发生的非货币 性资产交换，根据本准则进行调整。</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97" w:lineRule="auto"/>
                          <w:ind w:left="14" w:right="29"/>
                          <w:jc w:val="left"/>
                          <w:rPr>
                            <w:rFonts w:ascii="宋体" w:hAnsi="宋体" w:cs="宋体" w:eastAsia="宋体" w:hint="default"/>
                            <w:sz w:val="18"/>
                            <w:szCs w:val="18"/>
                          </w:rPr>
                        </w:pPr>
                        <w:r>
                          <w:rPr>
                            <w:rFonts w:ascii="宋体" w:hAnsi="宋体" w:cs="宋体" w:eastAsia="宋体" w:hint="default"/>
                            <w:sz w:val="18"/>
                            <w:szCs w:val="18"/>
                          </w:rPr>
                          <w:t>经本公司</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日召开的第三 届董事会第二十四次会议和第三届监事 会第十七次会议审议通过。</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59"/>
                          <w:ind w:left="30" w:right="1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、将原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债权人让步行为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改为将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原有债</w:t>
                        </w:r>
                        <w:r>
                          <w:rPr>
                            <w:rFonts w:ascii="宋体" w:hAnsi="宋体" w:cs="宋体" w:eastAsia="宋体" w:hint="default"/>
                            <w:spacing w:val="-86"/>
                            <w:sz w:val="18"/>
                            <w:szCs w:val="18"/>
                          </w:rPr>
                          <w:t> </w:t>
                        </w:r>
                        <w:r>
                          <w:rPr>
                            <w:rFonts w:ascii="宋体" w:hAnsi="宋体" w:cs="宋体" w:eastAsia="宋体" w:hint="default"/>
                            <w:sz w:val="18"/>
                            <w:szCs w:val="18"/>
                          </w:rPr>
                          <w:t>务重新达成协议的交易行为</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、重组</w:t>
                        </w:r>
                        <w:r>
                          <w:rPr>
                            <w:rFonts w:ascii="宋体" w:hAnsi="宋体" w:cs="宋体" w:eastAsia="宋体" w:hint="default"/>
                            <w:spacing w:val="-88"/>
                            <w:sz w:val="18"/>
                            <w:szCs w:val="18"/>
                          </w:rPr>
                          <w:t> </w:t>
                        </w:r>
                        <w:r>
                          <w:rPr>
                            <w:rFonts w:ascii="宋体" w:hAnsi="宋体" w:cs="宋体" w:eastAsia="宋体" w:hint="default"/>
                            <w:sz w:val="18"/>
                            <w:szCs w:val="18"/>
                          </w:rPr>
                          <w:t>方式中债务转为</w:t>
                        </w:r>
                        <w:r>
                          <w:rPr>
                            <w:rFonts w:ascii="Times New Roman" w:hAnsi="Times New Roman" w:cs="Times New Roman" w:eastAsia="Times New Roman" w:hint="default"/>
                            <w:sz w:val="18"/>
                            <w:szCs w:val="18"/>
                          </w:rPr>
                          <w:t>"</w:t>
                        </w:r>
                        <w:r>
                          <w:rPr>
                            <w:rFonts w:ascii="宋体" w:hAnsi="宋体" w:cs="宋体" w:eastAsia="宋体" w:hint="default"/>
                            <w:sz w:val="18"/>
                            <w:szCs w:val="18"/>
                          </w:rPr>
                          <w:t>资本</w:t>
                        </w:r>
                        <w:r>
                          <w:rPr>
                            <w:rFonts w:ascii="Times New Roman" w:hAnsi="Times New Roman" w:cs="Times New Roman" w:eastAsia="Times New Roman" w:hint="default"/>
                            <w:sz w:val="18"/>
                            <w:szCs w:val="18"/>
                          </w:rPr>
                          <w:t>"</w:t>
                        </w:r>
                        <w:r>
                          <w:rPr>
                            <w:rFonts w:ascii="宋体" w:hAnsi="宋体" w:cs="宋体" w:eastAsia="宋体" w:hint="default"/>
                            <w:sz w:val="18"/>
                            <w:szCs w:val="18"/>
                          </w:rPr>
                          <w:t>改为债务转为</w:t>
                        </w:r>
                        <w:r>
                          <w:rPr>
                            <w:rFonts w:ascii="Times New Roman" w:hAnsi="Times New Roman" w:cs="Times New Roman" w:eastAsia="Times New Roman" w:hint="default"/>
                            <w:sz w:val="18"/>
                            <w:szCs w:val="18"/>
                          </w:rPr>
                          <w:t>"</w:t>
                        </w:r>
                        <w:r>
                          <w:rPr>
                            <w:rFonts w:ascii="宋体" w:hAnsi="宋体" w:cs="宋体" w:eastAsia="宋体" w:hint="default"/>
                            <w:sz w:val="18"/>
                            <w:szCs w:val="18"/>
                          </w:rPr>
                          <w:t>权</w:t>
                        </w:r>
                        <w:r>
                          <w:rPr>
                            <w:rFonts w:ascii="宋体" w:hAnsi="宋体" w:cs="宋体" w:eastAsia="宋体" w:hint="default"/>
                            <w:spacing w:val="-86"/>
                            <w:sz w:val="18"/>
                            <w:szCs w:val="18"/>
                          </w:rPr>
                          <w:t> </w:t>
                        </w:r>
                        <w:r>
                          <w:rPr>
                            <w:rFonts w:ascii="宋体" w:hAnsi="宋体" w:cs="宋体" w:eastAsia="宋体" w:hint="default"/>
                            <w:sz w:val="18"/>
                            <w:szCs w:val="18"/>
                          </w:rPr>
                          <w:t>益工具</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、将重组债权和债务的会计 处理规定索引至新金融工具准则，从而 与新金融工具准则协调一致，同时删除 关于或有应收、应付金额遵循或有事项 </w:t>
                        </w:r>
                        <w:r>
                          <w:rPr>
                            <w:rFonts w:ascii="宋体" w:hAnsi="宋体" w:cs="宋体" w:eastAsia="宋体" w:hint="default"/>
                            <w:spacing w:val="-2"/>
                            <w:sz w:val="18"/>
                            <w:szCs w:val="18"/>
                          </w:rPr>
                          <w:t>准则的规定。</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、将以非现金资产偿债情</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况下资产处置损益的计算方法与新收入 准则协调一致。</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before="44"/>
        <w:ind w:left="0" w:right="112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left="0" w:right="1141"/>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ind w:left="0" w:right="1111"/>
        <w:jc w:val="right"/>
      </w:pPr>
      <w:r>
        <w:rPr/>
        <w:t>，</w:t>
      </w:r>
    </w:p>
    <w:p>
      <w:pPr>
        <w:spacing w:after="0" w:line="240" w:lineRule="auto"/>
        <w:jc w:val="righ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259"/>
        <w:gridCol w:w="6398"/>
      </w:tblGrid>
      <w:tr>
        <w:trPr>
          <w:trHeight w:val="345" w:hRule="exact"/>
        </w:trPr>
        <w:tc>
          <w:tcPr>
            <w:tcW w:w="3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25"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会计政策变更的内容和原因</w:t>
            </w:r>
            <w:r>
              <w:rPr>
                <w:rFonts w:ascii="宋体" w:hAnsi="宋体" w:cs="宋体" w:eastAsia="宋体" w:hint="default"/>
                <w:sz w:val="18"/>
                <w:szCs w:val="18"/>
              </w:rPr>
            </w:r>
          </w:p>
        </w:tc>
        <w:tc>
          <w:tcPr>
            <w:tcW w:w="6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012" w:right="0"/>
              <w:jc w:val="left"/>
              <w:rPr>
                <w:rFonts w:ascii="宋体" w:hAnsi="宋体" w:cs="宋体" w:eastAsia="宋体" w:hint="default"/>
                <w:sz w:val="18"/>
                <w:szCs w:val="18"/>
              </w:rPr>
            </w:pPr>
            <w:r>
              <w:rPr>
                <w:rFonts w:ascii="宋体" w:hAnsi="宋体" w:cs="宋体" w:eastAsia="宋体" w:hint="default"/>
                <w:b/>
                <w:bCs/>
                <w:sz w:val="18"/>
                <w:szCs w:val="18"/>
              </w:rPr>
              <w:t>受影响的报表项目名称和金额</w:t>
            </w:r>
            <w:r>
              <w:rPr>
                <w:rFonts w:ascii="宋体" w:hAnsi="宋体" w:cs="宋体" w:eastAsia="宋体" w:hint="default"/>
                <w:sz w:val="18"/>
                <w:szCs w:val="18"/>
              </w:rPr>
            </w:r>
          </w:p>
        </w:tc>
      </w:tr>
      <w:tr>
        <w:trPr>
          <w:trHeight w:val="1907" w:hRule="exact"/>
        </w:trPr>
        <w:tc>
          <w:tcPr>
            <w:tcW w:w="3259"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30"/>
              <w:ind w:right="8"/>
              <w:jc w:val="left"/>
              <w:rPr>
                <w:rFonts w:ascii="宋体" w:hAnsi="宋体" w:cs="宋体" w:eastAsia="宋体" w:hint="default"/>
                <w:sz w:val="18"/>
                <w:szCs w:val="18"/>
              </w:rPr>
            </w:pPr>
            <w:r>
              <w:rPr>
                <w:rFonts w:ascii="宋体" w:hAnsi="宋体" w:cs="宋体" w:eastAsia="宋体" w:hint="default"/>
                <w:sz w:val="18"/>
                <w:szCs w:val="18"/>
              </w:rPr>
              <w:t>将应收票据及应收账款分开为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与</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p>
        </w:tc>
        <w:tc>
          <w:tcPr>
            <w:tcW w:w="6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合并资产负债表</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项目列示金额</w:t>
            </w:r>
            <w:r>
              <w:rPr>
                <w:rFonts w:ascii="Times New Roman" w:hAnsi="Times New Roman" w:cs="Times New Roman" w:eastAsia="Times New Roman" w:hint="default"/>
                <w:sz w:val="18"/>
                <w:szCs w:val="18"/>
              </w:rPr>
              <w:t>3,245,322.51</w:t>
            </w:r>
            <w:r>
              <w:rPr>
                <w:rFonts w:ascii="宋体" w:hAnsi="宋体" w:cs="宋体" w:eastAsia="宋体" w:hint="default"/>
                <w:sz w:val="18"/>
                <w:szCs w:val="18"/>
              </w:rPr>
              <w:t>元；</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p>
            <w:pPr>
              <w:pStyle w:val="TableParagraph"/>
              <w:spacing w:line="240" w:lineRule="auto" w:before="66"/>
              <w:ind w:left="14" w:right="-29"/>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12</w:t>
            </w:r>
            <w:r>
              <w:rPr>
                <w:rFonts w:ascii="宋体" w:hAnsi="宋体" w:cs="宋体" w:eastAsia="宋体" w:hint="default"/>
                <w:spacing w:val="6"/>
                <w:sz w:val="18"/>
                <w:szCs w:val="18"/>
              </w:rPr>
              <w:t>月</w:t>
            </w:r>
            <w:r>
              <w:rPr>
                <w:rFonts w:ascii="Times New Roman" w:hAnsi="Times New Roman" w:cs="Times New Roman" w:eastAsia="Times New Roman" w:hint="default"/>
                <w:spacing w:val="6"/>
                <w:sz w:val="18"/>
                <w:szCs w:val="18"/>
              </w:rPr>
              <w:t>31</w:t>
            </w:r>
            <w:r>
              <w:rPr>
                <w:rFonts w:ascii="宋体" w:hAnsi="宋体" w:cs="宋体" w:eastAsia="宋体" w:hint="default"/>
                <w:spacing w:val="6"/>
                <w:sz w:val="18"/>
                <w:szCs w:val="18"/>
              </w:rPr>
              <w:t>日列示金额</w:t>
            </w:r>
            <w:r>
              <w:rPr>
                <w:rFonts w:ascii="Times New Roman" w:hAnsi="Times New Roman" w:cs="Times New Roman" w:eastAsia="Times New Roman" w:hint="default"/>
                <w:spacing w:val="6"/>
                <w:sz w:val="18"/>
                <w:szCs w:val="18"/>
              </w:rPr>
              <w:t>1,313,190.00</w:t>
            </w:r>
            <w:r>
              <w:rPr>
                <w:rFonts w:ascii="宋体" w:hAnsi="宋体" w:cs="宋体" w:eastAsia="宋体" w:hint="default"/>
                <w:spacing w:val="6"/>
                <w:sz w:val="18"/>
                <w:szCs w:val="18"/>
              </w:rPr>
              <w:t>元。</w:t>
            </w:r>
            <w:r>
              <w:rPr>
                <w:rFonts w:ascii="Times New Roman" w:hAnsi="Times New Roman" w:cs="Times New Roman" w:eastAsia="Times New Roman" w:hint="default"/>
                <w:spacing w:val="6"/>
                <w:sz w:val="18"/>
                <w:szCs w:val="18"/>
              </w:rPr>
              <w:t>2019</w:t>
            </w:r>
            <w:r>
              <w:rPr>
                <w:rFonts w:ascii="宋体" w:hAnsi="宋体" w:cs="宋体" w:eastAsia="宋体" w:hint="default"/>
                <w:spacing w:val="6"/>
                <w:sz w:val="18"/>
                <w:szCs w:val="18"/>
              </w:rPr>
              <w:t>年</w:t>
            </w:r>
            <w:r>
              <w:rPr>
                <w:rFonts w:ascii="Times New Roman" w:hAnsi="Times New Roman" w:cs="Times New Roman" w:eastAsia="Times New Roman" w:hint="default"/>
                <w:spacing w:val="6"/>
                <w:sz w:val="18"/>
                <w:szCs w:val="18"/>
              </w:rPr>
              <w:t>12</w:t>
            </w:r>
            <w:r>
              <w:rPr>
                <w:rFonts w:ascii="宋体" w:hAnsi="宋体" w:cs="宋体" w:eastAsia="宋体" w:hint="default"/>
                <w:spacing w:val="6"/>
                <w:sz w:val="18"/>
                <w:szCs w:val="18"/>
              </w:rPr>
              <w:t>月</w:t>
            </w:r>
            <w:r>
              <w:rPr>
                <w:rFonts w:ascii="Times New Roman" w:hAnsi="Times New Roman" w:cs="Times New Roman" w:eastAsia="Times New Roman" w:hint="default"/>
                <w:spacing w:val="6"/>
                <w:sz w:val="18"/>
                <w:szCs w:val="18"/>
              </w:rPr>
              <w:t>31</w:t>
            </w:r>
            <w:r>
              <w:rPr>
                <w:rFonts w:ascii="宋体" w:hAnsi="宋体" w:cs="宋体" w:eastAsia="宋体" w:hint="default"/>
                <w:spacing w:val="6"/>
                <w:sz w:val="18"/>
                <w:szCs w:val="18"/>
              </w:rPr>
              <w:t>日</w:t>
            </w:r>
            <w:r>
              <w:rPr>
                <w:rFonts w:ascii="Times New Roman" w:hAnsi="Times New Roman" w:cs="Times New Roman" w:eastAsia="Times New Roman" w:hint="default"/>
                <w:spacing w:val="6"/>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pacing w:val="14"/>
                <w:sz w:val="18"/>
                <w:szCs w:val="18"/>
              </w:rPr>
              <w:t>应收账款</w:t>
            </w:r>
            <w:r>
              <w:rPr>
                <w:rFonts w:ascii="Times New Roman" w:hAnsi="Times New Roman" w:cs="Times New Roman" w:eastAsia="Times New Roman" w:hint="default"/>
                <w:spacing w:val="14"/>
                <w:sz w:val="18"/>
                <w:szCs w:val="18"/>
              </w:rPr>
              <w:t>”</w:t>
            </w:r>
            <w:r>
              <w:rPr>
                <w:rFonts w:ascii="宋体" w:hAnsi="宋体" w:cs="宋体" w:eastAsia="宋体" w:hint="default"/>
                <w:spacing w:val="14"/>
                <w:sz w:val="18"/>
                <w:szCs w:val="18"/>
              </w:rPr>
              <w:t>项目列示金额</w:t>
            </w:r>
            <w:r>
              <w:rPr>
                <w:rFonts w:ascii="宋体" w:hAnsi="宋体" w:cs="宋体" w:eastAsia="宋体" w:hint="default"/>
                <w:sz w:val="18"/>
                <w:szCs w:val="18"/>
              </w:rPr>
            </w:r>
          </w:p>
          <w:p>
            <w:pPr>
              <w:pStyle w:val="TableParagraph"/>
              <w:spacing w:line="240" w:lineRule="auto" w:before="5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123,971,307.12</w:t>
            </w:r>
            <w:r>
              <w:rPr>
                <w:rFonts w:ascii="宋体" w:hAnsi="宋体" w:cs="宋体" w:eastAsia="宋体" w:hint="default"/>
                <w:sz w:val="18"/>
                <w:szCs w:val="18"/>
              </w:rPr>
              <w:t>元；</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日列示金额</w:t>
            </w:r>
            <w:r>
              <w:rPr>
                <w:rFonts w:ascii="Times New Roman" w:hAnsi="Times New Roman" w:cs="Times New Roman" w:eastAsia="Times New Roman" w:hint="default"/>
                <w:sz w:val="18"/>
                <w:szCs w:val="18"/>
              </w:rPr>
              <w:t>97,244,483.23</w:t>
            </w:r>
            <w:r>
              <w:rPr>
                <w:rFonts w:ascii="宋体" w:hAnsi="宋体" w:cs="宋体" w:eastAsia="宋体" w:hint="default"/>
                <w:sz w:val="18"/>
                <w:szCs w:val="18"/>
              </w:rPr>
              <w:t>元。母公司资产负债表</w:t>
            </w:r>
          </w:p>
          <w:p>
            <w:pPr>
              <w:pStyle w:val="TableParagraph"/>
              <w:spacing w:line="240" w:lineRule="auto" w:before="66"/>
              <w:ind w:left="14"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2019</w:t>
            </w: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12</w:t>
            </w:r>
            <w:r>
              <w:rPr>
                <w:rFonts w:ascii="宋体" w:hAnsi="宋体" w:cs="宋体" w:eastAsia="宋体" w:hint="default"/>
                <w:spacing w:val="7"/>
                <w:sz w:val="18"/>
                <w:szCs w:val="18"/>
              </w:rPr>
              <w:t>月</w:t>
            </w:r>
            <w:r>
              <w:rPr>
                <w:rFonts w:ascii="Times New Roman" w:hAnsi="Times New Roman" w:cs="Times New Roman" w:eastAsia="Times New Roman" w:hint="default"/>
                <w:spacing w:val="7"/>
                <w:sz w:val="18"/>
                <w:szCs w:val="18"/>
              </w:rPr>
              <w:t>31</w:t>
            </w:r>
            <w:r>
              <w:rPr>
                <w:rFonts w:ascii="宋体" w:hAnsi="宋体" w:cs="宋体" w:eastAsia="宋体" w:hint="default"/>
                <w:spacing w:val="7"/>
                <w:sz w:val="18"/>
                <w:szCs w:val="18"/>
              </w:rPr>
              <w:t>日</w:t>
            </w:r>
            <w:r>
              <w:rPr>
                <w:rFonts w:ascii="Times New Roman" w:hAnsi="Times New Roman" w:cs="Times New Roman" w:eastAsia="Times New Roman" w:hint="default"/>
                <w:spacing w:val="7"/>
                <w:sz w:val="18"/>
                <w:szCs w:val="18"/>
              </w:rPr>
              <w:t>“ </w:t>
            </w:r>
            <w:r>
              <w:rPr>
                <w:rFonts w:ascii="宋体" w:hAnsi="宋体" w:cs="宋体" w:eastAsia="宋体" w:hint="default"/>
                <w:spacing w:val="9"/>
                <w:sz w:val="18"/>
                <w:szCs w:val="18"/>
              </w:rPr>
              <w:t>应收票据</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项目列示金额</w:t>
            </w:r>
            <w:r>
              <w:rPr>
                <w:rFonts w:ascii="Times New Roman" w:hAnsi="Times New Roman" w:cs="Times New Roman" w:eastAsia="Times New Roman" w:hint="default"/>
                <w:spacing w:val="9"/>
                <w:sz w:val="18"/>
                <w:szCs w:val="18"/>
              </w:rPr>
              <w:t>0.00</w:t>
            </w:r>
            <w:r>
              <w:rPr>
                <w:rFonts w:ascii="宋体" w:hAnsi="宋体" w:cs="宋体" w:eastAsia="宋体" w:hint="default"/>
                <w:spacing w:val="9"/>
                <w:sz w:val="18"/>
                <w:szCs w:val="18"/>
              </w:rPr>
              <w:t>元；</w:t>
            </w:r>
            <w:r>
              <w:rPr>
                <w:rFonts w:ascii="Times New Roman" w:hAnsi="Times New Roman" w:cs="Times New Roman" w:eastAsia="Times New Roman" w:hint="default"/>
                <w:spacing w:val="9"/>
                <w:sz w:val="18"/>
                <w:szCs w:val="18"/>
              </w:rPr>
              <w:t>2018</w:t>
            </w:r>
            <w:r>
              <w:rPr>
                <w:rFonts w:ascii="Times New Roman" w:hAnsi="Times New Roman" w:cs="Times New Roman" w:eastAsia="Times New Roman" w:hint="default"/>
                <w:spacing w:val="-16"/>
                <w:sz w:val="18"/>
                <w:szCs w:val="18"/>
              </w:rPr>
              <w:t> </w:t>
            </w:r>
            <w:r>
              <w:rPr>
                <w:rFonts w:ascii="宋体" w:hAnsi="宋体" w:cs="宋体" w:eastAsia="宋体" w:hint="default"/>
                <w:spacing w:val="12"/>
                <w:sz w:val="18"/>
                <w:szCs w:val="18"/>
              </w:rPr>
              <w:t>年</w:t>
            </w:r>
            <w:r>
              <w:rPr>
                <w:rFonts w:ascii="Times New Roman" w:hAnsi="Times New Roman" w:cs="Times New Roman" w:eastAsia="Times New Roman" w:hint="default"/>
                <w:spacing w:val="12"/>
                <w:sz w:val="18"/>
                <w:szCs w:val="18"/>
              </w:rPr>
              <w:t>12</w:t>
            </w:r>
            <w:r>
              <w:rPr>
                <w:rFonts w:ascii="宋体" w:hAnsi="宋体" w:cs="宋体" w:eastAsia="宋体" w:hint="default"/>
                <w:spacing w:val="12"/>
                <w:sz w:val="18"/>
                <w:szCs w:val="18"/>
              </w:rPr>
              <w:t>月</w:t>
            </w:r>
            <w:r>
              <w:rPr>
                <w:rFonts w:ascii="Times New Roman" w:hAnsi="Times New Roman" w:cs="Times New Roman" w:eastAsia="Times New Roman" w:hint="default"/>
                <w:spacing w:val="12"/>
                <w:sz w:val="18"/>
                <w:szCs w:val="18"/>
              </w:rPr>
              <w:t>31</w:t>
            </w:r>
            <w:r>
              <w:rPr>
                <w:rFonts w:ascii="宋体" w:hAnsi="宋体" w:cs="宋体" w:eastAsia="宋体" w:hint="default"/>
                <w:spacing w:val="12"/>
                <w:sz w:val="18"/>
                <w:szCs w:val="18"/>
              </w:rPr>
              <w:t>日列示金额</w:t>
            </w:r>
            <w:r>
              <w:rPr>
                <w:rFonts w:ascii="宋体" w:hAnsi="宋体" w:cs="宋体" w:eastAsia="宋体" w:hint="default"/>
                <w:sz w:val="18"/>
                <w:szCs w:val="18"/>
              </w:rPr>
            </w:r>
          </w:p>
          <w:p>
            <w:pPr>
              <w:pStyle w:val="TableParagraph"/>
              <w:spacing w:line="240" w:lineRule="auto" w:before="66"/>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430,470.00</w:t>
            </w:r>
            <w:r>
              <w:rPr>
                <w:rFonts w:ascii="宋体" w:hAnsi="宋体" w:cs="宋体" w:eastAsia="宋体" w:hint="default"/>
                <w:sz w:val="18"/>
                <w:szCs w:val="18"/>
              </w:rPr>
              <w:t>元。</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项目列示金额</w:t>
            </w:r>
            <w:r>
              <w:rPr>
                <w:rFonts w:ascii="Times New Roman" w:hAnsi="Times New Roman" w:cs="Times New Roman" w:eastAsia="Times New Roman" w:hint="default"/>
                <w:sz w:val="18"/>
                <w:szCs w:val="18"/>
              </w:rPr>
              <w:t>65,508,503.62</w:t>
            </w:r>
            <w:r>
              <w:rPr>
                <w:rFonts w:ascii="宋体" w:hAnsi="宋体" w:cs="宋体" w:eastAsia="宋体" w:hint="default"/>
                <w:sz w:val="18"/>
                <w:szCs w:val="18"/>
              </w:rPr>
              <w:t>元；</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p>
            <w:pPr>
              <w:pStyle w:val="TableParagraph"/>
              <w:spacing w:line="240" w:lineRule="auto" w:before="66"/>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日列示金额</w:t>
            </w:r>
            <w:r>
              <w:rPr>
                <w:rFonts w:ascii="Times New Roman" w:hAnsi="Times New Roman" w:cs="Times New Roman" w:eastAsia="Times New Roman" w:hint="default"/>
                <w:sz w:val="18"/>
                <w:szCs w:val="18"/>
              </w:rPr>
              <w:t>50,954,052.29</w:t>
            </w:r>
            <w:r>
              <w:rPr>
                <w:rFonts w:ascii="宋体" w:hAnsi="宋体" w:cs="宋体" w:eastAsia="宋体" w:hint="default"/>
                <w:sz w:val="18"/>
                <w:szCs w:val="18"/>
              </w:rPr>
              <w:t>元。</w:t>
            </w:r>
          </w:p>
        </w:tc>
      </w:tr>
      <w:tr>
        <w:trPr>
          <w:trHeight w:val="1907" w:hRule="exact"/>
        </w:trPr>
        <w:tc>
          <w:tcPr>
            <w:tcW w:w="3259"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29"/>
              <w:ind w:right="8"/>
              <w:jc w:val="left"/>
              <w:rPr>
                <w:rFonts w:ascii="宋体" w:hAnsi="宋体" w:cs="宋体" w:eastAsia="宋体" w:hint="default"/>
                <w:sz w:val="18"/>
                <w:szCs w:val="18"/>
              </w:rPr>
            </w:pPr>
            <w:r>
              <w:rPr>
                <w:rFonts w:ascii="宋体" w:hAnsi="宋体" w:cs="宋体" w:eastAsia="宋体" w:hint="default"/>
                <w:sz w:val="18"/>
                <w:szCs w:val="18"/>
              </w:rPr>
              <w:t>将应付票据及应付账款分开为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与</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p>
        </w:tc>
        <w:tc>
          <w:tcPr>
            <w:tcW w:w="6398"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29"/>
              <w:ind w:left="14" w:right="1"/>
              <w:jc w:val="left"/>
              <w:rPr>
                <w:rFonts w:ascii="宋体" w:hAnsi="宋体" w:cs="宋体" w:eastAsia="宋体" w:hint="default"/>
                <w:sz w:val="18"/>
                <w:szCs w:val="18"/>
              </w:rPr>
            </w:pPr>
            <w:r>
              <w:rPr>
                <w:rFonts w:ascii="宋体" w:hAnsi="宋体" w:cs="宋体" w:eastAsia="宋体" w:hint="default"/>
                <w:sz w:val="18"/>
                <w:szCs w:val="18"/>
              </w:rPr>
              <w:t>合并资产负债表</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项目列示金额</w:t>
            </w:r>
            <w:r>
              <w:rPr>
                <w:rFonts w:ascii="Times New Roman" w:hAnsi="Times New Roman" w:cs="Times New Roman" w:eastAsia="Times New Roman" w:hint="default"/>
                <w:sz w:val="18"/>
                <w:szCs w:val="18"/>
              </w:rPr>
              <w:t>0.00</w:t>
            </w:r>
            <w:r>
              <w:rPr>
                <w:rFonts w:ascii="宋体" w:hAnsi="宋体" w:cs="宋体" w:eastAsia="宋体" w:hint="default"/>
                <w:sz w:val="18"/>
                <w:szCs w:val="18"/>
              </w:rPr>
              <w:t>元；</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日列示金额</w:t>
            </w:r>
            <w:r>
              <w:rPr>
                <w:rFonts w:ascii="Times New Roman" w:hAnsi="Times New Roman" w:cs="Times New Roman" w:eastAsia="Times New Roman" w:hint="default"/>
                <w:sz w:val="18"/>
                <w:szCs w:val="18"/>
              </w:rPr>
              <w:t>0.00</w:t>
            </w:r>
            <w:r>
              <w:rPr>
                <w:rFonts w:ascii="宋体" w:hAnsi="宋体" w:cs="宋体" w:eastAsia="宋体" w:hint="default"/>
                <w:sz w:val="18"/>
                <w:szCs w:val="18"/>
              </w:rPr>
              <w:t>元。</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项目列示金额</w:t>
            </w:r>
            <w:r>
              <w:rPr>
                <w:rFonts w:ascii="Times New Roman" w:hAnsi="Times New Roman" w:cs="Times New Roman" w:eastAsia="Times New Roman" w:hint="default"/>
                <w:sz w:val="18"/>
                <w:szCs w:val="18"/>
              </w:rPr>
              <w:t>63,434,870.38</w:t>
            </w:r>
            <w:r>
              <w:rPr>
                <w:rFonts w:ascii="宋体" w:hAnsi="宋体" w:cs="宋体" w:eastAsia="宋体" w:hint="default"/>
                <w:sz w:val="18"/>
                <w:szCs w:val="18"/>
              </w:rPr>
              <w:t>元；</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日列示金额</w:t>
            </w:r>
            <w:r>
              <w:rPr>
                <w:rFonts w:ascii="Times New Roman" w:hAnsi="Times New Roman" w:cs="Times New Roman" w:eastAsia="Times New Roman" w:hint="default"/>
                <w:sz w:val="18"/>
                <w:szCs w:val="18"/>
              </w:rPr>
              <w:t>82,563,306.90</w:t>
            </w:r>
            <w:r>
              <w:rPr>
                <w:rFonts w:ascii="宋体" w:hAnsi="宋体" w:cs="宋体" w:eastAsia="宋体" w:hint="default"/>
                <w:sz w:val="18"/>
                <w:szCs w:val="18"/>
              </w:rPr>
              <w:t>元。母公司资产负债表</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应</w:t>
            </w:r>
            <w:r>
              <w:rPr>
                <w:rFonts w:ascii="宋体" w:hAnsi="宋体" w:cs="宋体" w:eastAsia="宋体" w:hint="default"/>
                <w:spacing w:val="-76"/>
                <w:sz w:val="18"/>
                <w:szCs w:val="18"/>
              </w:rPr>
              <w:t> </w:t>
            </w:r>
            <w:r>
              <w:rPr>
                <w:rFonts w:ascii="宋体" w:hAnsi="宋体" w:cs="宋体" w:eastAsia="宋体" w:hint="default"/>
                <w:sz w:val="18"/>
                <w:szCs w:val="18"/>
              </w:rPr>
              <w:t>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项目列示金额</w:t>
            </w:r>
            <w:r>
              <w:rPr>
                <w:rFonts w:ascii="Times New Roman" w:hAnsi="Times New Roman" w:cs="Times New Roman" w:eastAsia="Times New Roman" w:hint="default"/>
                <w:sz w:val="18"/>
                <w:szCs w:val="18"/>
              </w:rPr>
              <w:t>0.00</w:t>
            </w:r>
            <w:r>
              <w:rPr>
                <w:rFonts w:ascii="宋体" w:hAnsi="宋体" w:cs="宋体" w:eastAsia="宋体" w:hint="default"/>
                <w:sz w:val="18"/>
                <w:szCs w:val="18"/>
              </w:rPr>
              <w:t>元；</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日列示金额</w:t>
            </w:r>
            <w:r>
              <w:rPr>
                <w:rFonts w:ascii="Times New Roman" w:hAnsi="Times New Roman" w:cs="Times New Roman" w:eastAsia="Times New Roman" w:hint="default"/>
                <w:sz w:val="18"/>
                <w:szCs w:val="18"/>
              </w:rPr>
              <w:t>0.00</w:t>
            </w:r>
            <w:r>
              <w:rPr>
                <w:rFonts w:ascii="宋体" w:hAnsi="宋体" w:cs="宋体" w:eastAsia="宋体" w:hint="default"/>
                <w:sz w:val="18"/>
                <w:szCs w:val="18"/>
              </w:rPr>
              <w:t>元。</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 </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项目列示金额</w:t>
            </w:r>
            <w:r>
              <w:rPr>
                <w:rFonts w:ascii="Times New Roman" w:hAnsi="Times New Roman" w:cs="Times New Roman" w:eastAsia="Times New Roman" w:hint="default"/>
                <w:sz w:val="18"/>
                <w:szCs w:val="18"/>
              </w:rPr>
              <w:t>58,780,154.01</w:t>
            </w:r>
            <w:r>
              <w:rPr>
                <w:rFonts w:ascii="宋体" w:hAnsi="宋体" w:cs="宋体" w:eastAsia="宋体" w:hint="default"/>
                <w:sz w:val="18"/>
                <w:szCs w:val="18"/>
              </w:rPr>
              <w:t>元；</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日列示金额</w:t>
            </w:r>
            <w:r>
              <w:rPr>
                <w:rFonts w:ascii="Times New Roman" w:hAnsi="Times New Roman" w:cs="Times New Roman" w:eastAsia="Times New Roman" w:hint="default"/>
                <w:sz w:val="18"/>
                <w:szCs w:val="18"/>
              </w:rPr>
              <w:t>83,244,197.23 </w:t>
            </w:r>
            <w:r>
              <w:rPr>
                <w:rFonts w:ascii="宋体" w:hAnsi="宋体" w:cs="宋体" w:eastAsia="宋体" w:hint="default"/>
                <w:sz w:val="18"/>
                <w:szCs w:val="18"/>
              </w:rPr>
              <w:t>元。</w:t>
            </w:r>
          </w:p>
        </w:tc>
      </w:tr>
      <w:tr>
        <w:trPr>
          <w:trHeight w:val="661" w:hRule="exact"/>
        </w:trPr>
        <w:tc>
          <w:tcPr>
            <w:tcW w:w="3259"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29"/>
              <w:ind w:right="-5"/>
              <w:jc w:val="left"/>
              <w:rPr>
                <w:rFonts w:ascii="宋体" w:hAnsi="宋体" w:cs="宋体" w:eastAsia="宋体" w:hint="default"/>
                <w:sz w:val="18"/>
                <w:szCs w:val="18"/>
              </w:rPr>
            </w:pPr>
            <w:r>
              <w:rPr>
                <w:rFonts w:ascii="宋体" w:hAnsi="宋体" w:cs="宋体" w:eastAsia="宋体" w:hint="default"/>
                <w:spacing w:val="-7"/>
                <w:w w:val="100"/>
                <w:sz w:val="18"/>
                <w:szCs w:val="18"/>
              </w:rPr>
              <w:t>新增</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信用减值损失（损失以</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号填列）</w:t>
            </w:r>
            <w:r>
              <w:rPr>
                <w:rFonts w:ascii="Times New Roman" w:hAnsi="Times New Roman" w:cs="Times New Roman" w:eastAsia="Times New Roman" w:hint="default"/>
                <w:spacing w:val="-7"/>
                <w:w w:val="100"/>
                <w:sz w:val="18"/>
                <w:szCs w:val="18"/>
              </w:rPr>
              <w:t>”</w:t>
            </w:r>
            <w:r>
              <w:rPr>
                <w:rFonts w:ascii="Times New Roman" w:hAnsi="Times New Roman" w:cs="Times New Roman" w:eastAsia="Times New Roman" w:hint="default"/>
                <w:spacing w:val="-33"/>
                <w:w w:val="100"/>
                <w:sz w:val="18"/>
                <w:szCs w:val="18"/>
              </w:rPr>
              <w:t> </w:t>
            </w:r>
            <w:r>
              <w:rPr>
                <w:rFonts w:ascii="宋体" w:hAnsi="宋体" w:cs="宋体" w:eastAsia="宋体" w:hint="default"/>
                <w:sz w:val="18"/>
                <w:szCs w:val="18"/>
              </w:rPr>
              <w:t>项目</w:t>
            </w:r>
          </w:p>
        </w:tc>
        <w:tc>
          <w:tcPr>
            <w:tcW w:w="6398"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29"/>
              <w:ind w:left="14" w:right="0"/>
              <w:jc w:val="left"/>
              <w:rPr>
                <w:rFonts w:ascii="宋体" w:hAnsi="宋体" w:cs="宋体" w:eastAsia="宋体" w:hint="default"/>
                <w:sz w:val="18"/>
                <w:szCs w:val="18"/>
              </w:rPr>
            </w:pPr>
            <w:r>
              <w:rPr>
                <w:rFonts w:ascii="宋体" w:hAnsi="宋体" w:cs="宋体" w:eastAsia="宋体" w:hint="default"/>
                <w:spacing w:val="-1"/>
                <w:sz w:val="18"/>
                <w:szCs w:val="18"/>
              </w:rPr>
              <w:t>合并利润表</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信用减值损失</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项目列示金额</w:t>
            </w:r>
            <w:r>
              <w:rPr>
                <w:rFonts w:ascii="Times New Roman" w:hAnsi="Times New Roman" w:cs="Times New Roman" w:eastAsia="Times New Roman" w:hint="default"/>
                <w:spacing w:val="-1"/>
                <w:sz w:val="18"/>
                <w:szCs w:val="18"/>
              </w:rPr>
              <w:t>-2,215,044.69</w:t>
            </w:r>
            <w:r>
              <w:rPr>
                <w:rFonts w:ascii="宋体" w:hAnsi="宋体" w:cs="宋体" w:eastAsia="宋体" w:hint="default"/>
                <w:spacing w:val="-1"/>
                <w:sz w:val="18"/>
                <w:szCs w:val="18"/>
              </w:rPr>
              <w:t>元；母公司</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利润表</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信用减值损失</w:t>
            </w:r>
            <w:r>
              <w:rPr>
                <w:rFonts w:ascii="Times New Roman" w:hAnsi="Times New Roman" w:cs="Times New Roman" w:eastAsia="Times New Roman" w:hint="default"/>
                <w:sz w:val="18"/>
                <w:szCs w:val="18"/>
              </w:rPr>
              <w:t>”</w:t>
            </w:r>
            <w:r>
              <w:rPr>
                <w:rFonts w:ascii="宋体" w:hAnsi="宋体" w:cs="宋体" w:eastAsia="宋体" w:hint="default"/>
                <w:sz w:val="18"/>
                <w:szCs w:val="18"/>
              </w:rPr>
              <w:t>项目列示金额</w:t>
            </w:r>
            <w:r>
              <w:rPr>
                <w:rFonts w:ascii="Times New Roman" w:hAnsi="Times New Roman" w:cs="Times New Roman" w:eastAsia="Times New Roman" w:hint="default"/>
                <w:sz w:val="18"/>
                <w:szCs w:val="18"/>
              </w:rPr>
              <w:t>-964,239.51</w:t>
            </w:r>
            <w:r>
              <w:rPr>
                <w:rFonts w:ascii="宋体" w:hAnsi="宋体" w:cs="宋体" w:eastAsia="宋体" w:hint="default"/>
                <w:sz w:val="18"/>
                <w:szCs w:val="18"/>
              </w:rPr>
              <w:t>元。</w:t>
            </w:r>
          </w:p>
        </w:tc>
      </w:tr>
      <w:tr>
        <w:trPr>
          <w:trHeight w:val="1291" w:hRule="exact"/>
        </w:trPr>
        <w:tc>
          <w:tcPr>
            <w:tcW w:w="3259"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29"/>
              <w:ind w:right="-15"/>
              <w:jc w:val="left"/>
              <w:rPr>
                <w:rFonts w:ascii="宋体" w:hAnsi="宋体" w:cs="宋体" w:eastAsia="宋体" w:hint="default"/>
                <w:sz w:val="18"/>
                <w:szCs w:val="18"/>
              </w:rPr>
            </w:pPr>
            <w:r>
              <w:rPr>
                <w:rFonts w:ascii="宋体" w:hAnsi="宋体" w:cs="宋体" w:eastAsia="宋体" w:hint="default"/>
                <w:sz w:val="18"/>
                <w:szCs w:val="18"/>
              </w:rPr>
              <w:t>将</w:t>
            </w:r>
            <w:r>
              <w:rPr>
                <w:rFonts w:ascii="Times New Roman" w:hAnsi="Times New Roman" w:cs="Times New Roman" w:eastAsia="Times New Roman" w:hint="default"/>
                <w:sz w:val="18"/>
                <w:szCs w:val="18"/>
              </w:rPr>
              <w:t>“</w:t>
            </w:r>
            <w:r>
              <w:rPr>
                <w:rFonts w:ascii="宋体" w:hAnsi="宋体" w:cs="宋体" w:eastAsia="宋体" w:hint="default"/>
                <w:sz w:val="18"/>
                <w:szCs w:val="18"/>
              </w:rPr>
              <w:t>资产减值损失</w:t>
            </w:r>
            <w:r>
              <w:rPr>
                <w:rFonts w:ascii="Times New Roman" w:hAnsi="Times New Roman" w:cs="Times New Roman" w:eastAsia="Times New Roman" w:hint="default"/>
                <w:sz w:val="18"/>
                <w:szCs w:val="18"/>
              </w:rPr>
              <w:t>”</w:t>
            </w:r>
            <w:r>
              <w:rPr>
                <w:rFonts w:ascii="宋体" w:hAnsi="宋体" w:cs="宋体" w:eastAsia="宋体" w:hint="default"/>
                <w:sz w:val="18"/>
                <w:szCs w:val="18"/>
              </w:rPr>
              <w:t>作为加项，损失以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 列。</w:t>
            </w:r>
          </w:p>
        </w:tc>
        <w:tc>
          <w:tcPr>
            <w:tcW w:w="6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both"/>
              <w:rPr>
                <w:rFonts w:ascii="宋体" w:hAnsi="宋体" w:cs="宋体" w:eastAsia="宋体" w:hint="default"/>
                <w:sz w:val="18"/>
                <w:szCs w:val="18"/>
              </w:rPr>
            </w:pPr>
            <w:r>
              <w:rPr>
                <w:rFonts w:ascii="宋体" w:hAnsi="宋体" w:cs="宋体" w:eastAsia="宋体" w:hint="default"/>
                <w:sz w:val="18"/>
                <w:szCs w:val="18"/>
              </w:rPr>
              <w:t>合并利润表</w:t>
            </w:r>
            <w:r>
              <w:rPr>
                <w:rFonts w:ascii="Times New Roman" w:hAnsi="Times New Roman" w:cs="Times New Roman" w:eastAsia="Times New Roman" w:hint="default"/>
                <w:sz w:val="18"/>
                <w:szCs w:val="18"/>
              </w:rPr>
              <w:t>“</w:t>
            </w: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年度发生额列示金额</w:t>
            </w:r>
          </w:p>
          <w:p>
            <w:pPr>
              <w:pStyle w:val="TableParagraph"/>
              <w:spacing w:line="297" w:lineRule="auto" w:before="66"/>
              <w:ind w:left="14" w:right="13"/>
              <w:jc w:val="both"/>
              <w:rPr>
                <w:rFonts w:ascii="宋体" w:hAnsi="宋体" w:cs="宋体" w:eastAsia="宋体" w:hint="default"/>
                <w:sz w:val="18"/>
                <w:szCs w:val="18"/>
              </w:rPr>
            </w:pPr>
            <w:r>
              <w:rPr>
                <w:rFonts w:ascii="Times New Roman" w:hAnsi="Times New Roman" w:cs="Times New Roman" w:eastAsia="Times New Roman" w:hint="default"/>
                <w:sz w:val="18"/>
                <w:szCs w:val="18"/>
              </w:rPr>
              <w:t>-4,470,530.79</w:t>
            </w:r>
            <w:r>
              <w:rPr>
                <w:rFonts w:ascii="宋体" w:hAnsi="宋体" w:cs="宋体" w:eastAsia="宋体" w:hint="default"/>
                <w:sz w:val="18"/>
                <w:szCs w:val="18"/>
              </w:rPr>
              <w:t>元，</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年度发生额列示金额</w:t>
            </w:r>
            <w:r>
              <w:rPr>
                <w:rFonts w:ascii="Times New Roman" w:hAnsi="Times New Roman" w:cs="Times New Roman" w:eastAsia="Times New Roman" w:hint="default"/>
                <w:sz w:val="18"/>
                <w:szCs w:val="18"/>
              </w:rPr>
              <w:t>-13,421,551.80</w:t>
            </w:r>
            <w:r>
              <w:rPr>
                <w:rFonts w:ascii="宋体" w:hAnsi="宋体" w:cs="宋体" w:eastAsia="宋体" w:hint="default"/>
                <w:sz w:val="18"/>
                <w:szCs w:val="18"/>
              </w:rPr>
              <w:t>元；母公司利润表</w:t>
            </w:r>
            <w:r>
              <w:rPr>
                <w:rFonts w:ascii="Times New Roman" w:hAnsi="Times New Roman" w:cs="Times New Roman" w:eastAsia="Times New Roman" w:hint="default"/>
                <w:sz w:val="18"/>
                <w:szCs w:val="18"/>
              </w:rPr>
              <w:t>“</w:t>
            </w:r>
            <w:r>
              <w:rPr>
                <w:rFonts w:ascii="宋体" w:hAnsi="宋体" w:cs="宋体" w:eastAsia="宋体" w:hint="default"/>
                <w:sz w:val="18"/>
                <w:szCs w:val="18"/>
              </w:rPr>
              <w:t>资产</w:t>
            </w:r>
            <w:r>
              <w:rPr>
                <w:rFonts w:ascii="宋体" w:hAnsi="宋体" w:cs="宋体" w:eastAsia="宋体" w:hint="default"/>
                <w:spacing w:val="-75"/>
                <w:sz w:val="18"/>
                <w:szCs w:val="18"/>
              </w:rPr>
              <w:t> </w:t>
            </w:r>
            <w:r>
              <w:rPr>
                <w:rFonts w:ascii="宋体" w:hAnsi="宋体" w:cs="宋体" w:eastAsia="宋体" w:hint="default"/>
                <w:spacing w:val="-4"/>
                <w:sz w:val="18"/>
                <w:szCs w:val="18"/>
              </w:rPr>
              <w:t>减值损失（损失以</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号填列）</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项目</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年度发生额列示金额</w:t>
            </w:r>
            <w:r>
              <w:rPr>
                <w:rFonts w:ascii="Times New Roman" w:hAnsi="Times New Roman" w:cs="Times New Roman" w:eastAsia="Times New Roman" w:hint="default"/>
                <w:spacing w:val="-4"/>
                <w:sz w:val="18"/>
                <w:szCs w:val="18"/>
              </w:rPr>
              <w:t>-4,471,287.60</w:t>
            </w:r>
            <w:r>
              <w:rPr>
                <w:rFonts w:ascii="宋体" w:hAnsi="宋体" w:cs="宋体" w:eastAsia="宋体" w:hint="default"/>
                <w:spacing w:val="-4"/>
                <w:sz w:val="18"/>
                <w:szCs w:val="18"/>
              </w:rPr>
              <w:t>元，</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年度发生额列示金额</w:t>
            </w:r>
            <w:r>
              <w:rPr>
                <w:rFonts w:ascii="Times New Roman" w:hAnsi="Times New Roman" w:cs="Times New Roman" w:eastAsia="Times New Roman" w:hint="default"/>
                <w:sz w:val="18"/>
                <w:szCs w:val="18"/>
              </w:rPr>
              <w:t>-27,114,088.63</w:t>
            </w:r>
            <w:r>
              <w:rPr>
                <w:rFonts w:ascii="宋体" w:hAnsi="宋体" w:cs="宋体" w:eastAsia="宋体" w:hint="default"/>
                <w:sz w:val="18"/>
                <w:szCs w:val="18"/>
              </w:rPr>
              <w:t>元。</w:t>
            </w:r>
          </w:p>
        </w:tc>
      </w:tr>
      <w:tr>
        <w:trPr>
          <w:trHeight w:val="1907" w:hRule="exact"/>
        </w:trPr>
        <w:tc>
          <w:tcPr>
            <w:tcW w:w="3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left"/>
              <w:rPr>
                <w:rFonts w:ascii="宋体" w:hAnsi="宋体" w:cs="宋体" w:eastAsia="宋体" w:hint="default"/>
                <w:sz w:val="18"/>
                <w:szCs w:val="18"/>
              </w:rPr>
            </w:pPr>
            <w:r>
              <w:rPr>
                <w:rFonts w:ascii="宋体" w:hAnsi="宋体" w:cs="宋体" w:eastAsia="宋体" w:hint="default"/>
                <w:sz w:val="18"/>
                <w:szCs w:val="18"/>
              </w:rPr>
              <w:t>将原</w:t>
            </w:r>
            <w:r>
              <w:rPr>
                <w:rFonts w:ascii="Times New Roman" w:hAnsi="Times New Roman" w:cs="Times New Roman" w:eastAsia="Times New Roman" w:hint="default"/>
                <w:sz w:val="18"/>
                <w:szCs w:val="18"/>
              </w:rPr>
              <w:t>“</w:t>
            </w:r>
            <w:r>
              <w:rPr>
                <w:rFonts w:ascii="宋体" w:hAnsi="宋体" w:cs="宋体" w:eastAsia="宋体" w:hint="default"/>
                <w:sz w:val="18"/>
                <w:szCs w:val="18"/>
              </w:rPr>
              <w:t>可供出售金融资产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项目重分类到</w:t>
            </w:r>
          </w:p>
          <w:p>
            <w:pPr>
              <w:pStyle w:val="TableParagraph"/>
              <w:spacing w:line="240" w:lineRule="auto" w:before="5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其他权益工具投资</w:t>
            </w:r>
            <w:r>
              <w:rPr>
                <w:rFonts w:ascii="Times New Roman" w:hAnsi="Times New Roman" w:cs="Times New Roman" w:eastAsia="Times New Roman" w:hint="default"/>
                <w:sz w:val="18"/>
                <w:szCs w:val="18"/>
              </w:rPr>
              <w:t>”</w:t>
            </w:r>
            <w:r>
              <w:rPr>
                <w:rFonts w:ascii="宋体" w:hAnsi="宋体" w:cs="宋体" w:eastAsia="宋体" w:hint="default"/>
                <w:sz w:val="18"/>
                <w:szCs w:val="18"/>
              </w:rPr>
              <w:t>项目列示</w:t>
            </w:r>
          </w:p>
        </w:tc>
        <w:tc>
          <w:tcPr>
            <w:tcW w:w="639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合并资产负债表</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可供出售金融资产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项目列示金额</w:t>
            </w:r>
            <w:r>
              <w:rPr>
                <w:rFonts w:ascii="Times New Roman" w:hAnsi="Times New Roman" w:cs="Times New Roman" w:eastAsia="Times New Roman" w:hint="default"/>
                <w:sz w:val="18"/>
                <w:szCs w:val="18"/>
              </w:rPr>
              <w:t>0.00</w:t>
            </w:r>
            <w:r>
              <w:rPr>
                <w:rFonts w:ascii="宋体" w:hAnsi="宋体" w:cs="宋体" w:eastAsia="宋体" w:hint="default"/>
                <w:sz w:val="18"/>
                <w:szCs w:val="18"/>
              </w:rPr>
              <w:t>元，</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7"/>
                <w:sz w:val="18"/>
                <w:szCs w:val="18"/>
              </w:rPr>
              <w:t> </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日列示金额</w:t>
            </w:r>
            <w:r>
              <w:rPr>
                <w:rFonts w:ascii="Times New Roman" w:hAnsi="Times New Roman" w:cs="Times New Roman" w:eastAsia="Times New Roman" w:hint="default"/>
                <w:spacing w:val="-2"/>
                <w:sz w:val="18"/>
                <w:szCs w:val="18"/>
              </w:rPr>
              <w:t>20,909,091.00</w:t>
            </w:r>
            <w:r>
              <w:rPr>
                <w:rFonts w:ascii="宋体" w:hAnsi="宋体" w:cs="宋体" w:eastAsia="宋体" w:hint="default"/>
                <w:spacing w:val="-2"/>
                <w:sz w:val="18"/>
                <w:szCs w:val="18"/>
              </w:rPr>
              <w:t>元；</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其他权益工具投资</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项目列</w:t>
            </w:r>
            <w:r>
              <w:rPr>
                <w:rFonts w:ascii="宋体" w:hAnsi="宋体" w:cs="宋体" w:eastAsia="宋体" w:hint="default"/>
                <w:spacing w:val="-42"/>
                <w:sz w:val="18"/>
                <w:szCs w:val="18"/>
              </w:rPr>
              <w:t> </w:t>
            </w:r>
            <w:r>
              <w:rPr>
                <w:rFonts w:ascii="宋体" w:hAnsi="宋体" w:cs="宋体" w:eastAsia="宋体" w:hint="default"/>
                <w:spacing w:val="-1"/>
                <w:sz w:val="18"/>
                <w:szCs w:val="18"/>
              </w:rPr>
              <w:t>示金额</w:t>
            </w:r>
            <w:r>
              <w:rPr>
                <w:rFonts w:ascii="Times New Roman" w:hAnsi="Times New Roman" w:cs="Times New Roman" w:eastAsia="Times New Roman" w:hint="default"/>
                <w:spacing w:val="-1"/>
                <w:sz w:val="18"/>
                <w:szCs w:val="18"/>
              </w:rPr>
              <w:t>38,348,394.04</w:t>
            </w:r>
            <w:r>
              <w:rPr>
                <w:rFonts w:ascii="宋体" w:hAnsi="宋体" w:cs="宋体" w:eastAsia="宋体" w:hint="default"/>
                <w:spacing w:val="-1"/>
                <w:sz w:val="18"/>
                <w:szCs w:val="18"/>
              </w:rPr>
              <w:t>元，</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日列示金额</w:t>
            </w:r>
            <w:r>
              <w:rPr>
                <w:rFonts w:ascii="Times New Roman" w:hAnsi="Times New Roman" w:cs="Times New Roman" w:eastAsia="Times New Roman" w:hint="default"/>
                <w:spacing w:val="-1"/>
                <w:sz w:val="18"/>
                <w:szCs w:val="18"/>
              </w:rPr>
              <w:t>0.00</w:t>
            </w:r>
            <w:r>
              <w:rPr>
                <w:rFonts w:ascii="宋体" w:hAnsi="宋体" w:cs="宋体" w:eastAsia="宋体" w:hint="default"/>
                <w:spacing w:val="-1"/>
                <w:sz w:val="18"/>
                <w:szCs w:val="18"/>
              </w:rPr>
              <w:t>元。母公司资产负债表</w:t>
            </w:r>
            <w:r>
              <w:rPr>
                <w:rFonts w:ascii="Times New Roman" w:hAnsi="Times New Roman" w:cs="Times New Roman" w:eastAsia="Times New Roman" w:hint="default"/>
                <w:spacing w:val="-1"/>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可供出售金融资产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项目列示金额</w:t>
            </w:r>
            <w:r>
              <w:rPr>
                <w:rFonts w:ascii="Times New Roman" w:hAnsi="Times New Roman" w:cs="Times New Roman" w:eastAsia="Times New Roman" w:hint="default"/>
                <w:sz w:val="18"/>
                <w:szCs w:val="18"/>
              </w:rPr>
              <w:t>0.00</w:t>
            </w:r>
            <w:r>
              <w:rPr>
                <w:rFonts w:ascii="宋体" w:hAnsi="宋体" w:cs="宋体" w:eastAsia="宋体" w:hint="default"/>
                <w:sz w:val="18"/>
                <w:szCs w:val="18"/>
              </w:rPr>
              <w:t>元，</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日列示金额</w:t>
            </w:r>
            <w:r>
              <w:rPr>
                <w:rFonts w:ascii="宋体" w:hAnsi="宋体" w:cs="宋体" w:eastAsia="宋体" w:hint="default"/>
                <w:spacing w:val="-83"/>
                <w:sz w:val="18"/>
                <w:szCs w:val="18"/>
              </w:rPr>
              <w:t> </w:t>
            </w:r>
            <w:r>
              <w:rPr>
                <w:rFonts w:ascii="Times New Roman" w:hAnsi="Times New Roman" w:cs="Times New Roman" w:eastAsia="Times New Roman" w:hint="default"/>
                <w:sz w:val="18"/>
                <w:szCs w:val="18"/>
              </w:rPr>
              <w:t>20,000,000.00</w:t>
            </w:r>
            <w:r>
              <w:rPr>
                <w:rFonts w:ascii="宋体" w:hAnsi="宋体" w:cs="宋体" w:eastAsia="宋体" w:hint="default"/>
                <w:sz w:val="18"/>
                <w:szCs w:val="18"/>
              </w:rPr>
              <w:t>元；</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其他权益工具投资</w:t>
            </w:r>
            <w:r>
              <w:rPr>
                <w:rFonts w:ascii="Times New Roman" w:hAnsi="Times New Roman" w:cs="Times New Roman" w:eastAsia="Times New Roman" w:hint="default"/>
                <w:sz w:val="18"/>
                <w:szCs w:val="18"/>
              </w:rPr>
              <w:t>”</w:t>
            </w:r>
            <w:r>
              <w:rPr>
                <w:rFonts w:ascii="宋体" w:hAnsi="宋体" w:cs="宋体" w:eastAsia="宋体" w:hint="default"/>
                <w:sz w:val="18"/>
                <w:szCs w:val="18"/>
              </w:rPr>
              <w:t>项目列示金额</w:t>
            </w:r>
            <w:r>
              <w:rPr>
                <w:rFonts w:ascii="Times New Roman" w:hAnsi="Times New Roman" w:cs="Times New Roman" w:eastAsia="Times New Roman" w:hint="default"/>
                <w:sz w:val="18"/>
                <w:szCs w:val="18"/>
              </w:rPr>
              <w:t>20,000,000.00 </w:t>
            </w:r>
            <w:r>
              <w:rPr>
                <w:rFonts w:ascii="宋体" w:hAnsi="宋体" w:cs="宋体" w:eastAsia="宋体" w:hint="default"/>
                <w:sz w:val="18"/>
                <w:szCs w:val="18"/>
              </w:rPr>
              <w:t>元</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日列示金额</w:t>
            </w:r>
            <w:r>
              <w:rPr>
                <w:rFonts w:ascii="Times New Roman" w:hAnsi="Times New Roman" w:cs="Times New Roman" w:eastAsia="Times New Roman" w:hint="default"/>
                <w:sz w:val="18"/>
                <w:szCs w:val="18"/>
              </w:rPr>
              <w:t>0.00</w:t>
            </w:r>
            <w:r>
              <w:rPr>
                <w:rFonts w:ascii="宋体" w:hAnsi="宋体" w:cs="宋体" w:eastAsia="宋体" w:hint="default"/>
                <w:sz w:val="18"/>
                <w:szCs w:val="18"/>
              </w:rPr>
              <w:t>元。</w:t>
            </w:r>
          </w:p>
        </w:tc>
      </w:tr>
      <w:tr>
        <w:trPr>
          <w:trHeight w:val="1906" w:hRule="exact"/>
        </w:trPr>
        <w:tc>
          <w:tcPr>
            <w:tcW w:w="3259"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29"/>
              <w:ind w:right="103"/>
              <w:jc w:val="left"/>
              <w:rPr>
                <w:rFonts w:ascii="宋体" w:hAnsi="宋体" w:cs="宋体" w:eastAsia="宋体" w:hint="default"/>
                <w:sz w:val="18"/>
                <w:szCs w:val="18"/>
              </w:rPr>
            </w:pPr>
            <w:r>
              <w:rPr>
                <w:rFonts w:ascii="宋体" w:hAnsi="宋体" w:cs="宋体" w:eastAsia="宋体" w:hint="default"/>
                <w:sz w:val="18"/>
                <w:szCs w:val="18"/>
              </w:rPr>
              <w:t>将原</w:t>
            </w:r>
            <w:r>
              <w:rPr>
                <w:rFonts w:ascii="Times New Roman" w:hAnsi="Times New Roman" w:cs="Times New Roman" w:eastAsia="Times New Roman" w:hint="default"/>
                <w:sz w:val="18"/>
                <w:szCs w:val="18"/>
              </w:rPr>
              <w:t>“</w:t>
            </w:r>
            <w:r>
              <w:rPr>
                <w:rFonts w:ascii="宋体" w:hAnsi="宋体" w:cs="宋体" w:eastAsia="宋体" w:hint="default"/>
                <w:sz w:val="18"/>
                <w:szCs w:val="18"/>
              </w:rPr>
              <w:t>其他流动资产</w:t>
            </w:r>
            <w:r>
              <w:rPr>
                <w:rFonts w:ascii="Times New Roman" w:hAnsi="Times New Roman" w:cs="Times New Roman" w:eastAsia="Times New Roman" w:hint="default"/>
                <w:sz w:val="18"/>
                <w:szCs w:val="18"/>
              </w:rPr>
              <w:t>”</w:t>
            </w:r>
            <w:r>
              <w:rPr>
                <w:rFonts w:ascii="宋体" w:hAnsi="宋体" w:cs="宋体" w:eastAsia="宋体" w:hint="default"/>
                <w:sz w:val="18"/>
                <w:szCs w:val="18"/>
              </w:rPr>
              <w:t>项目重分类到</w:t>
            </w:r>
            <w:r>
              <w:rPr>
                <w:rFonts w:ascii="Times New Roman" w:hAnsi="Times New Roman" w:cs="Times New Roman" w:eastAsia="Times New Roman" w:hint="default"/>
                <w:sz w:val="18"/>
                <w:szCs w:val="18"/>
              </w:rPr>
              <w:t>“</w:t>
            </w:r>
            <w:r>
              <w:rPr>
                <w:rFonts w:ascii="宋体" w:hAnsi="宋体" w:cs="宋体" w:eastAsia="宋体" w:hint="default"/>
                <w:sz w:val="18"/>
                <w:szCs w:val="18"/>
              </w:rPr>
              <w:t>交易</w:t>
            </w:r>
            <w:r>
              <w:rPr>
                <w:rFonts w:ascii="宋体" w:hAnsi="宋体" w:cs="宋体" w:eastAsia="宋体" w:hint="default"/>
                <w:spacing w:val="-73"/>
                <w:sz w:val="18"/>
                <w:szCs w:val="18"/>
              </w:rPr>
              <w:t> </w:t>
            </w:r>
            <w:r>
              <w:rPr>
                <w:rFonts w:ascii="宋体" w:hAnsi="宋体" w:cs="宋体" w:eastAsia="宋体" w:hint="default"/>
                <w:sz w:val="18"/>
                <w:szCs w:val="18"/>
              </w:rPr>
              <w:t>性金融资产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项目列示</w:t>
            </w:r>
          </w:p>
        </w:tc>
        <w:tc>
          <w:tcPr>
            <w:tcW w:w="639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合并资产负债表</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交易性金融资产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项目列示金额</w:t>
            </w:r>
            <w:r>
              <w:rPr>
                <w:rFonts w:ascii="Times New Roman" w:hAnsi="Times New Roman" w:cs="Times New Roman" w:eastAsia="Times New Roman" w:hint="default"/>
                <w:sz w:val="18"/>
                <w:szCs w:val="18"/>
              </w:rPr>
              <w:t>746,272,637.59</w:t>
            </w:r>
            <w:r>
              <w:rPr>
                <w:rFonts w:ascii="Times New Roman" w:hAnsi="Times New Roman" w:cs="Times New Roman" w:eastAsia="Times New Roman" w:hint="default"/>
                <w:spacing w:val="-37"/>
                <w:sz w:val="18"/>
                <w:szCs w:val="18"/>
              </w:rPr>
              <w:t> </w:t>
            </w:r>
            <w:r>
              <w:rPr>
                <w:rFonts w:ascii="宋体" w:hAnsi="宋体" w:cs="宋体" w:eastAsia="宋体" w:hint="default"/>
                <w:spacing w:val="-2"/>
                <w:sz w:val="18"/>
                <w:szCs w:val="18"/>
              </w:rPr>
              <w:t>元，</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日列示金额</w:t>
            </w:r>
            <w:r>
              <w:rPr>
                <w:rFonts w:ascii="Times New Roman" w:hAnsi="Times New Roman" w:cs="Times New Roman" w:eastAsia="Times New Roman" w:hint="default"/>
                <w:spacing w:val="-2"/>
                <w:sz w:val="18"/>
                <w:szCs w:val="18"/>
              </w:rPr>
              <w:t>0.00</w:t>
            </w:r>
            <w:r>
              <w:rPr>
                <w:rFonts w:ascii="宋体" w:hAnsi="宋体" w:cs="宋体" w:eastAsia="宋体" w:hint="default"/>
                <w:spacing w:val="-2"/>
                <w:sz w:val="18"/>
                <w:szCs w:val="18"/>
              </w:rPr>
              <w:t>元；</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其他流动资产</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项目列示金</w:t>
            </w:r>
            <w:r>
              <w:rPr>
                <w:rFonts w:ascii="宋体" w:hAnsi="宋体" w:cs="宋体" w:eastAsia="宋体" w:hint="default"/>
                <w:spacing w:val="-50"/>
                <w:sz w:val="18"/>
                <w:szCs w:val="18"/>
              </w:rPr>
              <w:t> </w:t>
            </w:r>
            <w:r>
              <w:rPr>
                <w:rFonts w:ascii="宋体" w:hAnsi="宋体" w:cs="宋体" w:eastAsia="宋体" w:hint="default"/>
                <w:spacing w:val="-1"/>
                <w:sz w:val="18"/>
                <w:szCs w:val="18"/>
              </w:rPr>
              <w:t>额</w:t>
            </w:r>
            <w:r>
              <w:rPr>
                <w:rFonts w:ascii="Times New Roman" w:hAnsi="Times New Roman" w:cs="Times New Roman" w:eastAsia="Times New Roman" w:hint="default"/>
                <w:spacing w:val="-1"/>
                <w:sz w:val="18"/>
                <w:szCs w:val="18"/>
              </w:rPr>
              <w:t>9,580,834.20</w:t>
            </w:r>
            <w:r>
              <w:rPr>
                <w:rFonts w:ascii="宋体" w:hAnsi="宋体" w:cs="宋体" w:eastAsia="宋体" w:hint="default"/>
                <w:spacing w:val="-1"/>
                <w:sz w:val="18"/>
                <w:szCs w:val="18"/>
              </w:rPr>
              <w:t>元，</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日列示金额</w:t>
            </w:r>
            <w:r>
              <w:rPr>
                <w:rFonts w:ascii="Times New Roman" w:hAnsi="Times New Roman" w:cs="Times New Roman" w:eastAsia="Times New Roman" w:hint="default"/>
                <w:spacing w:val="-1"/>
                <w:sz w:val="18"/>
                <w:szCs w:val="18"/>
              </w:rPr>
              <w:t>549,742,556.44</w:t>
            </w:r>
            <w:r>
              <w:rPr>
                <w:rFonts w:ascii="宋体" w:hAnsi="宋体" w:cs="宋体" w:eastAsia="宋体" w:hint="default"/>
                <w:spacing w:val="-1"/>
                <w:sz w:val="18"/>
                <w:szCs w:val="18"/>
              </w:rPr>
              <w:t>元。母公司资产负债表</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交易性金融资产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项目列示金额</w:t>
            </w:r>
            <w:r>
              <w:rPr>
                <w:rFonts w:ascii="Times New Roman" w:hAnsi="Times New Roman" w:cs="Times New Roman" w:eastAsia="Times New Roman" w:hint="default"/>
                <w:sz w:val="18"/>
                <w:szCs w:val="18"/>
              </w:rPr>
              <w:t>678,926,123.24</w:t>
            </w:r>
            <w:r>
              <w:rPr>
                <w:rFonts w:ascii="宋体" w:hAnsi="宋体" w:cs="宋体" w:eastAsia="宋体" w:hint="default"/>
                <w:sz w:val="18"/>
                <w:szCs w:val="18"/>
              </w:rPr>
              <w:t>元，</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日列示金额</w:t>
            </w:r>
            <w:r>
              <w:rPr>
                <w:rFonts w:ascii="Times New Roman" w:hAnsi="Times New Roman" w:cs="Times New Roman" w:eastAsia="Times New Roman" w:hint="default"/>
                <w:sz w:val="18"/>
                <w:szCs w:val="18"/>
              </w:rPr>
              <w:t>0.00</w:t>
            </w:r>
            <w:r>
              <w:rPr>
                <w:rFonts w:ascii="宋体" w:hAnsi="宋体" w:cs="宋体" w:eastAsia="宋体" w:hint="default"/>
                <w:sz w:val="18"/>
                <w:szCs w:val="18"/>
              </w:rPr>
              <w:t>元；</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其他流动资产</w:t>
            </w:r>
            <w:r>
              <w:rPr>
                <w:rFonts w:ascii="Times New Roman" w:hAnsi="Times New Roman" w:cs="Times New Roman" w:eastAsia="Times New Roman" w:hint="default"/>
                <w:sz w:val="18"/>
                <w:szCs w:val="18"/>
              </w:rPr>
              <w:t>”</w:t>
            </w:r>
            <w:r>
              <w:rPr>
                <w:rFonts w:ascii="宋体" w:hAnsi="宋体" w:cs="宋体" w:eastAsia="宋体" w:hint="default"/>
                <w:sz w:val="18"/>
                <w:szCs w:val="18"/>
              </w:rPr>
              <w:t>项目列示金额</w:t>
            </w:r>
            <w:r>
              <w:rPr>
                <w:rFonts w:ascii="Times New Roman" w:hAnsi="Times New Roman" w:cs="Times New Roman" w:eastAsia="Times New Roman" w:hint="default"/>
                <w:sz w:val="18"/>
                <w:szCs w:val="18"/>
              </w:rPr>
              <w:t>8,987,917.77</w:t>
            </w:r>
            <w:r>
              <w:rPr>
                <w:rFonts w:ascii="宋体" w:hAnsi="宋体" w:cs="宋体" w:eastAsia="宋体" w:hint="default"/>
                <w:sz w:val="18"/>
                <w:szCs w:val="18"/>
              </w:rPr>
              <w:t>元</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日列示金额</w:t>
            </w:r>
            <w:r>
              <w:rPr>
                <w:rFonts w:ascii="Times New Roman" w:hAnsi="Times New Roman" w:cs="Times New Roman" w:eastAsia="Times New Roman" w:hint="default"/>
                <w:sz w:val="18"/>
                <w:szCs w:val="18"/>
              </w:rPr>
              <w:t>509,699,027.71</w:t>
            </w:r>
            <w:r>
              <w:rPr>
                <w:rFonts w:ascii="宋体" w:hAnsi="宋体" w:cs="宋体" w:eastAsia="宋体" w:hint="default"/>
                <w:sz w:val="18"/>
                <w:szCs w:val="18"/>
              </w:rPr>
              <w:t>元。</w:t>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2）重要会计估计变更" w:id="211"/>
      <w:bookmarkEnd w:id="211"/>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4"/>
        <w:spacing w:line="240" w:lineRule="auto"/>
        <w:ind w:right="0"/>
        <w:jc w:val="left"/>
        <w:rPr>
          <w:b w:val="0"/>
          <w:bCs w:val="0"/>
        </w:rPr>
      </w:pPr>
      <w:bookmarkStart w:name="（3）2019年起执行新金融工具准则、新收入准则或新租赁准则调整执行当年年初财务" w:id="212"/>
      <w:bookmarkEnd w:id="212"/>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年起执行新金融工具准则、新收入准则或新租赁准则调整执行当年年初财务报表相关项目情况</w:t>
      </w:r>
      <w:r>
        <w:rPr>
          <w:b w:val="0"/>
          <w:bCs w:val="0"/>
        </w:rPr>
      </w:r>
    </w:p>
    <w:p>
      <w:pPr>
        <w:spacing w:line="240" w:lineRule="auto" w:before="5"/>
        <w:rPr>
          <w:rFonts w:ascii="宋体" w:hAnsi="宋体" w:cs="宋体" w:eastAsia="宋体" w:hint="default"/>
          <w:b/>
          <w:bCs/>
          <w:sz w:val="26"/>
          <w:szCs w:val="26"/>
        </w:rPr>
      </w:pPr>
    </w:p>
    <w:p>
      <w:pPr>
        <w:pStyle w:val="BodyText"/>
        <w:spacing w:line="319" w:lineRule="auto"/>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合并资产负债表</w:t>
      </w:r>
    </w:p>
    <w:p>
      <w:pPr>
        <w:pStyle w:val="BodyText"/>
        <w:spacing w:line="240" w:lineRule="auto" w:before="65"/>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207"/>
        <w:gridCol w:w="2463"/>
        <w:gridCol w:w="2448"/>
        <w:gridCol w:w="2463"/>
      </w:tblGrid>
      <w:tr>
        <w:trPr>
          <w:trHeight w:val="405" w:hRule="exact"/>
        </w:trPr>
        <w:tc>
          <w:tcPr>
            <w:tcW w:w="2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390" w:hRule="exact"/>
        </w:trPr>
        <w:tc>
          <w:tcPr>
            <w:tcW w:w="2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662,539,376.26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662,539,376.26</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544,976,057.27</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544,976,057.27</w:t>
            </w:r>
          </w:p>
        </w:tc>
      </w:tr>
      <w:tr>
        <w:trPr>
          <w:trHeight w:val="103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7" w:right="187"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1,313,190.00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1,313,190.00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97,244,483.23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97,244,483.23</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13,162,512.91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13,162,512.91</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8,836,478.76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8,836,478.76</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47"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089"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442,820,282.02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442,820,282.02</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80"/>
              <w:ind w:left="7"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549,742,556.44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8,742,556.44</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-541,000,000.00</w:t>
            </w:r>
            <w:r>
              <w:rPr>
                <w:rFonts w:ascii="Times New Roman"/>
                <w:sz w:val="18"/>
              </w:rPr>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1,775,658,879.62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1,779,634,936.89</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3,976,057.27</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20,909,091.00</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-20,909,091.00</w:t>
            </w:r>
            <w:r>
              <w:rPr>
                <w:rFonts w:ascii="Times New Roman"/>
                <w:sz w:val="18"/>
              </w:rPr>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47,264,091.69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47,264,091.69</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20,909,091.00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20,909,091.00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87"/>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29,603,257.61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29,603,257.61</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156,915.24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156,915.24</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19,664,407.00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19,664,407.00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1,436,702.44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1,436,702.44</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102,294,256.35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102,294,256.35</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10,429,679.03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10,429,679.03</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3,255,433.45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3,255,433.45</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1,952,748.68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1,952,748.68</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236,966,582.49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236,966,582.49</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2,012,625,462.11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2,016,601,519.38</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86" w:right="0"/>
              <w:jc w:val="left"/>
              <w:rPr>
                <w:rFonts w:ascii="Times New Roman" w:hAnsi="Times New Roman" w:cs="Times New Roman" w:eastAsia="Times New Roman" w:hint="default"/>
                <w:sz w:val="18"/>
                <w:szCs w:val="18"/>
              </w:rPr>
            </w:pPr>
            <w:r>
              <w:rPr>
                <w:rFonts w:ascii="Times New Roman"/>
                <w:sz w:val="18"/>
              </w:rPr>
              <w:t>3,976,057.27</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7" w:right="187"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82,563,306.90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82,563,306.90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32,903,648.71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32,903,648.71</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87"/>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87"/>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20,641,201.70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20,641,201.70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16,118,958.67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16,118,958.67</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6,094,845.83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6,094,845.83</w:t>
            </w: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67"/>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366"/>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367"/>
              <w:jc w:val="righ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64"/>
              <w:ind w:left="7"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80,514,840.00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80,514,840.00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238,836,801.81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238,836,801.81</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8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367"/>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9,399,091.05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9,399,091.05</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2,527,251.97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3,123,660.56</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596,408.59</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11,926,343.02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12,522,751.61</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596,408.59</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250,763,144.83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251,359,553.42</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596,408.59</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418,044,000.00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418,044,000.00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8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345,687,008.56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345,687,008.56</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2,840,303.27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-796,060.73</w:t>
            </w:r>
            <w:r>
              <w:rPr>
                <w:rFonts w:ascii="Times New Roman"/>
                <w:sz w:val="18"/>
              </w:rPr>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-3,636,364.00</w:t>
            </w:r>
            <w:r>
              <w:rPr>
                <w:rFonts w:ascii="Times New Roman"/>
                <w:sz w:val="18"/>
              </w:rPr>
            </w: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111,481,562.48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111,481,562.48</w:t>
            </w: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200"/>
        <w:gridCol w:w="2471"/>
        <w:gridCol w:w="2448"/>
        <w:gridCol w:w="2463"/>
      </w:tblGrid>
      <w:tr>
        <w:trPr>
          <w:trHeight w:val="405"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71" w:type="dxa"/>
            <w:tcBorders>
              <w:top w:val="single" w:sz="6" w:space="0" w:color="000000"/>
              <w:left w:val="single" w:sz="6"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7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873,209,831.44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880,225,844.12</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7,016,012.68</w:t>
            </w:r>
          </w:p>
        </w:tc>
      </w:tr>
      <w:tr>
        <w:trPr>
          <w:trHeight w:val="705"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187"/>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1,751,262,705.75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1,754,642,354.43</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3,379,648.68</w:t>
            </w:r>
          </w:p>
        </w:tc>
      </w:tr>
      <w:tr>
        <w:trPr>
          <w:trHeight w:val="406"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10,599,611.53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10,599,611.53</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1,761,862,317.28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1,765,241,965.96</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3,379,648.68</w:t>
            </w:r>
          </w:p>
        </w:tc>
      </w:tr>
      <w:tr>
        <w:trPr>
          <w:trHeight w:val="390"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2,012,625,462.11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2,016,601,519.38</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3,976,057.27</w:t>
            </w:r>
          </w:p>
        </w:tc>
      </w:tr>
    </w:tbl>
    <w:p>
      <w:pPr>
        <w:pStyle w:val="BodyText"/>
        <w:spacing w:line="240" w:lineRule="auto" w:before="45"/>
        <w:ind w:right="1100"/>
        <w:jc w:val="left"/>
      </w:pPr>
      <w:r>
        <w:rPr/>
        <w:t>调整情况说明</w:t>
      </w:r>
    </w:p>
    <w:p>
      <w:pPr>
        <w:pStyle w:val="BodyText"/>
        <w:spacing w:line="302" w:lineRule="auto" w:before="89"/>
        <w:ind w:right="1100"/>
        <w:jc w:val="left"/>
      </w:pPr>
      <w:r>
        <w:rPr>
          <w:spacing w:val="-2"/>
          <w:sz w:val="21"/>
          <w:szCs w:val="21"/>
        </w:rPr>
        <w:t>（</w:t>
      </w:r>
      <w:r>
        <w:rPr>
          <w:rFonts w:ascii="Times New Roman" w:hAnsi="Times New Roman" w:cs="Times New Roman" w:eastAsia="Times New Roman" w:hint="default"/>
          <w:spacing w:val="-2"/>
          <w:sz w:val="21"/>
          <w:szCs w:val="21"/>
        </w:rPr>
        <w:t>1</w:t>
      </w:r>
      <w:r>
        <w:rPr>
          <w:spacing w:val="-2"/>
          <w:sz w:val="21"/>
          <w:szCs w:val="21"/>
        </w:rPr>
        <w:t>）</w:t>
      </w:r>
      <w:r>
        <w:rPr>
          <w:spacing w:val="-2"/>
        </w:rPr>
        <w:t>交易性金融资产调整说明：实行新金融工具准则，原在其他流动资产列示的理财产品在交易性金融资产中核算，调增</w:t>
      </w:r>
      <w:r>
        <w:rPr>
          <w:spacing w:val="-57"/>
        </w:rPr>
        <w:t> </w:t>
      </w:r>
      <w:r>
        <w:rPr>
          <w:spacing w:val="-57"/>
        </w:rPr>
      </w:r>
      <w:r>
        <w:rPr/>
        <w:t>交易性金融资产期初金额</w:t>
      </w:r>
      <w:r>
        <w:rPr>
          <w:rFonts w:ascii="Times New Roman" w:hAnsi="Times New Roman" w:cs="Times New Roman" w:eastAsia="Times New Roman" w:hint="default"/>
        </w:rPr>
        <w:t>544,976,057.27</w:t>
      </w:r>
      <w:r>
        <w:rPr/>
        <w:t>元。</w:t>
      </w:r>
    </w:p>
    <w:p>
      <w:pPr>
        <w:pStyle w:val="BodyText"/>
        <w:spacing w:line="316" w:lineRule="auto" w:before="149"/>
        <w:ind w:right="1119"/>
        <w:jc w:val="left"/>
      </w:pPr>
      <w:r>
        <w:rPr/>
        <w:t>（</w:t>
      </w:r>
      <w:r>
        <w:rPr>
          <w:rFonts w:ascii="Times New Roman" w:hAnsi="Times New Roman" w:cs="Times New Roman" w:eastAsia="Times New Roman" w:hint="default"/>
        </w:rPr>
        <w:t>2</w:t>
      </w:r>
      <w:r>
        <w:rPr/>
        <w:t>）其他流动资产调整说明：实行新金融工具准则，原在其他流动资产列示的理财产品在交易性金融资产中核算，调减其 他流动资产期初金额</w:t>
      </w:r>
      <w:r>
        <w:rPr>
          <w:rFonts w:ascii="Times New Roman" w:hAnsi="Times New Roman" w:cs="Times New Roman" w:eastAsia="Times New Roman" w:hint="default"/>
        </w:rPr>
        <w:t>541,000,000.00</w:t>
      </w:r>
      <w:r>
        <w:rPr/>
        <w:t>元。</w:t>
      </w:r>
    </w:p>
    <w:p>
      <w:pPr>
        <w:pStyle w:val="BodyText"/>
        <w:spacing w:line="319" w:lineRule="auto" w:before="137"/>
        <w:ind w:right="1119"/>
        <w:jc w:val="left"/>
      </w:pPr>
      <w:r>
        <w:rPr/>
        <w:t>（</w:t>
      </w:r>
      <w:r>
        <w:rPr>
          <w:rFonts w:ascii="Times New Roman" w:hAnsi="Times New Roman" w:cs="Times New Roman" w:eastAsia="Times New Roman" w:hint="default"/>
        </w:rPr>
        <w:t>3</w:t>
      </w:r>
      <w:r>
        <w:rPr/>
        <w:t>）可供出售金融资产调整说明：实行新金融工具准则，非交易性权益工具投资不在可供出售金融资产中核算，调减可供 出售金融资产期初金额</w:t>
      </w:r>
      <w:r>
        <w:rPr>
          <w:rFonts w:ascii="Times New Roman" w:hAnsi="Times New Roman" w:cs="Times New Roman" w:eastAsia="Times New Roman" w:hint="default"/>
        </w:rPr>
        <w:t>20,909,091.00</w:t>
      </w:r>
      <w:r>
        <w:rPr/>
        <w:t>元。</w:t>
      </w:r>
    </w:p>
    <w:p>
      <w:pPr>
        <w:pStyle w:val="BodyText"/>
        <w:spacing w:line="316" w:lineRule="auto" w:before="135"/>
        <w:ind w:right="1119"/>
        <w:jc w:val="left"/>
      </w:pPr>
      <w:r>
        <w:rPr/>
        <w:t>（</w:t>
      </w:r>
      <w:r>
        <w:rPr>
          <w:rFonts w:ascii="Times New Roman" w:hAnsi="Times New Roman" w:cs="Times New Roman" w:eastAsia="Times New Roman" w:hint="default"/>
        </w:rPr>
        <w:t>4</w:t>
      </w:r>
      <w:r>
        <w:rPr/>
        <w:t>）其他权益工具投资调整说明：实行新金融工具准则，企业指定为以公允价值计量且其变动计入其他综合收益的非交易 性权益工具投资在其他权益工具中核算，调增其他权益工具投资期初金额</w:t>
      </w:r>
      <w:r>
        <w:rPr>
          <w:rFonts w:ascii="Times New Roman" w:hAnsi="Times New Roman" w:cs="Times New Roman" w:eastAsia="Times New Roman" w:hint="default"/>
        </w:rPr>
        <w:t>20,909,091.00</w:t>
      </w:r>
      <w:r>
        <w:rPr/>
        <w:t>元。</w:t>
      </w:r>
    </w:p>
    <w:p>
      <w:pPr>
        <w:pStyle w:val="BodyText"/>
        <w:spacing w:line="319" w:lineRule="auto" w:before="137"/>
        <w:ind w:right="1100"/>
        <w:jc w:val="left"/>
      </w:pPr>
      <w:r>
        <w:rPr>
          <w:spacing w:val="-1"/>
        </w:rPr>
        <w:t>（</w:t>
      </w:r>
      <w:r>
        <w:rPr>
          <w:rFonts w:ascii="Times New Roman" w:hAnsi="Times New Roman" w:cs="Times New Roman" w:eastAsia="Times New Roman" w:hint="default"/>
          <w:spacing w:val="-1"/>
        </w:rPr>
        <w:t>5</w:t>
      </w:r>
      <w:r>
        <w:rPr>
          <w:spacing w:val="-1"/>
        </w:rPr>
        <w:t>）递延所得税负债调整说明：实行新金融工具准则，调减其他流动资产期初金额</w:t>
      </w:r>
      <w:r>
        <w:rPr>
          <w:rFonts w:ascii="Times New Roman" w:hAnsi="Times New Roman" w:cs="Times New Roman" w:eastAsia="Times New Roman" w:hint="default"/>
          <w:spacing w:val="-1"/>
        </w:rPr>
        <w:t>541,000,000.00</w:t>
      </w:r>
      <w:r>
        <w:rPr>
          <w:spacing w:val="-1"/>
        </w:rPr>
        <w:t>元，调增交易性金融资产</w:t>
      </w:r>
      <w:r>
        <w:rPr>
          <w:spacing w:val="-67"/>
        </w:rPr>
        <w:t> </w:t>
      </w:r>
      <w:r>
        <w:rPr>
          <w:spacing w:val="-67"/>
        </w:rPr>
      </w:r>
      <w:r>
        <w:rPr/>
        <w:t>期初金额</w:t>
      </w:r>
      <w:r>
        <w:rPr>
          <w:rFonts w:ascii="Times New Roman" w:hAnsi="Times New Roman" w:cs="Times New Roman" w:eastAsia="Times New Roman" w:hint="default"/>
        </w:rPr>
        <w:t>544,976,057.27</w:t>
      </w:r>
      <w:r>
        <w:rPr/>
        <w:t>元，影响调增递延所得税负债期初金额</w:t>
      </w:r>
      <w:r>
        <w:rPr>
          <w:rFonts w:ascii="Times New Roman" w:hAnsi="Times New Roman" w:cs="Times New Roman" w:eastAsia="Times New Roman" w:hint="default"/>
        </w:rPr>
        <w:t>596,408.59</w:t>
      </w:r>
      <w:r>
        <w:rPr/>
        <w:t>元。</w:t>
      </w:r>
    </w:p>
    <w:p>
      <w:pPr>
        <w:pStyle w:val="BodyText"/>
        <w:spacing w:line="319" w:lineRule="auto" w:before="135"/>
        <w:ind w:right="1100"/>
        <w:jc w:val="left"/>
      </w:pPr>
      <w:r>
        <w:rPr/>
        <w:t>（</w:t>
      </w:r>
      <w:r>
        <w:rPr>
          <w:rFonts w:ascii="Times New Roman" w:hAnsi="Times New Roman" w:cs="Times New Roman" w:eastAsia="Times New Roman" w:hint="default"/>
        </w:rPr>
        <w:t>6</w:t>
      </w:r>
      <w:r>
        <w:rPr/>
        <w:t>）其他综合收益调整说明：实行新金融工具准则，调减可供出售金融资产期初金额</w:t>
      </w:r>
      <w:r>
        <w:rPr>
          <w:rFonts w:ascii="Times New Roman" w:hAnsi="Times New Roman" w:cs="Times New Roman" w:eastAsia="Times New Roman" w:hint="default"/>
        </w:rPr>
        <w:t>20,909,091.00</w:t>
      </w:r>
      <w:r>
        <w:rPr/>
        <w:t>元，调增其他权益工具</w:t>
      </w:r>
      <w:r>
        <w:rPr>
          <w:spacing w:val="-41"/>
        </w:rPr>
        <w:t> </w:t>
      </w:r>
      <w:r>
        <w:rPr>
          <w:spacing w:val="-41"/>
        </w:rPr>
      </w:r>
      <w:r>
        <w:rPr/>
        <w:t>投资期初金额</w:t>
      </w:r>
      <w:r>
        <w:rPr>
          <w:rFonts w:ascii="Times New Roman" w:hAnsi="Times New Roman" w:cs="Times New Roman" w:eastAsia="Times New Roman" w:hint="default"/>
        </w:rPr>
        <w:t>20,909,091.00</w:t>
      </w:r>
      <w:r>
        <w:rPr/>
        <w:t>元，影响调减其他综合收益期初金额</w:t>
      </w:r>
      <w:r>
        <w:rPr>
          <w:rFonts w:ascii="Times New Roman" w:hAnsi="Times New Roman" w:cs="Times New Roman" w:eastAsia="Times New Roman" w:hint="default"/>
        </w:rPr>
        <w:t>3,636,364.00</w:t>
      </w:r>
      <w:r>
        <w:rPr/>
        <w:t>元。</w:t>
      </w:r>
    </w:p>
    <w:p>
      <w:pPr>
        <w:pStyle w:val="BodyText"/>
        <w:spacing w:line="240" w:lineRule="auto" w:before="150"/>
        <w:ind w:right="1100"/>
        <w:jc w:val="left"/>
      </w:pPr>
      <w:r>
        <w:rPr/>
        <w:t>（</w:t>
      </w:r>
      <w:r>
        <w:rPr>
          <w:rFonts w:ascii="Times New Roman" w:hAnsi="Times New Roman" w:cs="Times New Roman" w:eastAsia="Times New Roman" w:hint="default"/>
        </w:rPr>
        <w:t>7</w:t>
      </w:r>
      <w:r>
        <w:rPr/>
        <w:t>）未分配利润调整说明：实行新金融工具准则，影响调增未分配利润期初金额</w:t>
      </w:r>
      <w:r>
        <w:rPr>
          <w:spacing w:val="68"/>
        </w:rPr>
        <w:t> </w:t>
      </w:r>
      <w:r>
        <w:rPr>
          <w:rFonts w:ascii="Times New Roman" w:hAnsi="Times New Roman" w:cs="Times New Roman" w:eastAsia="Times New Roman" w:hint="default"/>
        </w:rPr>
        <w:t>7,016,012.68</w:t>
      </w:r>
      <w:r>
        <w:rPr/>
        <w:t>元。</w:t>
      </w:r>
    </w:p>
    <w:p>
      <w:pPr>
        <w:spacing w:line="240" w:lineRule="auto" w:before="12"/>
        <w:rPr>
          <w:rFonts w:ascii="宋体" w:hAnsi="宋体" w:cs="宋体" w:eastAsia="宋体" w:hint="default"/>
          <w:sz w:val="11"/>
          <w:szCs w:val="11"/>
        </w:rPr>
      </w:pPr>
    </w:p>
    <w:p>
      <w:pPr>
        <w:pStyle w:val="BodyText"/>
        <w:spacing w:line="240" w:lineRule="auto" w:before="44"/>
        <w:ind w:right="1100"/>
        <w:jc w:val="left"/>
      </w:pPr>
      <w:r>
        <w:rPr/>
        <w:t>母公司资产负债表</w:t>
      </w:r>
    </w:p>
    <w:p>
      <w:pPr>
        <w:pStyle w:val="BodyText"/>
        <w:spacing w:line="240" w:lineRule="auto" w:before="110"/>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4"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549,667,098.68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549,667,098.68</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504,707,136.72</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306" w:right="0"/>
              <w:jc w:val="left"/>
              <w:rPr>
                <w:rFonts w:ascii="Times New Roman" w:hAnsi="Times New Roman" w:cs="Times New Roman" w:eastAsia="Times New Roman" w:hint="default"/>
                <w:sz w:val="18"/>
                <w:szCs w:val="18"/>
              </w:rPr>
            </w:pPr>
            <w:r>
              <w:rPr>
                <w:rFonts w:ascii="Times New Roman"/>
                <w:sz w:val="18"/>
              </w:rPr>
              <w:t>504,707,136.72</w:t>
            </w:r>
          </w:p>
        </w:tc>
      </w:tr>
      <w:tr>
        <w:trPr>
          <w:trHeight w:val="102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187"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430,470.00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430,470.00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50,954,052.29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50,954,052.29</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7,597,864.40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7,597,864.40</w:t>
            </w: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7,834,580.50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7,834,580.50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47"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089"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416,051,037.51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416,051,037.51</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80"/>
              <w:ind w:left="7"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509,699,027.71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8,699,027.71</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-501,000,000.00</w:t>
            </w:r>
            <w:r>
              <w:rPr>
                <w:rFonts w:ascii="Times New Roman"/>
                <w:sz w:val="18"/>
              </w:rPr>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1,542,234,131.09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1,545,941,267.81</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3,707,136.72</w:t>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20,000,000.00</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-20,000,000.00</w:t>
            </w:r>
            <w:r>
              <w:rPr>
                <w:rFonts w:ascii="Times New Roman"/>
                <w:sz w:val="18"/>
              </w:rPr>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315,476,935.08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315,476,935.08</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20,000,000.00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20,000,000.00</w:t>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18,797,471.82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18,797,471.82</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156,915.24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156,915.24</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2,071,135.24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2,071,135.24</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10,081,885.28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10,081,885.28</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12,118,448.96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12,118,448.96</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1,020,312.00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1,020,312.00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379,723,103.62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379,723,103.62</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1,921,957,234.71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1,925,664,371.43</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3,707,136.72</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187"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83,244,197.23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83,244,197.23</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31,132,127.71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31,132,127.71</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15,003,771.90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15,003,771.90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z w:val="18"/>
              </w:rPr>
              <w:t>11,139,811.47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11,139,811.47</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5,459,332.34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5,459,332.34</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67"/>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66"/>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80"/>
              <w:ind w:left="7"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80,514,840.00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80,514,840.00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226,494,080.65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226,494,080.65</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8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367"/>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5,777,181.94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5,777,181.94</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556,070.51</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556,070.51</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5,777,181.94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6,333,252.45</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556,070.51</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232,271,262.59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232,827,333.10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556,070.51</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200"/>
        <w:gridCol w:w="2471"/>
        <w:gridCol w:w="2448"/>
        <w:gridCol w:w="2463"/>
      </w:tblGrid>
      <w:tr>
        <w:trPr>
          <w:trHeight w:val="405"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418,044,000.00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418,044,000.00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7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71" w:type="dxa"/>
            <w:tcBorders>
              <w:top w:val="single" w:sz="6" w:space="0" w:color="000000"/>
              <w:left w:val="single" w:sz="6"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55"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71" w:type="dxa"/>
            <w:tcBorders>
              <w:top w:val="single" w:sz="6" w:space="0" w:color="000000"/>
              <w:left w:val="single" w:sz="6"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9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1" w:type="dxa"/>
            <w:tcBorders>
              <w:top w:val="single" w:sz="6" w:space="0" w:color="000000"/>
              <w:left w:val="single" w:sz="6"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363,658,684.06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363,658,684.06</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71" w:type="dxa"/>
            <w:tcBorders>
              <w:top w:val="single" w:sz="6" w:space="0" w:color="000000"/>
              <w:left w:val="single" w:sz="6"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67,590.64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67,590.64</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71" w:type="dxa"/>
            <w:tcBorders>
              <w:top w:val="single" w:sz="6" w:space="0" w:color="000000"/>
              <w:left w:val="single" w:sz="6"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111,481,562.48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111,481,562.48</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796,434,134.94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799,585,201.15</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3,151,066.21</w:t>
            </w:r>
          </w:p>
        </w:tc>
      </w:tr>
      <w:tr>
        <w:trPr>
          <w:trHeight w:val="405"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1,689,685,972.12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1,692,837,038.33</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3,151,066.21</w:t>
            </w:r>
          </w:p>
        </w:tc>
      </w:tr>
      <w:tr>
        <w:trPr>
          <w:trHeight w:val="391"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1,921,957,234.71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1,925,664,371.43</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3,707,136.72</w:t>
            </w:r>
          </w:p>
        </w:tc>
      </w:tr>
    </w:tbl>
    <w:p>
      <w:pPr>
        <w:pStyle w:val="BodyText"/>
        <w:spacing w:line="240" w:lineRule="auto" w:before="44"/>
        <w:ind w:right="1100"/>
        <w:jc w:val="left"/>
      </w:pPr>
      <w:r>
        <w:rPr/>
        <w:t>调整情况说明</w:t>
      </w:r>
    </w:p>
    <w:p>
      <w:pPr>
        <w:pStyle w:val="BodyText"/>
        <w:spacing w:line="319" w:lineRule="auto" w:before="125"/>
        <w:ind w:right="1119"/>
        <w:jc w:val="left"/>
      </w:pPr>
      <w:r>
        <w:rPr/>
        <w:t>（</w:t>
      </w:r>
      <w:r>
        <w:rPr>
          <w:rFonts w:ascii="Times New Roman" w:hAnsi="Times New Roman" w:cs="Times New Roman" w:eastAsia="Times New Roman" w:hint="default"/>
        </w:rPr>
        <w:t>1</w:t>
      </w:r>
      <w:r>
        <w:rPr/>
        <w:t>）交易性金融资产调整说明：实行新金融工具准则，原在其他流动资产列示的理财产品在交易性金融资产中核算，调增 交易性金融资产</w:t>
      </w:r>
      <w:r>
        <w:rPr>
          <w:rFonts w:ascii="Times New Roman" w:hAnsi="Times New Roman" w:cs="Times New Roman" w:eastAsia="Times New Roman" w:hint="default"/>
        </w:rPr>
        <w:t>504,707,136.72</w:t>
      </w:r>
      <w:r>
        <w:rPr/>
        <w:t>元。</w:t>
      </w:r>
    </w:p>
    <w:p>
      <w:pPr>
        <w:pStyle w:val="BodyText"/>
        <w:spacing w:line="319" w:lineRule="auto" w:before="135"/>
        <w:ind w:right="1119"/>
        <w:jc w:val="left"/>
      </w:pPr>
      <w:r>
        <w:rPr/>
        <w:t>（</w:t>
      </w:r>
      <w:r>
        <w:rPr>
          <w:rFonts w:ascii="Times New Roman" w:hAnsi="Times New Roman" w:cs="Times New Roman" w:eastAsia="Times New Roman" w:hint="default"/>
        </w:rPr>
        <w:t>2</w:t>
      </w:r>
      <w:r>
        <w:rPr/>
        <w:t>）其他流动资产调整说明：实行新金融工具准则，原在其他流动资产列示的理财产品在交易性金融资产中核算，调减其 他流动资产</w:t>
      </w:r>
      <w:r>
        <w:rPr>
          <w:rFonts w:ascii="Times New Roman" w:hAnsi="Times New Roman" w:cs="Times New Roman" w:eastAsia="Times New Roman" w:hint="default"/>
        </w:rPr>
        <w:t>501,000,000.00</w:t>
      </w:r>
      <w:r>
        <w:rPr/>
        <w:t>元。</w:t>
      </w:r>
    </w:p>
    <w:p>
      <w:pPr>
        <w:pStyle w:val="BodyText"/>
        <w:spacing w:line="316" w:lineRule="auto" w:before="135"/>
        <w:ind w:right="1119"/>
        <w:jc w:val="left"/>
      </w:pPr>
      <w:r>
        <w:rPr/>
        <w:t>（</w:t>
      </w:r>
      <w:r>
        <w:rPr>
          <w:rFonts w:ascii="Times New Roman" w:hAnsi="Times New Roman" w:cs="Times New Roman" w:eastAsia="Times New Roman" w:hint="default"/>
        </w:rPr>
        <w:t>3</w:t>
      </w:r>
      <w:r>
        <w:rPr/>
        <w:t>）可供出售金融资产调整说明：实行新金融工具准则，非交易性权益工具投资不在可供出售金融资产中核算，调减可供 出售金融资产期初金额</w:t>
      </w:r>
      <w:r>
        <w:rPr>
          <w:rFonts w:ascii="Times New Roman" w:hAnsi="Times New Roman" w:cs="Times New Roman" w:eastAsia="Times New Roman" w:hint="default"/>
        </w:rPr>
        <w:t>20,000,000.00</w:t>
      </w:r>
      <w:r>
        <w:rPr/>
        <w:t>元。</w:t>
      </w:r>
    </w:p>
    <w:p>
      <w:pPr>
        <w:pStyle w:val="BodyText"/>
        <w:spacing w:line="319" w:lineRule="auto" w:before="137"/>
        <w:ind w:right="1119"/>
        <w:jc w:val="left"/>
      </w:pPr>
      <w:r>
        <w:rPr/>
        <w:t>（</w:t>
      </w:r>
      <w:r>
        <w:rPr>
          <w:rFonts w:ascii="Times New Roman" w:hAnsi="Times New Roman" w:cs="Times New Roman" w:eastAsia="Times New Roman" w:hint="default"/>
        </w:rPr>
        <w:t>4</w:t>
      </w:r>
      <w:r>
        <w:rPr/>
        <w:t>）其他权益工具投资调整说明：实行新金融工具准则，企业指定为以公允价值计量且其变动计入其他综合收益的非交易 性权益工具投资在其他权益工具中核算，调增其他权益工具投资期初金额</w:t>
      </w:r>
      <w:r>
        <w:rPr>
          <w:rFonts w:ascii="Times New Roman" w:hAnsi="Times New Roman" w:cs="Times New Roman" w:eastAsia="Times New Roman" w:hint="default"/>
        </w:rPr>
        <w:t>20,000,000.00</w:t>
      </w:r>
      <w:r>
        <w:rPr/>
        <w:t>元。</w:t>
      </w:r>
    </w:p>
    <w:p>
      <w:pPr>
        <w:pStyle w:val="BodyText"/>
        <w:spacing w:line="316" w:lineRule="auto" w:before="135"/>
        <w:ind w:right="1100"/>
        <w:jc w:val="left"/>
      </w:pPr>
      <w:r>
        <w:rPr>
          <w:spacing w:val="-1"/>
        </w:rPr>
        <w:t>（</w:t>
      </w:r>
      <w:r>
        <w:rPr>
          <w:rFonts w:ascii="Times New Roman" w:hAnsi="Times New Roman" w:cs="Times New Roman" w:eastAsia="Times New Roman" w:hint="default"/>
          <w:spacing w:val="-1"/>
        </w:rPr>
        <w:t>5</w:t>
      </w:r>
      <w:r>
        <w:rPr>
          <w:spacing w:val="-1"/>
        </w:rPr>
        <w:t>）递延所得税负债调整说明：实行新金融工具准则，调减其他流动资产期初金额</w:t>
      </w:r>
      <w:r>
        <w:rPr>
          <w:rFonts w:ascii="Times New Roman" w:hAnsi="Times New Roman" w:cs="Times New Roman" w:eastAsia="Times New Roman" w:hint="default"/>
          <w:spacing w:val="-1"/>
        </w:rPr>
        <w:t>501,000,000.00</w:t>
      </w:r>
      <w:r>
        <w:rPr>
          <w:spacing w:val="-1"/>
        </w:rPr>
        <w:t>元，调增交易性金融资产</w:t>
      </w:r>
      <w:r>
        <w:rPr>
          <w:spacing w:val="-67"/>
        </w:rPr>
        <w:t> </w:t>
      </w:r>
      <w:r>
        <w:rPr>
          <w:spacing w:val="-67"/>
        </w:rPr>
      </w:r>
      <w:r>
        <w:rPr/>
        <w:t>期初金额</w:t>
      </w:r>
      <w:r>
        <w:rPr>
          <w:rFonts w:ascii="Times New Roman" w:hAnsi="Times New Roman" w:cs="Times New Roman" w:eastAsia="Times New Roman" w:hint="default"/>
        </w:rPr>
        <w:t>504,707,136.72</w:t>
      </w:r>
      <w:r>
        <w:rPr/>
        <w:t>，影响调增递延所得税负债期初金额</w:t>
      </w:r>
      <w:r>
        <w:rPr>
          <w:rFonts w:ascii="Times New Roman" w:hAnsi="Times New Roman" w:cs="Times New Roman" w:eastAsia="Times New Roman" w:hint="default"/>
        </w:rPr>
        <w:t>556,070.51</w:t>
      </w:r>
      <w:r>
        <w:rPr/>
        <w:t>元。</w:t>
      </w:r>
    </w:p>
    <w:p>
      <w:pPr>
        <w:pStyle w:val="BodyText"/>
        <w:spacing w:line="240" w:lineRule="auto" w:before="152"/>
        <w:ind w:right="1100"/>
        <w:jc w:val="left"/>
      </w:pPr>
      <w:r>
        <w:rPr/>
        <w:t>（</w:t>
      </w:r>
      <w:r>
        <w:rPr>
          <w:rFonts w:ascii="Times New Roman" w:hAnsi="Times New Roman" w:cs="Times New Roman" w:eastAsia="Times New Roman" w:hint="default"/>
        </w:rPr>
        <w:t>6</w:t>
      </w:r>
      <w:r>
        <w:rPr/>
        <w:t>）未分配利润调整说明：实行新金融工具准则，影响调增未分配利润期初金额</w:t>
      </w:r>
      <w:r>
        <w:rPr>
          <w:rFonts w:ascii="Times New Roman" w:hAnsi="Times New Roman" w:cs="Times New Roman" w:eastAsia="Times New Roman" w:hint="default"/>
        </w:rPr>
        <w:t>3,151,066.21</w:t>
      </w:r>
      <w:r>
        <w:rPr/>
        <w:t>元。</w:t>
      </w:r>
    </w:p>
    <w:p>
      <w:pPr>
        <w:spacing w:line="240" w:lineRule="auto" w:before="6"/>
        <w:rPr>
          <w:rFonts w:ascii="宋体" w:hAnsi="宋体" w:cs="宋体" w:eastAsia="宋体" w:hint="default"/>
          <w:sz w:val="26"/>
          <w:szCs w:val="26"/>
        </w:rPr>
      </w:pPr>
    </w:p>
    <w:p>
      <w:pPr>
        <w:pStyle w:val="Heading4"/>
        <w:spacing w:line="240" w:lineRule="auto"/>
        <w:ind w:right="1100"/>
        <w:jc w:val="left"/>
        <w:rPr>
          <w:b w:val="0"/>
          <w:bCs w:val="0"/>
        </w:rPr>
      </w:pPr>
      <w:bookmarkStart w:name="（4）2019年起执行新金融工具准则或新租赁准则追溯调整前期比较数据说明" w:id="213"/>
      <w:bookmarkEnd w:id="213"/>
      <w:r>
        <w:rPr>
          <w:b w:val="0"/>
          <w:bCs w:val="0"/>
        </w:rPr>
      </w:r>
      <w:r>
        <w:rPr>
          <w:spacing w:val="2"/>
        </w:rPr>
        <w:t>（</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2019</w:t>
      </w:r>
      <w:r>
        <w:rPr>
          <w:rFonts w:ascii="Times New Roman" w:hAnsi="Times New Roman" w:cs="Times New Roman" w:eastAsia="Times New Roman" w:hint="default"/>
          <w:spacing w:val="-18"/>
        </w:rPr>
        <w:t> </w:t>
      </w:r>
      <w:r>
        <w:rPr/>
        <w:t>年起执行新金融工具准则或新租赁准则追溯调整前期比较数据说明</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1100"/>
        <w:jc w:val="left"/>
        <w:rPr>
          <w:b w:val="0"/>
          <w:bCs w:val="0"/>
        </w:rPr>
      </w:pPr>
      <w:bookmarkStart w:name="六、税项" w:id="214"/>
      <w:bookmarkEnd w:id="214"/>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00"/>
        <w:jc w:val="left"/>
        <w:rPr>
          <w:b w:val="0"/>
          <w:bCs w:val="0"/>
        </w:rPr>
      </w:pPr>
      <w:bookmarkStart w:name="1、主要税种及税率" w:id="215"/>
      <w:bookmarkEnd w:id="215"/>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3"/>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税种</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7</w:t>
            </w:r>
          </w:p>
        </w:tc>
      </w:tr>
    </w:tbl>
    <w:p>
      <w:pPr>
        <w:spacing w:after="0" w:line="240" w:lineRule="auto"/>
        <w:jc w:val="lef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b/>
          <w:bCs/>
          <w:sz w:val="29"/>
          <w:szCs w:val="2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72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59"/>
              <w:ind w:left="30" w:right="28"/>
              <w:jc w:val="left"/>
              <w:rPr>
                <w:rFonts w:ascii="Times New Roman" w:hAnsi="Times New Roman" w:cs="Times New Roman" w:eastAsia="Times New Roman" w:hint="default"/>
                <w:sz w:val="18"/>
                <w:szCs w:val="18"/>
              </w:rPr>
            </w:pPr>
            <w:r>
              <w:rPr>
                <w:rFonts w:ascii="宋体" w:hAnsi="宋体" w:cs="宋体" w:eastAsia="宋体" w:hint="default"/>
                <w:sz w:val="18"/>
                <w:szCs w:val="18"/>
              </w:rPr>
              <w:t>阶梯</w:t>
            </w:r>
            <w:r>
              <w:rPr>
                <w:rFonts w:ascii="宋体" w:hAnsi="宋体" w:cs="宋体" w:eastAsia="宋体" w:hint="default"/>
                <w:spacing w:val="-76"/>
                <w:sz w:val="18"/>
                <w:szCs w:val="18"/>
              </w:rPr>
              <w:t>税</w:t>
            </w:r>
            <w:r>
              <w:rPr>
                <w:rFonts w:ascii="宋体" w:hAnsi="宋体" w:cs="宋体" w:eastAsia="宋体" w:hint="default"/>
                <w:sz w:val="18"/>
                <w:szCs w:val="18"/>
              </w:rPr>
              <w:t>（</w:t>
            </w:r>
            <w:r>
              <w:rPr>
                <w:rFonts w:ascii="Times New Roman" w:hAnsi="Times New Roman" w:cs="Times New Roman" w:eastAsia="Times New Roman" w:hint="default"/>
                <w:sz w:val="18"/>
                <w:szCs w:val="18"/>
              </w:rPr>
              <w:t>8.25-16.5</w:t>
            </w:r>
            <w:r>
              <w:rPr>
                <w:rFonts w:ascii="宋体" w:hAnsi="宋体" w:cs="宋体" w:eastAsia="宋体" w:hint="default"/>
                <w:spacing w:val="-90"/>
                <w:sz w:val="18"/>
                <w:szCs w:val="18"/>
              </w:rPr>
              <w:t>）</w:t>
            </w:r>
            <w:r>
              <w:rPr>
                <w:rFonts w:ascii="宋体" w:hAnsi="宋体" w:cs="宋体" w:eastAsia="宋体" w:hint="default"/>
                <w:spacing w:val="-76"/>
                <w:sz w:val="18"/>
                <w:szCs w:val="18"/>
              </w:rPr>
              <w:t>、</w:t>
            </w:r>
            <w:r>
              <w:rPr>
                <w:rFonts w:ascii="宋体" w:hAnsi="宋体" w:cs="宋体" w:eastAsia="宋体" w:hint="default"/>
                <w:sz w:val="18"/>
                <w:szCs w:val="18"/>
              </w:rPr>
              <w:t>州利得税为</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8.8</w:t>
            </w:r>
            <w:r>
              <w:rPr>
                <w:rFonts w:ascii="Times New Roman" w:hAnsi="Times New Roman" w:cs="Times New Roman" w:eastAsia="Times New Roman" w:hint="default"/>
                <w:spacing w:val="-75"/>
                <w:sz w:val="18"/>
                <w:szCs w:val="18"/>
              </w:rPr>
              <w:t>4</w:t>
            </w:r>
            <w:r>
              <w:rPr>
                <w:rFonts w:ascii="宋体" w:hAnsi="宋体" w:cs="宋体" w:eastAsia="宋体" w:hint="default"/>
                <w:sz w:val="18"/>
                <w:szCs w:val="18"/>
              </w:rPr>
              <w:t>（最 低</w:t>
            </w:r>
            <w:r>
              <w:rPr>
                <w:rFonts w:ascii="Times New Roman" w:hAnsi="Times New Roman" w:cs="Times New Roman" w:eastAsia="Times New Roman" w:hint="default"/>
                <w:sz w:val="18"/>
                <w:szCs w:val="18"/>
              </w:rPr>
              <w:t>$800</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、联邦税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转让房产增值额</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5</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3</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4"/>
        <w:ind w:right="1100"/>
        <w:jc w:val="left"/>
      </w:pPr>
      <w:r>
        <w:rPr/>
        <w:t>存在不同企业所得税税率纳税主体的，披露情况说明</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3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391"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飞天诚信科技股份有限公司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15</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北京坚石诚信科技有限公司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15</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北京宏思电子技术有限责任公司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10</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FEITIAN technologies</w:t>
            </w:r>
            <w:r>
              <w:rPr>
                <w:rFonts w:ascii="Times New Roman"/>
                <w:spacing w:val="-20"/>
                <w:sz w:val="18"/>
              </w:rPr>
              <w:t> </w:t>
            </w:r>
            <w:r>
              <w:rPr>
                <w:rFonts w:ascii="Times New Roman"/>
                <w:sz w:val="18"/>
              </w:rPr>
              <w:t>US,Inc</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州利得税为 </w:t>
            </w:r>
            <w:r>
              <w:rPr>
                <w:rFonts w:ascii="Times New Roman" w:hAnsi="Times New Roman" w:cs="Times New Roman" w:eastAsia="Times New Roman" w:hint="default"/>
                <w:sz w:val="18"/>
                <w:szCs w:val="18"/>
              </w:rPr>
              <w:t>8.84</w:t>
            </w:r>
            <w:r>
              <w:rPr>
                <w:rFonts w:ascii="宋体" w:hAnsi="宋体" w:cs="宋体" w:eastAsia="宋体" w:hint="default"/>
                <w:sz w:val="18"/>
                <w:szCs w:val="18"/>
              </w:rPr>
              <w:t>（最低</w:t>
            </w:r>
            <w:r>
              <w:rPr>
                <w:rFonts w:ascii="Times New Roman" w:hAnsi="Times New Roman" w:cs="Times New Roman" w:eastAsia="Times New Roman" w:hint="default"/>
                <w:sz w:val="18"/>
                <w:szCs w:val="18"/>
              </w:rPr>
              <w:t>$800</w:t>
            </w:r>
            <w:r>
              <w:rPr>
                <w:rFonts w:ascii="宋体" w:hAnsi="宋体" w:cs="宋体" w:eastAsia="宋体" w:hint="default"/>
                <w:spacing w:val="-90"/>
                <w:sz w:val="18"/>
                <w:szCs w:val="18"/>
              </w:rPr>
              <w:t>）</w:t>
            </w:r>
            <w:r>
              <w:rPr>
                <w:rFonts w:ascii="宋体" w:hAnsi="宋体" w:cs="宋体" w:eastAsia="宋体" w:hint="default"/>
                <w:sz w:val="18"/>
                <w:szCs w:val="18"/>
              </w:rPr>
              <w:t>、联邦税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p>
        </w:tc>
      </w:tr>
      <w:tr>
        <w:trPr>
          <w:trHeight w:val="391"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飞天香港有限公司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阶梯税（</w:t>
            </w:r>
            <w:r>
              <w:rPr>
                <w:rFonts w:ascii="Times New Roman" w:hAnsi="Times New Roman" w:cs="Times New Roman" w:eastAsia="Times New Roman" w:hint="default"/>
                <w:sz w:val="18"/>
                <w:szCs w:val="18"/>
              </w:rPr>
              <w:t>8.25-16.5</w:t>
            </w:r>
            <w:r>
              <w:rPr>
                <w:rFonts w:ascii="宋体" w:hAnsi="宋体" w:cs="宋体" w:eastAsia="宋体" w:hint="default"/>
                <w:sz w:val="18"/>
                <w:szCs w:val="18"/>
              </w:rPr>
              <w:t>）</w:t>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2、税收优惠" w:id="216"/>
      <w:bookmarkEnd w:id="216"/>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5"/>
        <w:rPr>
          <w:rFonts w:ascii="宋体" w:hAnsi="宋体" w:cs="宋体" w:eastAsia="宋体" w:hint="default"/>
          <w:b/>
          <w:bCs/>
          <w:sz w:val="26"/>
          <w:szCs w:val="26"/>
        </w:rPr>
      </w:pPr>
    </w:p>
    <w:p>
      <w:pPr>
        <w:pStyle w:val="BodyText"/>
        <w:spacing w:line="304" w:lineRule="auto"/>
        <w:ind w:right="1100" w:firstLine="420"/>
        <w:jc w:val="both"/>
      </w:pPr>
      <w:r>
        <w:rPr/>
        <w:t>（</w:t>
      </w:r>
      <w:r>
        <w:rPr>
          <w:rFonts w:ascii="Times New Roman" w:hAnsi="Times New Roman" w:cs="Times New Roman" w:eastAsia="Times New Roman" w:hint="default"/>
        </w:rPr>
        <w:t>1</w:t>
      </w:r>
      <w:r>
        <w:rPr/>
        <w:t>）根据财政部、国家税务总局、海关总署财税</w:t>
      </w:r>
      <w:r>
        <w:rPr>
          <w:rFonts w:ascii="Times New Roman" w:hAnsi="Times New Roman" w:cs="Times New Roman" w:eastAsia="Times New Roman" w:hint="default"/>
        </w:rPr>
        <w:t>[2000]25</w:t>
      </w:r>
      <w:r>
        <w:rPr/>
        <w:t>号《关于鼓励软件产业和集成电路产业发展有关税收政策问 题的通知》、京国税（</w:t>
      </w:r>
      <w:r>
        <w:rPr>
          <w:rFonts w:ascii="Times New Roman" w:hAnsi="Times New Roman" w:cs="Times New Roman" w:eastAsia="Times New Roman" w:hint="default"/>
        </w:rPr>
        <w:t>2000</w:t>
      </w:r>
      <w:r>
        <w:rPr/>
        <w:t>）</w:t>
      </w:r>
      <w:r>
        <w:rPr>
          <w:rFonts w:ascii="Times New Roman" w:hAnsi="Times New Roman" w:cs="Times New Roman" w:eastAsia="Times New Roman" w:hint="default"/>
        </w:rPr>
        <w:t>187</w:t>
      </w:r>
      <w:r>
        <w:rPr/>
        <w:t>号及财政部、国家税务总局财税</w:t>
      </w:r>
      <w:r>
        <w:rPr>
          <w:rFonts w:ascii="Times New Roman" w:hAnsi="Times New Roman" w:cs="Times New Roman" w:eastAsia="Times New Roman" w:hint="default"/>
        </w:rPr>
        <w:t>[2011]100</w:t>
      </w:r>
      <w:r>
        <w:rPr/>
        <w:t>号《关于软件产品增值税政策的通知》规定，对</w:t>
      </w:r>
      <w:r>
        <w:rPr>
          <w:spacing w:val="-85"/>
        </w:rPr>
        <w:t> </w:t>
      </w:r>
      <w:r>
        <w:rPr>
          <w:spacing w:val="2"/>
        </w:rPr>
        <w:t>增值税一般纳税人销售自行开发生产的软件产品</w:t>
      </w:r>
      <w:r>
        <w:rPr>
          <w:rFonts w:ascii="Times New Roman" w:hAnsi="Times New Roman" w:cs="Times New Roman" w:eastAsia="Times New Roman" w:hint="default"/>
          <w:spacing w:val="2"/>
        </w:rPr>
        <w:t>,</w:t>
      </w:r>
      <w:r>
        <w:rPr>
          <w:spacing w:val="2"/>
        </w:rPr>
        <w:t>按</w:t>
      </w:r>
      <w:r>
        <w:rPr>
          <w:rFonts w:ascii="Times New Roman" w:hAnsi="Times New Roman" w:cs="Times New Roman" w:eastAsia="Times New Roman" w:hint="default"/>
          <w:spacing w:val="2"/>
        </w:rPr>
        <w:t>17%</w:t>
      </w:r>
      <w:r>
        <w:rPr>
          <w:spacing w:val="2"/>
        </w:rPr>
        <w:t>的法定税率征收增值税后</w:t>
      </w:r>
      <w:r>
        <w:rPr>
          <w:rFonts w:ascii="Times New Roman" w:hAnsi="Times New Roman" w:cs="Times New Roman" w:eastAsia="Times New Roman" w:hint="default"/>
          <w:spacing w:val="2"/>
        </w:rPr>
        <w:t>,</w:t>
      </w:r>
      <w:r>
        <w:rPr>
          <w:spacing w:val="2"/>
        </w:rPr>
        <w:t>对增值税实际税负超过</w:t>
      </w:r>
      <w:r>
        <w:rPr>
          <w:rFonts w:ascii="Times New Roman" w:hAnsi="Times New Roman" w:cs="Times New Roman" w:eastAsia="Times New Roman" w:hint="default"/>
          <w:spacing w:val="2"/>
        </w:rPr>
        <w:t>3%</w:t>
      </w:r>
      <w:r>
        <w:rPr>
          <w:spacing w:val="2"/>
        </w:rPr>
        <w:t>的部分实行即</w:t>
      </w:r>
      <w:r>
        <w:rPr>
          <w:spacing w:val="-51"/>
        </w:rPr>
        <w:t> </w:t>
      </w:r>
      <w:r>
        <w:rPr>
          <w:spacing w:val="-51"/>
        </w:rPr>
      </w:r>
      <w:r>
        <w:rPr/>
        <w:t>征即退政策。</w:t>
      </w:r>
    </w:p>
    <w:p>
      <w:pPr>
        <w:spacing w:line="240" w:lineRule="auto" w:before="11"/>
        <w:rPr>
          <w:rFonts w:ascii="宋体" w:hAnsi="宋体" w:cs="宋体" w:eastAsia="宋体" w:hint="default"/>
          <w:sz w:val="13"/>
          <w:szCs w:val="13"/>
        </w:rPr>
      </w:pPr>
    </w:p>
    <w:p>
      <w:pPr>
        <w:pStyle w:val="BodyText"/>
        <w:spacing w:line="304" w:lineRule="auto"/>
        <w:ind w:right="1126" w:firstLine="420"/>
        <w:jc w:val="both"/>
      </w:pPr>
      <w:r>
        <w:rPr/>
        <w:t>（</w:t>
      </w:r>
      <w:r>
        <w:rPr>
          <w:rFonts w:ascii="Times New Roman" w:hAnsi="Times New Roman" w:cs="Times New Roman" w:eastAsia="Times New Roman" w:hint="default"/>
        </w:rPr>
        <w:t>2</w:t>
      </w:r>
      <w:r>
        <w:rPr/>
        <w:t>）根据《企业所得税法》及国税函</w:t>
      </w:r>
      <w:r>
        <w:rPr>
          <w:rFonts w:ascii="Times New Roman" w:hAnsi="Times New Roman" w:cs="Times New Roman" w:eastAsia="Times New Roman" w:hint="default"/>
        </w:rPr>
        <w:t>[2009]203</w:t>
      </w:r>
      <w:r>
        <w:rPr/>
        <w:t>号《关于实施高新技术企业所得税优惠有关问题的通知》</w:t>
      </w:r>
      <w:r>
        <w:rPr>
          <w:rFonts w:ascii="Times New Roman" w:hAnsi="Times New Roman" w:cs="Times New Roman" w:eastAsia="Times New Roman" w:hint="default"/>
        </w:rPr>
        <w:t>,</w:t>
      </w:r>
      <w:r>
        <w:rPr/>
        <w:t>自</w:t>
      </w:r>
      <w:r>
        <w:rPr>
          <w:rFonts w:ascii="Times New Roman" w:hAnsi="Times New Roman" w:cs="Times New Roman" w:eastAsia="Times New Roman" w:hint="default"/>
        </w:rPr>
        <w:t>2009</w:t>
      </w:r>
      <w:r>
        <w:rPr/>
        <w:t>年起 本公司减按</w:t>
      </w:r>
      <w:r>
        <w:rPr>
          <w:rFonts w:ascii="Times New Roman" w:hAnsi="Times New Roman" w:cs="Times New Roman" w:eastAsia="Times New Roman" w:hint="default"/>
        </w:rPr>
        <w:t>15%</w:t>
      </w:r>
      <w:r>
        <w:rPr/>
        <w:t>的税率缴纳企业所得税。</w:t>
      </w:r>
      <w:r>
        <w:rPr>
          <w:rFonts w:ascii="Times New Roman" w:hAnsi="Times New Roman" w:cs="Times New Roman" w:eastAsia="Times New Roman" w:hint="default"/>
        </w:rPr>
        <w:t>2014</w:t>
      </w:r>
      <w:r>
        <w:rPr/>
        <w:t>年公司获得国家规划布局内重点软件企业证书</w:t>
      </w:r>
      <w:r>
        <w:rPr>
          <w:rFonts w:ascii="Times New Roman" w:hAnsi="Times New Roman" w:cs="Times New Roman" w:eastAsia="Times New Roman" w:hint="default"/>
        </w:rPr>
        <w:t>,2013-2014</w:t>
      </w:r>
      <w:r>
        <w:rPr/>
        <w:t>年企业所得税按</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spacing w:val="-1"/>
        </w:rPr>
        <w:t>税率缴纳。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10</w:t>
      </w:r>
      <w:r>
        <w:rPr>
          <w:spacing w:val="-1"/>
        </w:rPr>
        <w:t>月，公司重新取得高新技术企业证书（证书编号：</w:t>
      </w:r>
      <w:r>
        <w:rPr>
          <w:rFonts w:ascii="Times New Roman" w:hAnsi="Times New Roman" w:cs="Times New Roman" w:eastAsia="Times New Roman" w:hint="default"/>
          <w:spacing w:val="-1"/>
        </w:rPr>
        <w:t>GR201411000450</w:t>
      </w:r>
      <w:r>
        <w:rPr>
          <w:spacing w:val="-1"/>
        </w:rPr>
        <w:t>）</w:t>
      </w:r>
      <w:r>
        <w:rPr>
          <w:rFonts w:ascii="Times New Roman" w:hAnsi="Times New Roman" w:cs="Times New Roman" w:eastAsia="Times New Roman" w:hint="default"/>
          <w:spacing w:val="-1"/>
        </w:rPr>
        <w:t>,</w:t>
      </w:r>
      <w:r>
        <w:rPr>
          <w:spacing w:val="-1"/>
        </w:rPr>
        <w:t>有效期三年</w:t>
      </w:r>
      <w:r>
        <w:rPr>
          <w:rFonts w:ascii="Times New Roman" w:hAnsi="Times New Roman" w:cs="Times New Roman" w:eastAsia="Times New Roman" w:hint="default"/>
          <w:spacing w:val="-1"/>
        </w:rPr>
        <w:t>,2015</w:t>
      </w:r>
      <w:r>
        <w:rPr>
          <w:spacing w:val="-1"/>
        </w:rPr>
        <w:t>年和</w:t>
      </w:r>
      <w:r>
        <w:rPr>
          <w:rFonts w:ascii="Times New Roman" w:hAnsi="Times New Roman" w:cs="Times New Roman" w:eastAsia="Times New Roman" w:hint="default"/>
          <w:spacing w:val="-1"/>
        </w:rPr>
        <w:t>2016</w:t>
      </w:r>
      <w:r>
        <w:rPr>
          <w:spacing w:val="-1"/>
        </w:rPr>
        <w:t>年企业</w:t>
      </w:r>
      <w:r>
        <w:rPr>
          <w:spacing w:val="-87"/>
        </w:rPr>
        <w:t> </w:t>
      </w:r>
      <w:r>
        <w:rPr>
          <w:spacing w:val="-4"/>
        </w:rPr>
        <w:t>按</w:t>
      </w:r>
      <w:r>
        <w:rPr>
          <w:rFonts w:ascii="Times New Roman" w:hAnsi="Times New Roman" w:cs="Times New Roman" w:eastAsia="Times New Roman" w:hint="default"/>
          <w:spacing w:val="-4"/>
        </w:rPr>
        <w:t>15%</w:t>
      </w:r>
      <w:r>
        <w:rPr>
          <w:spacing w:val="-4"/>
        </w:rPr>
        <w:t>税率缴纳企业所得税。</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10</w:t>
      </w:r>
      <w:r>
        <w:rPr>
          <w:spacing w:val="-4"/>
        </w:rPr>
        <w:t>月，公司重新取得高新技术企业证书（证书编号：</w:t>
      </w:r>
      <w:r>
        <w:rPr>
          <w:rFonts w:ascii="Times New Roman" w:hAnsi="Times New Roman" w:cs="Times New Roman" w:eastAsia="Times New Roman" w:hint="default"/>
          <w:spacing w:val="-4"/>
        </w:rPr>
        <w:t>GR201711002826</w:t>
      </w:r>
      <w:r>
        <w:rPr>
          <w:spacing w:val="-4"/>
        </w:rPr>
        <w:t>）</w:t>
      </w:r>
      <w:r>
        <w:rPr>
          <w:rFonts w:ascii="Times New Roman" w:hAnsi="Times New Roman" w:cs="Times New Roman" w:eastAsia="Times New Roman" w:hint="default"/>
          <w:spacing w:val="-4"/>
        </w:rPr>
        <w:t>,</w:t>
      </w:r>
      <w:r>
        <w:rPr>
          <w:spacing w:val="-4"/>
        </w:rPr>
        <w:t>有效期三年</w:t>
      </w:r>
      <w:r>
        <w:rPr>
          <w:rFonts w:ascii="Times New Roman" w:hAnsi="Times New Roman" w:cs="Times New Roman" w:eastAsia="Times New Roman" w:hint="default"/>
          <w:spacing w:val="-4"/>
        </w:rPr>
        <w:t>,2019</w:t>
      </w:r>
      <w:r>
        <w:rPr>
          <w:rFonts w:ascii="Times New Roman" w:hAnsi="Times New Roman" w:cs="Times New Roman" w:eastAsia="Times New Roman" w:hint="default"/>
          <w:spacing w:val="18"/>
        </w:rPr>
        <w:t> </w:t>
      </w:r>
      <w:r>
        <w:rPr/>
        <w:t>年企业所得税按</w:t>
      </w:r>
      <w:r>
        <w:rPr>
          <w:rFonts w:ascii="Times New Roman" w:hAnsi="Times New Roman" w:cs="Times New Roman" w:eastAsia="Times New Roman" w:hint="default"/>
        </w:rPr>
        <w:t>15%</w:t>
      </w:r>
      <w:r>
        <w:rPr/>
        <w:t>税率缴纳。</w:t>
      </w:r>
    </w:p>
    <w:p>
      <w:pPr>
        <w:pStyle w:val="BodyText"/>
        <w:spacing w:line="309" w:lineRule="auto" w:before="147"/>
        <w:ind w:right="1098" w:firstLine="420"/>
        <w:jc w:val="both"/>
      </w:pPr>
      <w:r>
        <w:rPr/>
        <w:t>（</w:t>
      </w:r>
      <w:r>
        <w:rPr>
          <w:spacing w:val="-60"/>
        </w:rPr>
        <w:t> </w:t>
      </w:r>
      <w:r>
        <w:rPr>
          <w:rFonts w:ascii="Times New Roman" w:hAnsi="Times New Roman" w:cs="Times New Roman" w:eastAsia="Times New Roman" w:hint="default"/>
        </w:rPr>
        <w:t>3</w:t>
      </w:r>
      <w:r>
        <w:rPr>
          <w:rFonts w:ascii="Times New Roman" w:hAnsi="Times New Roman" w:cs="Times New Roman" w:eastAsia="Times New Roman" w:hint="default"/>
          <w:spacing w:val="-15"/>
        </w:rPr>
        <w:t> </w:t>
      </w:r>
      <w:r>
        <w:rPr/>
        <w:t>）</w:t>
      </w:r>
      <w:r>
        <w:rPr>
          <w:spacing w:val="-6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5"/>
        </w:rPr>
        <w:t> </w:t>
      </w:r>
      <w:r>
        <w:rPr/>
        <w:t>年</w:t>
      </w:r>
      <w:r>
        <w:rPr>
          <w:spacing w:val="-60"/>
        </w:rPr>
        <w:t> </w:t>
      </w:r>
      <w:r>
        <w:rPr>
          <w:rFonts w:ascii="Times New Roman" w:hAnsi="Times New Roman" w:cs="Times New Roman" w:eastAsia="Times New Roman" w:hint="default"/>
          <w:spacing w:val="5"/>
        </w:rPr>
        <w:t>11</w:t>
      </w:r>
      <w:r>
        <w:rPr>
          <w:spacing w:val="5"/>
        </w:rPr>
        <w:t>月</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t>日</w:t>
      </w:r>
      <w:r>
        <w:rPr>
          <w:spacing w:val="-60"/>
        </w:rPr>
        <w:t> </w:t>
      </w:r>
      <w:r>
        <w:rPr>
          <w:rFonts w:ascii="Times New Roman" w:hAnsi="Times New Roman" w:cs="Times New Roman" w:eastAsia="Times New Roman" w:hint="default"/>
          <w:spacing w:val="7"/>
        </w:rPr>
        <w:t>,</w:t>
      </w:r>
      <w:r>
        <w:rPr>
          <w:spacing w:val="7"/>
        </w:rPr>
        <w:t>本</w:t>
      </w:r>
      <w:r>
        <w:rPr>
          <w:spacing w:val="-60"/>
        </w:rPr>
        <w:t> </w:t>
      </w:r>
      <w:r>
        <w:rPr/>
        <w:t>公</w:t>
      </w:r>
      <w:r>
        <w:rPr>
          <w:spacing w:val="-60"/>
        </w:rPr>
        <w:t> </w:t>
      </w:r>
      <w:r>
        <w:rPr/>
        <w:t>司</w:t>
      </w:r>
      <w:r>
        <w:rPr>
          <w:spacing w:val="-60"/>
        </w:rPr>
        <w:t> </w:t>
      </w:r>
      <w:r>
        <w:rPr/>
        <w:t>之</w:t>
      </w:r>
      <w:r>
        <w:rPr>
          <w:spacing w:val="-60"/>
        </w:rPr>
        <w:t> </w:t>
      </w:r>
      <w:r>
        <w:rPr>
          <w:spacing w:val="7"/>
        </w:rPr>
        <w:t>子公</w:t>
      </w:r>
      <w:r>
        <w:rPr>
          <w:spacing w:val="-60"/>
        </w:rPr>
        <w:t> </w:t>
      </w:r>
      <w:r>
        <w:rPr/>
        <w:t>司</w:t>
      </w:r>
      <w:r>
        <w:rPr>
          <w:spacing w:val="-60"/>
        </w:rPr>
        <w:t> </w:t>
      </w:r>
      <w:r>
        <w:rPr/>
        <w:t>北</w:t>
      </w:r>
      <w:r>
        <w:rPr>
          <w:spacing w:val="-60"/>
        </w:rPr>
        <w:t> </w:t>
      </w:r>
      <w:r>
        <w:rPr>
          <w:spacing w:val="7"/>
        </w:rPr>
        <w:t>京坚</w:t>
      </w:r>
      <w:r>
        <w:rPr>
          <w:spacing w:val="-60"/>
        </w:rPr>
        <w:t> </w:t>
      </w:r>
      <w:r>
        <w:rPr/>
        <w:t>石</w:t>
      </w:r>
      <w:r>
        <w:rPr>
          <w:spacing w:val="-60"/>
        </w:rPr>
        <w:t> </w:t>
      </w:r>
      <w:r>
        <w:rPr/>
        <w:t>诚</w:t>
      </w:r>
      <w:r>
        <w:rPr>
          <w:spacing w:val="-60"/>
        </w:rPr>
        <w:t> </w:t>
      </w:r>
      <w:r>
        <w:rPr>
          <w:spacing w:val="7"/>
        </w:rPr>
        <w:t>信科</w:t>
      </w:r>
      <w:r>
        <w:rPr>
          <w:spacing w:val="-60"/>
        </w:rPr>
        <w:t> </w:t>
      </w:r>
      <w:r>
        <w:rPr/>
        <w:t>技</w:t>
      </w:r>
      <w:r>
        <w:rPr>
          <w:spacing w:val="-60"/>
        </w:rPr>
        <w:t> </w:t>
      </w:r>
      <w:r>
        <w:rPr/>
        <w:t>有</w:t>
      </w:r>
      <w:r>
        <w:rPr>
          <w:spacing w:val="-60"/>
        </w:rPr>
        <w:t> </w:t>
      </w:r>
      <w:r>
        <w:rPr/>
        <w:t>限</w:t>
      </w:r>
      <w:r>
        <w:rPr>
          <w:spacing w:val="-60"/>
        </w:rPr>
        <w:t> </w:t>
      </w:r>
      <w:r>
        <w:rPr>
          <w:spacing w:val="7"/>
        </w:rPr>
        <w:t>公司</w:t>
      </w:r>
      <w:r>
        <w:rPr>
          <w:spacing w:val="-60"/>
        </w:rPr>
        <w:t> </w:t>
      </w:r>
      <w:r>
        <w:rPr/>
        <w:t>获</w:t>
      </w:r>
      <w:r>
        <w:rPr>
          <w:spacing w:val="-60"/>
        </w:rPr>
        <w:t> </w:t>
      </w:r>
      <w:r>
        <w:rPr/>
        <w:t>得</w:t>
      </w:r>
      <w:r>
        <w:rPr>
          <w:spacing w:val="-60"/>
        </w:rPr>
        <w:t> </w:t>
      </w:r>
      <w:r>
        <w:rPr>
          <w:spacing w:val="7"/>
        </w:rPr>
        <w:t>高新</w:t>
      </w:r>
      <w:r>
        <w:rPr>
          <w:spacing w:val="-60"/>
        </w:rPr>
        <w:t> </w:t>
      </w:r>
      <w:r>
        <w:rPr/>
        <w:t>技</w:t>
      </w:r>
      <w:r>
        <w:rPr>
          <w:spacing w:val="-60"/>
        </w:rPr>
        <w:t> </w:t>
      </w:r>
      <w:r>
        <w:rPr/>
        <w:t>术</w:t>
      </w:r>
      <w:r>
        <w:rPr>
          <w:spacing w:val="-60"/>
        </w:rPr>
        <w:t> </w:t>
      </w:r>
      <w:r>
        <w:rPr>
          <w:spacing w:val="7"/>
        </w:rPr>
        <w:t>企业</w:t>
      </w:r>
      <w:r>
        <w:rPr>
          <w:spacing w:val="-60"/>
        </w:rPr>
        <w:t> </w:t>
      </w:r>
      <w:r>
        <w:rPr/>
        <w:t>证</w:t>
      </w:r>
      <w:r>
        <w:rPr>
          <w:spacing w:val="-60"/>
        </w:rPr>
        <w:t> </w:t>
      </w:r>
      <w:r>
        <w:rPr/>
        <w:t>书</w:t>
      </w:r>
      <w:r>
        <w:rPr>
          <w:spacing w:val="-60"/>
        </w:rPr>
        <w:t> </w:t>
      </w:r>
      <w:r>
        <w:rPr/>
        <w:t>（</w:t>
      </w:r>
      <w:r>
        <w:rPr>
          <w:spacing w:val="-60"/>
        </w:rPr>
        <w:t> </w:t>
      </w:r>
      <w:r>
        <w:rPr>
          <w:spacing w:val="7"/>
        </w:rPr>
        <w:t>证书</w:t>
      </w:r>
      <w:r>
        <w:rPr>
          <w:spacing w:val="-60"/>
        </w:rPr>
        <w:t> </w:t>
      </w:r>
      <w:r>
        <w:rPr/>
        <w:t>编</w:t>
      </w:r>
      <w:r>
        <w:rPr>
          <w:spacing w:val="-60"/>
        </w:rPr>
        <w:t> </w:t>
      </w:r>
      <w:r>
        <w:rPr/>
        <w:t>号</w:t>
      </w:r>
      <w:r>
        <w:rPr>
          <w:spacing w:val="-60"/>
        </w:rPr>
        <w:t> </w:t>
      </w:r>
      <w:r>
        <w:rPr/>
        <w:t>：</w:t>
      </w:r>
      <w:r>
        <w:rPr/>
        <w:t> </w:t>
      </w:r>
      <w:r>
        <w:rPr>
          <w:rFonts w:ascii="Times New Roman" w:hAnsi="Times New Roman" w:cs="Times New Roman" w:eastAsia="Times New Roman" w:hint="default"/>
        </w:rPr>
        <w:t>GR201211000217</w:t>
      </w:r>
      <w:r>
        <w:rPr/>
        <w:t>），自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日起减按</w:t>
      </w:r>
      <w:r>
        <w:rPr>
          <w:rFonts w:ascii="Times New Roman" w:hAnsi="Times New Roman" w:cs="Times New Roman" w:eastAsia="Times New Roman" w:hint="default"/>
        </w:rPr>
        <w:t>15%</w:t>
      </w:r>
      <w:r>
        <w:rPr/>
        <w:t>的税率缴纳企业所得税，有效期三年；</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8</w:t>
      </w:r>
      <w:r>
        <w:rPr/>
        <w:t>日重新获得高新技术企</w:t>
      </w:r>
      <w:r>
        <w:rPr>
          <w:spacing w:val="-38"/>
        </w:rPr>
        <w:t> </w:t>
      </w:r>
      <w:r>
        <w:rPr>
          <w:spacing w:val="-38"/>
        </w:rPr>
      </w:r>
      <w:r>
        <w:rPr/>
        <w:t>业证书（证书编号：</w:t>
      </w:r>
      <w:r>
        <w:rPr>
          <w:rFonts w:ascii="Times New Roman" w:hAnsi="Times New Roman" w:cs="Times New Roman" w:eastAsia="Times New Roman" w:hint="default"/>
        </w:rPr>
        <w:t>GF201511000890</w:t>
      </w:r>
      <w:r>
        <w:rPr/>
        <w:t>），自</w:t>
      </w:r>
      <w:r>
        <w:rPr>
          <w:rFonts w:ascii="Times New Roman" w:hAnsi="Times New Roman" w:cs="Times New Roman" w:eastAsia="Times New Roman" w:hint="default"/>
        </w:rPr>
        <w:t>2015</w:t>
      </w:r>
      <w:r>
        <w:rPr/>
        <w:t>年起企业所得税按</w:t>
      </w:r>
      <w:r>
        <w:rPr>
          <w:rFonts w:ascii="Times New Roman" w:hAnsi="Times New Roman" w:cs="Times New Roman" w:eastAsia="Times New Roman" w:hint="default"/>
        </w:rPr>
        <w:t>15%</w:t>
      </w:r>
      <w:r>
        <w:rPr/>
        <w:t>的税率缴纳，有效期三年；</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日重新获</w:t>
      </w:r>
      <w:r>
        <w:rPr>
          <w:spacing w:val="-17"/>
        </w:rPr>
        <w:t> </w:t>
      </w:r>
      <w:r>
        <w:rPr/>
        <w:t>得高新技术企业证书（证书编号：</w:t>
      </w:r>
      <w:r>
        <w:rPr>
          <w:rFonts w:ascii="Times New Roman" w:hAnsi="Times New Roman" w:cs="Times New Roman" w:eastAsia="Times New Roman" w:hint="default"/>
        </w:rPr>
        <w:t>GR201811004301</w:t>
      </w:r>
      <w:r>
        <w:rPr/>
        <w:t>）</w:t>
      </w:r>
      <w:r>
        <w:rPr>
          <w:rFonts w:ascii="Times New Roman" w:hAnsi="Times New Roman" w:cs="Times New Roman" w:eastAsia="Times New Roman" w:hint="default"/>
        </w:rPr>
        <w:t>,</w:t>
      </w:r>
      <w:r>
        <w:rPr/>
        <w:t>有效期三年，</w:t>
      </w:r>
      <w:r>
        <w:rPr>
          <w:rFonts w:ascii="Times New Roman" w:hAnsi="Times New Roman" w:cs="Times New Roman" w:eastAsia="Times New Roman" w:hint="default"/>
        </w:rPr>
        <w:t>2019</w:t>
      </w:r>
      <w:r>
        <w:rPr/>
        <w:t>年企业所得税按</w:t>
      </w:r>
      <w:r>
        <w:rPr>
          <w:rFonts w:ascii="Times New Roman" w:hAnsi="Times New Roman" w:cs="Times New Roman" w:eastAsia="Times New Roman" w:hint="default"/>
        </w:rPr>
        <w:t>15%</w:t>
      </w:r>
      <w:r>
        <w:rPr/>
        <w:t>税率缴纳。</w:t>
      </w:r>
    </w:p>
    <w:p>
      <w:pPr>
        <w:pStyle w:val="BodyText"/>
        <w:spacing w:line="300" w:lineRule="auto" w:before="143"/>
        <w:ind w:right="1102" w:firstLine="420"/>
        <w:jc w:val="both"/>
      </w:pPr>
      <w:r>
        <w:rPr>
          <w:spacing w:val="-1"/>
        </w:rPr>
        <w:t>（</w:t>
      </w:r>
      <w:r>
        <w:rPr>
          <w:rFonts w:ascii="Times New Roman" w:hAnsi="Times New Roman" w:cs="Times New Roman" w:eastAsia="Times New Roman" w:hint="default"/>
          <w:spacing w:val="-1"/>
        </w:rPr>
        <w:t>4</w:t>
      </w:r>
      <w:r>
        <w:rPr>
          <w:spacing w:val="-1"/>
        </w:rPr>
        <w:t>）</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4</w:t>
      </w:r>
      <w:r>
        <w:rPr>
          <w:spacing w:val="-1"/>
        </w:rPr>
        <w:t>日，财政部国家税务总局发展改革委工业和信息化部联合下发《关于软件和集成电路产业企业所得税</w:t>
      </w:r>
      <w:r>
        <w:rPr/>
        <w:t> 优惠政策有关问题的通知》（财税</w:t>
      </w:r>
      <w:r>
        <w:rPr>
          <w:rFonts w:ascii="Times New Roman" w:hAnsi="Times New Roman" w:cs="Times New Roman" w:eastAsia="Times New Roman" w:hint="default"/>
        </w:rPr>
        <w:t>[2016]49</w:t>
      </w:r>
      <w:r>
        <w:rPr/>
        <w:t>号）规定，集成电路设计企业、国家规划布局内的重点集成电路设计企业的税收</w:t>
      </w:r>
      <w:r>
        <w:rPr>
          <w:spacing w:val="-87"/>
        </w:rPr>
        <w:t> </w:t>
      </w:r>
      <w:r>
        <w:rPr>
          <w:spacing w:val="-1"/>
        </w:rPr>
        <w:t>优惠资格认定等非行政许可审批已经取消，享受财税</w:t>
      </w:r>
      <w:r>
        <w:rPr>
          <w:rFonts w:ascii="Times New Roman" w:hAnsi="Times New Roman" w:cs="Times New Roman" w:eastAsia="Times New Roman" w:hint="default"/>
          <w:spacing w:val="-1"/>
        </w:rPr>
        <w:t>[2012]27</w:t>
      </w:r>
      <w:r>
        <w:rPr>
          <w:spacing w:val="-1"/>
        </w:rPr>
        <w:t>号文件规定的税收优惠政策的集成电路企业，每年汇算清缴时</w:t>
      </w:r>
      <w:r>
        <w:rPr>
          <w:spacing w:val="-57"/>
        </w:rPr>
        <w:t> </w:t>
      </w:r>
      <w:r>
        <w:rPr>
          <w:spacing w:val="-57"/>
        </w:rPr>
      </w:r>
      <w:r>
        <w:rPr/>
        <w:t>应按照《国家税务总局关于发布</w:t>
      </w:r>
      <w:r>
        <w:rPr>
          <w:rFonts w:ascii="Times New Roman" w:hAnsi="Times New Roman" w:cs="Times New Roman" w:eastAsia="Times New Roman" w:hint="default"/>
        </w:rPr>
        <w:t>&lt;</w:t>
      </w:r>
      <w:r>
        <w:rPr/>
        <w:t>企业所得税优惠政策事项办理办法</w:t>
      </w:r>
      <w:r>
        <w:rPr>
          <w:rFonts w:ascii="Times New Roman" w:hAnsi="Times New Roman" w:cs="Times New Roman" w:eastAsia="Times New Roman" w:hint="default"/>
        </w:rPr>
        <w:t>&gt;</w:t>
      </w:r>
      <w:r>
        <w:rPr/>
        <w:t>的公告》（国家税务总局公告</w:t>
      </w:r>
      <w:r>
        <w:rPr>
          <w:rFonts w:ascii="Times New Roman" w:hAnsi="Times New Roman" w:cs="Times New Roman" w:eastAsia="Times New Roman" w:hint="default"/>
        </w:rPr>
        <w:t>2015</w:t>
      </w:r>
      <w:r>
        <w:rPr/>
        <w:t>年第</w:t>
      </w:r>
      <w:r>
        <w:rPr>
          <w:rFonts w:ascii="Times New Roman" w:hAnsi="Times New Roman" w:cs="Times New Roman" w:eastAsia="Times New Roman" w:hint="default"/>
        </w:rPr>
        <w:t>76</w:t>
      </w:r>
      <w:r>
        <w:rPr/>
        <w:t>号</w:t>
      </w:r>
      <w:r>
        <w:rPr>
          <w:rFonts w:ascii="Times New Roman" w:hAnsi="Times New Roman" w:cs="Times New Roman" w:eastAsia="Times New Roman" w:hint="default"/>
        </w:rPr>
        <w:t>)</w:t>
      </w:r>
      <w:r>
        <w:rPr/>
        <w:t>规定向税</w:t>
      </w:r>
      <w:r>
        <w:rPr>
          <w:spacing w:val="-76"/>
        </w:rPr>
        <w:t> </w:t>
      </w:r>
      <w:r>
        <w:rPr/>
        <w:t>务机关备案。</w:t>
      </w:r>
    </w:p>
    <w:p>
      <w:pPr>
        <w:spacing w:line="240" w:lineRule="auto" w:before="2"/>
        <w:rPr>
          <w:rFonts w:ascii="宋体" w:hAnsi="宋体" w:cs="宋体" w:eastAsia="宋体" w:hint="default"/>
          <w:sz w:val="14"/>
          <w:szCs w:val="14"/>
        </w:rPr>
      </w:pPr>
    </w:p>
    <w:p>
      <w:pPr>
        <w:pStyle w:val="BodyText"/>
        <w:spacing w:line="316" w:lineRule="auto"/>
        <w:ind w:right="1082" w:firstLine="420"/>
        <w:jc w:val="both"/>
      </w:pPr>
      <w:r>
        <w:rPr/>
        <w:t>（</w:t>
      </w:r>
      <w:r>
        <w:rPr>
          <w:rFonts w:ascii="Times New Roman" w:hAnsi="Times New Roman" w:cs="Times New Roman" w:eastAsia="Times New Roman" w:hint="default"/>
        </w:rPr>
        <w:t>5</w:t>
      </w:r>
      <w:r>
        <w:rPr/>
        <w:t>）财税</w:t>
      </w:r>
      <w:r>
        <w:rPr>
          <w:rFonts w:ascii="Times New Roman" w:hAnsi="Times New Roman" w:cs="Times New Roman" w:eastAsia="Times New Roman" w:hint="default"/>
        </w:rPr>
        <w:t>[2012]27</w:t>
      </w:r>
      <w:r>
        <w:rPr/>
        <w:t>号文件规定国家规划布局内的集成电路设计企业，如当年未享受免税优惠的，可减按</w:t>
      </w:r>
      <w:r>
        <w:rPr>
          <w:rFonts w:ascii="Times New Roman" w:hAnsi="Times New Roman" w:cs="Times New Roman" w:eastAsia="Times New Roman" w:hint="default"/>
        </w:rPr>
        <w:t>10%</w:t>
      </w:r>
      <w:r>
        <w:rPr/>
        <w:t>的税率征 收企业所得税。本公司之子公司北京宏思电子技术有限责任公司（以下简称</w:t>
      </w:r>
      <w:r>
        <w:rPr>
          <w:rFonts w:ascii="Times New Roman" w:hAnsi="Times New Roman" w:cs="Times New Roman" w:eastAsia="Times New Roman" w:hint="default"/>
        </w:rPr>
        <w:t>“</w:t>
      </w:r>
      <w:r>
        <w:rPr/>
        <w:t>北京宏思</w:t>
      </w:r>
      <w:r>
        <w:rPr>
          <w:rFonts w:ascii="Times New Roman" w:hAnsi="Times New Roman" w:cs="Times New Roman" w:eastAsia="Times New Roman" w:hint="default"/>
        </w:rPr>
        <w:t>”</w:t>
      </w:r>
      <w:r>
        <w:rPr/>
        <w:t>）</w:t>
      </w:r>
      <w:r>
        <w:rPr>
          <w:rFonts w:ascii="Times New Roman" w:hAnsi="Times New Roman" w:cs="Times New Roman" w:eastAsia="Times New Roman" w:hint="default"/>
        </w:rPr>
        <w:t>2019</w:t>
      </w:r>
      <w:r>
        <w:rPr/>
        <w:t>年享受减按</w:t>
      </w:r>
      <w:r>
        <w:rPr>
          <w:rFonts w:ascii="Times New Roman" w:hAnsi="Times New Roman" w:cs="Times New Roman" w:eastAsia="Times New Roman" w:hint="default"/>
        </w:rPr>
        <w:t>10%</w:t>
      </w:r>
      <w:r>
        <w:rPr/>
        <w:t>的优惠税率。</w:t>
      </w:r>
    </w:p>
    <w:p>
      <w:pPr>
        <w:pStyle w:val="BodyText"/>
        <w:spacing w:line="319" w:lineRule="auto" w:before="137"/>
        <w:ind w:right="1129" w:firstLine="420"/>
        <w:jc w:val="both"/>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FEITIANtechnologies</w:t>
      </w:r>
      <w:r>
        <w:rPr>
          <w:rFonts w:ascii="Times New Roman" w:hAnsi="Times New Roman" w:cs="Times New Roman" w:eastAsia="Times New Roman" w:hint="default"/>
          <w:spacing w:val="4"/>
        </w:rPr>
        <w:t> </w:t>
      </w:r>
      <w:r>
        <w:rPr>
          <w:rFonts w:ascii="Times New Roman" w:hAnsi="Times New Roman" w:cs="Times New Roman" w:eastAsia="Times New Roman" w:hint="default"/>
        </w:rPr>
        <w:t>US,Inc</w:t>
      </w:r>
      <w:r>
        <w:rPr/>
        <w:t>按应纳税所得额的</w:t>
      </w:r>
      <w:r>
        <w:rPr>
          <w:rFonts w:ascii="Times New Roman" w:hAnsi="Times New Roman" w:cs="Times New Roman" w:eastAsia="Times New Roman" w:hint="default"/>
        </w:rPr>
        <w:t>8.84%</w:t>
      </w:r>
      <w:r>
        <w:rPr/>
        <w:t>（最低</w:t>
      </w:r>
      <w:r>
        <w:rPr>
          <w:rFonts w:ascii="Times New Roman" w:hAnsi="Times New Roman" w:cs="Times New Roman" w:eastAsia="Times New Roman" w:hint="default"/>
        </w:rPr>
        <w:t>$800</w:t>
      </w:r>
      <w:r>
        <w:rPr/>
        <w:t>）计缴州利得税，按照已计缴州利得税的应纳税</w:t>
      </w:r>
      <w:r>
        <w:rPr>
          <w:w w:val="99"/>
        </w:rPr>
        <w:t> </w:t>
      </w:r>
      <w:r>
        <w:rPr/>
        <w:t>所得额</w:t>
      </w:r>
      <w:r>
        <w:rPr>
          <w:rFonts w:ascii="Times New Roman" w:hAnsi="Times New Roman" w:cs="Times New Roman" w:eastAsia="Times New Roman" w:hint="default"/>
        </w:rPr>
        <w:t>21%</w:t>
      </w:r>
      <w:r>
        <w:rPr/>
        <w:t>计缴联邦税。</w:t>
      </w:r>
    </w:p>
    <w:p>
      <w:pPr>
        <w:pStyle w:val="BodyText"/>
        <w:spacing w:line="240" w:lineRule="auto" w:before="150"/>
        <w:ind w:left="561" w:right="1100"/>
        <w:jc w:val="left"/>
      </w:pPr>
      <w:r>
        <w:rPr/>
        <w:t>（</w:t>
      </w:r>
      <w:r>
        <w:rPr>
          <w:rFonts w:ascii="Times New Roman" w:hAnsi="Times New Roman" w:cs="Times New Roman" w:eastAsia="Times New Roman" w:hint="default"/>
        </w:rPr>
        <w:t>7</w:t>
      </w:r>
      <w:r>
        <w:rPr/>
        <w:t>）飞天香港有限公司按照应纳税所得额计缴阶梯税（</w:t>
      </w:r>
      <w:r>
        <w:rPr>
          <w:rFonts w:ascii="Times New Roman" w:hAnsi="Times New Roman" w:cs="Times New Roman" w:eastAsia="Times New Roman" w:hint="default"/>
        </w:rPr>
        <w:t>8.25%-16.5%</w:t>
      </w:r>
      <w:r>
        <w:rPr/>
        <w:t>）。</w:t>
      </w:r>
    </w:p>
    <w:p>
      <w:pPr>
        <w:spacing w:after="0" w:line="240"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240" w:lineRule="auto" w:before="44"/>
        <w:ind w:right="1100"/>
        <w:jc w:val="left"/>
      </w:pPr>
      <w:r>
        <w:rPr/>
        <w:t>公司需遵守《深圳证券交易所行业信息披露指引第</w:t>
      </w:r>
      <w:r>
        <w:rPr>
          <w:spacing w:val="-40"/>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10"/>
        <w:rPr>
          <w:rFonts w:ascii="宋体" w:hAnsi="宋体" w:cs="宋体" w:eastAsia="宋体" w:hint="default"/>
          <w:sz w:val="23"/>
          <w:szCs w:val="23"/>
        </w:rPr>
      </w:pPr>
    </w:p>
    <w:p>
      <w:pPr>
        <w:pStyle w:val="Heading2"/>
        <w:spacing w:line="240" w:lineRule="auto"/>
        <w:ind w:right="1100"/>
        <w:jc w:val="left"/>
        <w:rPr>
          <w:b w:val="0"/>
          <w:bCs w:val="0"/>
        </w:rPr>
      </w:pPr>
      <w:bookmarkStart w:name="七、合并财务报表项目注释" w:id="217"/>
      <w:bookmarkEnd w:id="217"/>
      <w:r>
        <w:rPr>
          <w:b w:val="0"/>
          <w:bCs w:val="0"/>
        </w:rPr>
      </w:r>
      <w:r>
        <w:rPr/>
        <w:t>七、合并财务报表项目注释</w:t>
      </w:r>
      <w:r>
        <w:rPr>
          <w:b w:val="0"/>
          <w:bCs w:val="0"/>
        </w:rPr>
      </w:r>
    </w:p>
    <w:p>
      <w:pPr>
        <w:spacing w:line="240" w:lineRule="auto" w:before="9"/>
        <w:rPr>
          <w:rFonts w:ascii="宋体" w:hAnsi="宋体" w:cs="宋体" w:eastAsia="宋体" w:hint="default"/>
          <w:b/>
          <w:bCs/>
          <w:sz w:val="25"/>
          <w:szCs w:val="25"/>
        </w:rPr>
      </w:pPr>
    </w:p>
    <w:p>
      <w:pPr>
        <w:pStyle w:val="Heading4"/>
        <w:spacing w:line="240" w:lineRule="auto"/>
        <w:ind w:right="1100"/>
        <w:jc w:val="left"/>
        <w:rPr>
          <w:b w:val="0"/>
          <w:bCs w:val="0"/>
        </w:rPr>
      </w:pPr>
      <w:bookmarkStart w:name="1、货币资金" w:id="218"/>
      <w:bookmarkEnd w:id="218"/>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85,303.73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115,931.59</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493,088,571.00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651,785,472.53</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9,831,893.51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10,637,972.14</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503,005,768.24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662,539,376.26</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56,530,709.63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46,281,596.70</w:t>
            </w:r>
          </w:p>
        </w:tc>
      </w:tr>
    </w:tbl>
    <w:p>
      <w:pPr>
        <w:pStyle w:val="BodyText"/>
        <w:spacing w:line="240" w:lineRule="auto" w:before="44"/>
        <w:ind w:right="1100"/>
        <w:jc w:val="left"/>
      </w:pPr>
      <w:r>
        <w:rPr/>
        <w:t>其他说明</w:t>
      </w:r>
    </w:p>
    <w:p>
      <w:pPr>
        <w:pStyle w:val="Heading5"/>
        <w:spacing w:line="240" w:lineRule="auto" w:before="90"/>
        <w:ind w:left="141" w:right="1100"/>
        <w:jc w:val="left"/>
      </w:pPr>
      <w:r>
        <w:rPr/>
        <w:t>期末存在使用有限制款项</w:t>
      </w:r>
      <w:r>
        <w:rPr>
          <w:rFonts w:ascii="Times New Roman" w:hAnsi="Times New Roman" w:cs="Times New Roman" w:eastAsia="Times New Roman" w:hint="default"/>
        </w:rPr>
        <w:t>9,831,893.51</w:t>
      </w:r>
      <w:r>
        <w:rPr/>
        <w:t>元，均系保函保证金。</w:t>
      </w:r>
    </w:p>
    <w:p>
      <w:pPr>
        <w:spacing w:line="240" w:lineRule="auto" w:before="11"/>
        <w:rPr>
          <w:rFonts w:ascii="宋体" w:hAnsi="宋体" w:cs="宋体" w:eastAsia="宋体" w:hint="default"/>
          <w:sz w:val="24"/>
          <w:szCs w:val="24"/>
        </w:rPr>
      </w:pPr>
    </w:p>
    <w:p>
      <w:pPr>
        <w:pStyle w:val="Heading4"/>
        <w:spacing w:line="240" w:lineRule="auto"/>
        <w:ind w:right="1100"/>
        <w:jc w:val="left"/>
        <w:rPr>
          <w:b w:val="0"/>
          <w:bCs w:val="0"/>
        </w:rPr>
      </w:pPr>
      <w:bookmarkStart w:name="2、交易性金融资产" w:id="219"/>
      <w:bookmarkEnd w:id="219"/>
      <w:r>
        <w:rPr>
          <w:b w:val="0"/>
          <w:bCs w:val="0"/>
        </w:rPr>
      </w:r>
      <w:r>
        <w:rPr>
          <w:rFonts w:ascii="Times New Roman" w:hAnsi="Times New Roman" w:cs="Times New Roman" w:eastAsia="Times New Roman" w:hint="default"/>
        </w:rPr>
        <w:t>2</w:t>
      </w:r>
      <w:r>
        <w:rPr/>
        <w:t>、交易性金融资产</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107"/>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746,272,637.59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544,976,057.27</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746,272,637.59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544,976,057.27</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9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1"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746,272,637.59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544,976,057.27</w:t>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3、应收票据" w:id="220"/>
      <w:bookmarkEnd w:id="220"/>
      <w:r>
        <w:rPr>
          <w:b w:val="0"/>
          <w:bCs w:val="0"/>
        </w:rPr>
      </w:r>
      <w:r>
        <w:rPr>
          <w:rFonts w:ascii="Times New Roman" w:hAnsi="Times New Roman" w:cs="Times New Roman" w:eastAsia="Times New Roman" w:hint="default"/>
        </w:rPr>
        <w:t>3</w:t>
      </w:r>
      <w:r>
        <w:rPr/>
        <w:t>、应收票据</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1100"/>
        <w:jc w:val="left"/>
        <w:rPr>
          <w:b w:val="0"/>
          <w:bCs w:val="0"/>
        </w:rPr>
      </w:pPr>
      <w:bookmarkStart w:name="（1）应收票据分类列示" w:id="221"/>
      <w:bookmarkEnd w:id="221"/>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1,671,200.77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760,470.00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1,574,121.74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552,720.00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3,245,322.51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1,313,190.00</w:t>
            </w:r>
          </w:p>
        </w:tc>
      </w:tr>
    </w:tbl>
    <w:p>
      <w:pPr>
        <w:pStyle w:val="BodyText"/>
        <w:spacing w:line="350" w:lineRule="auto" w:before="45"/>
        <w:ind w:right="1749"/>
        <w:jc w:val="left"/>
      </w:pPr>
      <w:r>
        <w:rPr/>
        <w:t>确定该组合依据的说明： 如是按照预期信用损失一般模型计提应收票据坏账准备，请参照其他应收款的披露方式披露坏账准备的相关信息：</w:t>
      </w:r>
    </w:p>
    <w:p>
      <w:pPr>
        <w:pStyle w:val="BodyText"/>
        <w:spacing w:line="240" w:lineRule="auto" w:before="57"/>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4"/>
        <w:spacing w:line="240" w:lineRule="auto" w:before="35"/>
        <w:ind w:right="1100"/>
        <w:jc w:val="left"/>
        <w:rPr>
          <w:b w:val="0"/>
          <w:bCs w:val="0"/>
        </w:rPr>
      </w:pPr>
      <w:bookmarkStart w:name="（2）期末公司已背书或贴现且在资产负债表日尚未到期的应收票据" w:id="222"/>
      <w:bookmarkEnd w:id="222"/>
      <w:r>
        <w:rPr>
          <w:b w:val="0"/>
          <w:bCs w:val="0"/>
        </w:rPr>
      </w: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9" w:type="dxa"/>
            <w:tcBorders>
              <w:top w:val="single" w:sz="6" w:space="0" w:color="000000"/>
              <w:left w:val="single" w:sz="18"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630,000.00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9" w:type="dxa"/>
            <w:tcBorders>
              <w:top w:val="single" w:sz="6" w:space="0" w:color="000000"/>
              <w:left w:val="single" w:sz="18"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1,574,121.74</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2,204,121.74</w:t>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4、应收账款" w:id="223"/>
      <w:bookmarkEnd w:id="223"/>
      <w:r>
        <w:rPr>
          <w:b w:val="0"/>
          <w:bCs w:val="0"/>
        </w:rPr>
      </w:r>
      <w:r>
        <w:rPr>
          <w:rFonts w:ascii="Times New Roman" w:hAnsi="Times New Roman" w:cs="Times New Roman" w:eastAsia="Times New Roman" w:hint="default"/>
        </w:rPr>
        <w:t>4</w:t>
      </w:r>
      <w:r>
        <w:rPr/>
        <w:t>、应收账款</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1100"/>
        <w:jc w:val="left"/>
        <w:rPr>
          <w:b w:val="0"/>
          <w:bCs w:val="0"/>
        </w:rPr>
      </w:pPr>
      <w:bookmarkStart w:name="（1）应收账款分类披露" w:id="224"/>
      <w:bookmarkEnd w:id="224"/>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637"/>
        <w:gridCol w:w="766"/>
        <w:gridCol w:w="766"/>
        <w:gridCol w:w="751"/>
        <w:gridCol w:w="766"/>
        <w:gridCol w:w="796"/>
        <w:gridCol w:w="781"/>
        <w:gridCol w:w="796"/>
        <w:gridCol w:w="796"/>
        <w:gridCol w:w="796"/>
        <w:gridCol w:w="931"/>
      </w:tblGrid>
      <w:tr>
        <w:trPr>
          <w:trHeight w:val="406" w:hRule="exact"/>
        </w:trPr>
        <w:tc>
          <w:tcPr>
            <w:tcW w:w="163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9"/>
              <w:jc w:val="center"/>
              <w:rPr>
                <w:rFonts w:ascii="宋体" w:hAnsi="宋体" w:cs="宋体" w:eastAsia="宋体" w:hint="default"/>
                <w:sz w:val="18"/>
                <w:szCs w:val="18"/>
              </w:rPr>
            </w:pPr>
            <w:r>
              <w:rPr>
                <w:rFonts w:ascii="宋体" w:hAnsi="宋体" w:cs="宋体" w:eastAsia="宋体" w:hint="default"/>
                <w:sz w:val="18"/>
                <w:szCs w:val="18"/>
              </w:rPr>
              <w:t>类别</w:t>
            </w:r>
          </w:p>
        </w:tc>
        <w:tc>
          <w:tcPr>
            <w:tcW w:w="3845"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637" w:type="dxa"/>
            <w:vMerge/>
            <w:tcBorders>
              <w:left w:val="single" w:sz="6" w:space="0" w:color="000000"/>
              <w:right w:val="single" w:sz="6" w:space="0" w:color="000000"/>
            </w:tcBorders>
            <w:shd w:val="clear" w:color="auto" w:fill="D2D2D2"/>
          </w:tcPr>
          <w:p>
            <w:pPr/>
          </w:p>
        </w:tc>
        <w:tc>
          <w:tcPr>
            <w:tcW w:w="153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157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2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57" w:hRule="exact"/>
        </w:trPr>
        <w:tc>
          <w:tcPr>
            <w:tcW w:w="1637" w:type="dxa"/>
            <w:vMerge/>
            <w:tcBorders>
              <w:left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51"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44"/>
              <w:ind w:left="284"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7"/>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81"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195" w:hRule="exact"/>
        </w:trPr>
        <w:tc>
          <w:tcPr>
            <w:tcW w:w="1637" w:type="dxa"/>
            <w:vMerge/>
            <w:tcBorders>
              <w:left w:val="single" w:sz="6" w:space="0" w:color="000000"/>
              <w:right w:val="single" w:sz="6" w:space="0" w:color="000000"/>
            </w:tcBorders>
            <w:shd w:val="clear" w:color="auto" w:fill="D2D2D2"/>
          </w:tcPr>
          <w:p>
            <w:pPr/>
          </w:p>
        </w:tc>
        <w:tc>
          <w:tcPr>
            <w:tcW w:w="7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8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5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78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6" w:space="0" w:color="000000"/>
              <w:right w:val="single" w:sz="6" w:space="0" w:color="000000"/>
            </w:tcBorders>
            <w:shd w:val="clear" w:color="auto" w:fill="D2D2D2"/>
          </w:tcPr>
          <w:p>
            <w:pPr/>
          </w:p>
        </w:tc>
      </w:tr>
      <w:tr>
        <w:trPr>
          <w:trHeight w:val="196" w:hRule="exact"/>
        </w:trPr>
        <w:tc>
          <w:tcPr>
            <w:tcW w:w="1637" w:type="dxa"/>
            <w:vMerge/>
            <w:tcBorders>
              <w:left w:val="single" w:sz="6" w:space="0" w:color="000000"/>
              <w:right w:val="single" w:sz="6" w:space="0" w:color="000000"/>
            </w:tcBorders>
            <w:shd w:val="clear" w:color="auto" w:fill="D2D2D2"/>
          </w:tcPr>
          <w:p>
            <w:pPr/>
          </w:p>
        </w:tc>
        <w:tc>
          <w:tcPr>
            <w:tcW w:w="766" w:type="dxa"/>
            <w:vMerge/>
            <w:tcBorders>
              <w:left w:val="single" w:sz="6" w:space="0" w:color="000000"/>
              <w:right w:val="single" w:sz="6" w:space="0" w:color="000000"/>
            </w:tcBorders>
            <w:shd w:val="clear" w:color="auto" w:fill="D2D2D2"/>
          </w:tcPr>
          <w:p>
            <w:pPr/>
          </w:p>
        </w:tc>
        <w:tc>
          <w:tcPr>
            <w:tcW w:w="766" w:type="dxa"/>
            <w:vMerge/>
            <w:tcBorders>
              <w:left w:val="single" w:sz="6" w:space="0" w:color="000000"/>
              <w:bottom w:val="nil" w:sz="6" w:space="0" w:color="auto"/>
              <w:right w:val="single" w:sz="6" w:space="0" w:color="000000"/>
            </w:tcBorders>
            <w:shd w:val="clear" w:color="auto" w:fill="D2D2D2"/>
          </w:tcPr>
          <w:p>
            <w:pPr/>
          </w:p>
        </w:tc>
        <w:tc>
          <w:tcPr>
            <w:tcW w:w="751" w:type="dxa"/>
            <w:vMerge/>
            <w:tcBorders>
              <w:left w:val="single" w:sz="6" w:space="0" w:color="000000"/>
              <w:bottom w:val="nil" w:sz="6" w:space="0" w:color="auto"/>
              <w:right w:val="single" w:sz="6" w:space="0" w:color="000000"/>
            </w:tcBorders>
            <w:shd w:val="clear" w:color="auto" w:fill="D2D2D2"/>
          </w:tcPr>
          <w:p>
            <w:pPr/>
          </w:p>
        </w:tc>
        <w:tc>
          <w:tcPr>
            <w:tcW w:w="766" w:type="dxa"/>
            <w:vMerge/>
            <w:tcBorders>
              <w:left w:val="single" w:sz="6" w:space="0" w:color="000000"/>
              <w:right w:val="single" w:sz="6" w:space="0" w:color="000000"/>
            </w:tcBorders>
            <w:shd w:val="clear" w:color="auto" w:fill="D2D2D2"/>
          </w:tcPr>
          <w:p>
            <w:pPr/>
          </w:p>
        </w:tc>
        <w:tc>
          <w:tcPr>
            <w:tcW w:w="796" w:type="dxa"/>
            <w:vMerge w:val="restart"/>
            <w:tcBorders>
              <w:top w:val="nil" w:sz="6" w:space="0" w:color="auto"/>
              <w:left w:val="single" w:sz="6" w:space="0" w:color="000000"/>
              <w:right w:val="single" w:sz="6" w:space="0" w:color="000000"/>
            </w:tcBorders>
            <w:shd w:val="clear" w:color="auto" w:fill="D2D2D2"/>
          </w:tcPr>
          <w:p>
            <w:pPr/>
          </w:p>
        </w:tc>
        <w:tc>
          <w:tcPr>
            <w:tcW w:w="781"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173" w:hRule="exact"/>
        </w:trPr>
        <w:tc>
          <w:tcPr>
            <w:tcW w:w="1637" w:type="dxa"/>
            <w:vMerge/>
            <w:tcBorders>
              <w:left w:val="single" w:sz="6" w:space="0" w:color="000000"/>
              <w:bottom w:val="single" w:sz="6" w:space="0" w:color="000000"/>
              <w:right w:val="single" w:sz="6" w:space="0" w:color="000000"/>
            </w:tcBorders>
            <w:shd w:val="clear" w:color="auto" w:fill="D2D2D2"/>
          </w:tcPr>
          <w:p>
            <w:pPr/>
          </w:p>
        </w:tc>
        <w:tc>
          <w:tcPr>
            <w:tcW w:w="766" w:type="dxa"/>
            <w:vMerge/>
            <w:tcBorders>
              <w:left w:val="single" w:sz="6" w:space="0" w:color="000000"/>
              <w:bottom w:val="single" w:sz="6" w:space="0" w:color="000000"/>
              <w:right w:val="single" w:sz="6" w:space="0" w:color="000000"/>
            </w:tcBorders>
            <w:shd w:val="clear" w:color="auto" w:fill="D2D2D2"/>
          </w:tcPr>
          <w:p>
            <w:pPr/>
          </w:p>
        </w:tc>
        <w:tc>
          <w:tcPr>
            <w:tcW w:w="766" w:type="dxa"/>
            <w:tcBorders>
              <w:top w:val="nil" w:sz="6" w:space="0" w:color="auto"/>
              <w:left w:val="single" w:sz="6" w:space="0" w:color="000000"/>
              <w:bottom w:val="single" w:sz="6" w:space="0" w:color="000000"/>
              <w:right w:val="single" w:sz="6" w:space="0" w:color="000000"/>
            </w:tcBorders>
            <w:shd w:val="clear" w:color="auto" w:fill="D2D2D2"/>
          </w:tcPr>
          <w:p>
            <w:pPr/>
          </w:p>
        </w:tc>
        <w:tc>
          <w:tcPr>
            <w:tcW w:w="751" w:type="dxa"/>
            <w:tcBorders>
              <w:top w:val="nil" w:sz="6" w:space="0" w:color="auto"/>
              <w:left w:val="single" w:sz="6" w:space="0" w:color="000000"/>
              <w:bottom w:val="single" w:sz="6" w:space="0" w:color="000000"/>
              <w:right w:val="single" w:sz="6" w:space="0" w:color="000000"/>
            </w:tcBorders>
            <w:shd w:val="clear" w:color="auto" w:fill="D2D2D2"/>
          </w:tcPr>
          <w:p>
            <w:pPr/>
          </w:p>
        </w:tc>
        <w:tc>
          <w:tcPr>
            <w:tcW w:w="76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81"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931" w:type="dxa"/>
            <w:vMerge/>
            <w:tcBorders>
              <w:left w:val="single" w:sz="6" w:space="0" w:color="000000"/>
              <w:bottom w:val="single" w:sz="6" w:space="0" w:color="000000"/>
              <w:right w:val="single" w:sz="6" w:space="0" w:color="000000"/>
            </w:tcBorders>
            <w:shd w:val="clear" w:color="auto" w:fill="D2D2D2"/>
          </w:tcPr>
          <w:p>
            <w:pPr/>
          </w:p>
        </w:tc>
      </w:tr>
      <w:tr>
        <w:trPr>
          <w:trHeight w:val="705"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165"/>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82" w:right="0"/>
              <w:jc w:val="left"/>
              <w:rPr>
                <w:rFonts w:ascii="Times New Roman" w:hAnsi="Times New Roman" w:cs="Times New Roman" w:eastAsia="Times New Roman" w:hint="default"/>
                <w:sz w:val="18"/>
                <w:szCs w:val="18"/>
              </w:rPr>
            </w:pPr>
            <w:r>
              <w:rPr>
                <w:rFonts w:ascii="Times New Roman"/>
                <w:sz w:val="18"/>
              </w:rPr>
              <w:t>1,360,74</w:t>
            </w:r>
          </w:p>
          <w:p>
            <w:pPr>
              <w:pStyle w:val="TableParagraph"/>
              <w:spacing w:line="240" w:lineRule="auto" w:before="108"/>
              <w:ind w:left="397" w:right="0"/>
              <w:jc w:val="left"/>
              <w:rPr>
                <w:rFonts w:ascii="Times New Roman" w:hAnsi="Times New Roman" w:cs="Times New Roman" w:eastAsia="Times New Roman" w:hint="default"/>
                <w:sz w:val="18"/>
                <w:szCs w:val="18"/>
              </w:rPr>
            </w:pPr>
            <w:r>
              <w:rPr>
                <w:rFonts w:ascii="Times New Roman"/>
                <w:sz w:val="18"/>
              </w:rPr>
              <w:t>4.85</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1.02%</w:t>
            </w:r>
            <w:r>
              <w:rPr>
                <w:rFonts w:ascii="Times New Roman"/>
                <w:sz w:val="18"/>
              </w:rPr>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9" w:right="0"/>
              <w:jc w:val="left"/>
              <w:rPr>
                <w:rFonts w:ascii="Times New Roman" w:hAnsi="Times New Roman" w:cs="Times New Roman" w:eastAsia="Times New Roman" w:hint="default"/>
                <w:sz w:val="18"/>
                <w:szCs w:val="18"/>
              </w:rPr>
            </w:pPr>
            <w:r>
              <w:rPr>
                <w:rFonts w:ascii="Times New Roman"/>
                <w:sz w:val="18"/>
              </w:rPr>
              <w:t>1,360,74</w:t>
            </w:r>
          </w:p>
          <w:p>
            <w:pPr>
              <w:pStyle w:val="TableParagraph"/>
              <w:spacing w:line="240" w:lineRule="auto" w:before="108"/>
              <w:ind w:left="405" w:right="0"/>
              <w:jc w:val="left"/>
              <w:rPr>
                <w:rFonts w:ascii="Times New Roman" w:hAnsi="Times New Roman" w:cs="Times New Roman" w:eastAsia="Times New Roman" w:hint="default"/>
                <w:sz w:val="18"/>
                <w:szCs w:val="18"/>
              </w:rPr>
            </w:pPr>
            <w:r>
              <w:rPr>
                <w:rFonts w:ascii="Times New Roman"/>
                <w:sz w:val="18"/>
              </w:rPr>
              <w:t>4.85</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1,274,994</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.85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1.22%</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1,274,994</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.85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1021" w:hRule="exact"/>
        </w:trPr>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165"/>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1,360,74</w:t>
            </w:r>
          </w:p>
          <w:p>
            <w:pPr>
              <w:pStyle w:val="TableParagraph"/>
              <w:spacing w:line="240" w:lineRule="auto" w:before="108"/>
              <w:ind w:left="405" w:right="0"/>
              <w:jc w:val="left"/>
              <w:rPr>
                <w:rFonts w:ascii="Times New Roman" w:hAnsi="Times New Roman" w:cs="Times New Roman" w:eastAsia="Times New Roman" w:hint="default"/>
                <w:sz w:val="18"/>
                <w:szCs w:val="18"/>
              </w:rPr>
            </w:pPr>
            <w:r>
              <w:rPr>
                <w:rFonts w:ascii="Times New Roman"/>
                <w:sz w:val="18"/>
              </w:rPr>
              <w:t>4.85</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1.02%</w:t>
            </w:r>
            <w:r>
              <w:rPr>
                <w:rFonts w:ascii="Times New Roman"/>
                <w:sz w:val="18"/>
              </w:rPr>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1,360,74</w:t>
            </w:r>
          </w:p>
          <w:p>
            <w:pPr>
              <w:pStyle w:val="TableParagraph"/>
              <w:spacing w:line="240" w:lineRule="auto" w:before="108"/>
              <w:ind w:left="405" w:right="0"/>
              <w:jc w:val="left"/>
              <w:rPr>
                <w:rFonts w:ascii="Times New Roman" w:hAnsi="Times New Roman" w:cs="Times New Roman" w:eastAsia="Times New Roman" w:hint="default"/>
                <w:sz w:val="18"/>
                <w:szCs w:val="18"/>
              </w:rPr>
            </w:pPr>
            <w:r>
              <w:rPr>
                <w:rFonts w:ascii="Times New Roman"/>
                <w:sz w:val="18"/>
              </w:rPr>
              <w:t>4.85</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1,274,994</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.85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1.22%</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1,274,994</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.85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165"/>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51" w:right="0"/>
              <w:jc w:val="center"/>
              <w:rPr>
                <w:rFonts w:ascii="Times New Roman" w:hAnsi="Times New Roman" w:cs="Times New Roman" w:eastAsia="Times New Roman" w:hint="default"/>
                <w:sz w:val="18"/>
                <w:szCs w:val="18"/>
              </w:rPr>
            </w:pPr>
            <w:r>
              <w:rPr>
                <w:rFonts w:ascii="Times New Roman"/>
                <w:sz w:val="18"/>
              </w:rPr>
              <w:t>131,764,</w:t>
            </w:r>
          </w:p>
          <w:p>
            <w:pPr>
              <w:pStyle w:val="TableParagraph"/>
              <w:spacing w:line="240" w:lineRule="auto" w:before="108"/>
              <w:ind w:left="187" w:right="0"/>
              <w:jc w:val="center"/>
              <w:rPr>
                <w:rFonts w:ascii="Times New Roman" w:hAnsi="Times New Roman" w:cs="Times New Roman" w:eastAsia="Times New Roman" w:hint="default"/>
                <w:sz w:val="18"/>
                <w:szCs w:val="18"/>
              </w:rPr>
            </w:pPr>
            <w:r>
              <w:rPr>
                <w:rFonts w:ascii="Times New Roman"/>
                <w:sz w:val="18"/>
              </w:rPr>
              <w:t>125.42</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98.98%</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89" w:right="0"/>
              <w:jc w:val="left"/>
              <w:rPr>
                <w:rFonts w:ascii="Times New Roman" w:hAnsi="Times New Roman" w:cs="Times New Roman" w:eastAsia="Times New Roman" w:hint="default"/>
                <w:sz w:val="18"/>
                <w:szCs w:val="18"/>
              </w:rPr>
            </w:pPr>
            <w:r>
              <w:rPr>
                <w:rFonts w:ascii="Times New Roman"/>
                <w:sz w:val="18"/>
              </w:rPr>
              <w:t>7,792,81</w:t>
            </w:r>
          </w:p>
          <w:p>
            <w:pPr>
              <w:pStyle w:val="TableParagraph"/>
              <w:spacing w:line="240" w:lineRule="auto" w:before="108"/>
              <w:ind w:left="405" w:right="0"/>
              <w:jc w:val="left"/>
              <w:rPr>
                <w:rFonts w:ascii="Times New Roman" w:hAnsi="Times New Roman" w:cs="Times New Roman" w:eastAsia="Times New Roman" w:hint="default"/>
                <w:sz w:val="18"/>
                <w:szCs w:val="18"/>
              </w:rPr>
            </w:pPr>
            <w:r>
              <w:rPr>
                <w:rFonts w:ascii="Times New Roman"/>
                <w:sz w:val="18"/>
              </w:rPr>
              <w:t>8.30</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5.91%</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5" w:right="0"/>
              <w:jc w:val="left"/>
              <w:rPr>
                <w:rFonts w:ascii="Times New Roman" w:hAnsi="Times New Roman" w:cs="Times New Roman" w:eastAsia="Times New Roman" w:hint="default"/>
                <w:sz w:val="18"/>
                <w:szCs w:val="18"/>
              </w:rPr>
            </w:pPr>
            <w:r>
              <w:rPr>
                <w:rFonts w:ascii="Times New Roman"/>
                <w:sz w:val="18"/>
              </w:rPr>
              <w:t>123,971,3</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07.12</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4" w:right="0"/>
              <w:jc w:val="left"/>
              <w:rPr>
                <w:rFonts w:ascii="Times New Roman" w:hAnsi="Times New Roman" w:cs="Times New Roman" w:eastAsia="Times New Roman" w:hint="default"/>
                <w:sz w:val="18"/>
                <w:szCs w:val="18"/>
              </w:rPr>
            </w:pPr>
            <w:r>
              <w:rPr>
                <w:rFonts w:ascii="Times New Roman"/>
                <w:sz w:val="18"/>
              </w:rPr>
              <w:t>102,834,0</w:t>
            </w:r>
          </w:p>
          <w:p>
            <w:pPr>
              <w:pStyle w:val="TableParagraph"/>
              <w:spacing w:line="240" w:lineRule="auto" w:before="108"/>
              <w:ind w:left="329" w:right="0"/>
              <w:jc w:val="left"/>
              <w:rPr>
                <w:rFonts w:ascii="Times New Roman" w:hAnsi="Times New Roman" w:cs="Times New Roman" w:eastAsia="Times New Roman" w:hint="default"/>
                <w:sz w:val="18"/>
                <w:szCs w:val="18"/>
              </w:rPr>
            </w:pPr>
            <w:r>
              <w:rPr>
                <w:rFonts w:ascii="Times New Roman"/>
                <w:sz w:val="18"/>
              </w:rPr>
              <w:t>32.67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98.78%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5,589,549</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.44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5.44%</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97,244,483.</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23</w:t>
            </w:r>
          </w:p>
        </w:tc>
      </w:tr>
      <w:tr>
        <w:trPr>
          <w:trHeight w:val="406"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1021" w:hRule="exact"/>
        </w:trPr>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65"/>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131,764,</w:t>
            </w:r>
          </w:p>
          <w:p>
            <w:pPr>
              <w:pStyle w:val="TableParagraph"/>
              <w:spacing w:line="240" w:lineRule="auto" w:before="93"/>
              <w:ind w:left="194" w:right="0"/>
              <w:jc w:val="center"/>
              <w:rPr>
                <w:rFonts w:ascii="Times New Roman" w:hAnsi="Times New Roman" w:cs="Times New Roman" w:eastAsia="Times New Roman" w:hint="default"/>
                <w:sz w:val="18"/>
                <w:szCs w:val="18"/>
              </w:rPr>
            </w:pPr>
            <w:r>
              <w:rPr>
                <w:rFonts w:ascii="Times New Roman"/>
                <w:sz w:val="18"/>
              </w:rPr>
              <w:t>125.42</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98.98%</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7,792,81</w:t>
            </w:r>
          </w:p>
          <w:p>
            <w:pPr>
              <w:pStyle w:val="TableParagraph"/>
              <w:spacing w:line="240" w:lineRule="auto" w:before="93"/>
              <w:ind w:left="405" w:right="0"/>
              <w:jc w:val="left"/>
              <w:rPr>
                <w:rFonts w:ascii="Times New Roman" w:hAnsi="Times New Roman" w:cs="Times New Roman" w:eastAsia="Times New Roman" w:hint="default"/>
                <w:sz w:val="18"/>
                <w:szCs w:val="18"/>
              </w:rPr>
            </w:pPr>
            <w:r>
              <w:rPr>
                <w:rFonts w:ascii="Times New Roman"/>
                <w:sz w:val="18"/>
              </w:rPr>
              <w:t>8.30</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5.91%</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123,971,3</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07.12</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102,834,0</w:t>
            </w:r>
          </w:p>
          <w:p>
            <w:pPr>
              <w:pStyle w:val="TableParagraph"/>
              <w:spacing w:line="240" w:lineRule="auto" w:before="93"/>
              <w:ind w:left="329" w:right="0"/>
              <w:jc w:val="left"/>
              <w:rPr>
                <w:rFonts w:ascii="Times New Roman" w:hAnsi="Times New Roman" w:cs="Times New Roman" w:eastAsia="Times New Roman" w:hint="default"/>
                <w:sz w:val="18"/>
                <w:szCs w:val="18"/>
              </w:rPr>
            </w:pPr>
            <w:r>
              <w:rPr>
                <w:rFonts w:ascii="Times New Roman"/>
                <w:sz w:val="18"/>
              </w:rPr>
              <w:t>32.67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98.78%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5,589,549</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.44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5.44%</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97,244,483.</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23</w:t>
            </w:r>
          </w:p>
        </w:tc>
      </w:tr>
      <w:tr>
        <w:trPr>
          <w:trHeight w:val="720"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 w:right="0"/>
              <w:jc w:val="center"/>
              <w:rPr>
                <w:rFonts w:ascii="Times New Roman" w:hAnsi="Times New Roman" w:cs="Times New Roman" w:eastAsia="Times New Roman" w:hint="default"/>
                <w:sz w:val="18"/>
                <w:szCs w:val="18"/>
              </w:rPr>
            </w:pPr>
            <w:r>
              <w:rPr>
                <w:rFonts w:ascii="Times New Roman"/>
                <w:sz w:val="18"/>
              </w:rPr>
              <w:t>133,124,</w:t>
            </w:r>
          </w:p>
          <w:p>
            <w:pPr>
              <w:pStyle w:val="TableParagraph"/>
              <w:spacing w:line="240" w:lineRule="auto" w:before="93"/>
              <w:ind w:left="194" w:right="0"/>
              <w:jc w:val="center"/>
              <w:rPr>
                <w:rFonts w:ascii="Times New Roman" w:hAnsi="Times New Roman" w:cs="Times New Roman" w:eastAsia="Times New Roman" w:hint="default"/>
                <w:sz w:val="18"/>
                <w:szCs w:val="18"/>
              </w:rPr>
            </w:pPr>
            <w:r>
              <w:rPr>
                <w:rFonts w:ascii="Times New Roman"/>
                <w:sz w:val="18"/>
              </w:rPr>
              <w:t>870.27</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left"/>
              <w:rPr>
                <w:rFonts w:ascii="Times New Roman" w:hAnsi="Times New Roman" w:cs="Times New Roman" w:eastAsia="Times New Roman" w:hint="default"/>
                <w:sz w:val="18"/>
                <w:szCs w:val="18"/>
              </w:rPr>
            </w:pPr>
            <w:r>
              <w:rPr>
                <w:rFonts w:ascii="Times New Roman"/>
                <w:sz w:val="18"/>
              </w:rPr>
              <w:t>9,153,56</w:t>
            </w:r>
          </w:p>
          <w:p>
            <w:pPr>
              <w:pStyle w:val="TableParagraph"/>
              <w:spacing w:line="240" w:lineRule="auto" w:before="93"/>
              <w:ind w:left="405" w:right="0"/>
              <w:jc w:val="left"/>
              <w:rPr>
                <w:rFonts w:ascii="Times New Roman" w:hAnsi="Times New Roman" w:cs="Times New Roman" w:eastAsia="Times New Roman" w:hint="default"/>
                <w:sz w:val="18"/>
                <w:szCs w:val="18"/>
              </w:rPr>
            </w:pPr>
            <w:r>
              <w:rPr>
                <w:rFonts w:ascii="Times New Roman"/>
                <w:sz w:val="18"/>
              </w:rPr>
              <w:t>3.15</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6.88%</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123,971,3</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07.12</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104,109,0</w:t>
            </w:r>
          </w:p>
          <w:p>
            <w:pPr>
              <w:pStyle w:val="TableParagraph"/>
              <w:spacing w:line="240" w:lineRule="auto" w:before="93"/>
              <w:ind w:left="329" w:right="0"/>
              <w:jc w:val="left"/>
              <w:rPr>
                <w:rFonts w:ascii="Times New Roman" w:hAnsi="Times New Roman" w:cs="Times New Roman" w:eastAsia="Times New Roman" w:hint="default"/>
                <w:sz w:val="18"/>
                <w:szCs w:val="18"/>
              </w:rPr>
            </w:pPr>
            <w:r>
              <w:rPr>
                <w:rFonts w:ascii="Times New Roman"/>
                <w:sz w:val="18"/>
              </w:rPr>
              <w:t>27.52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6,864,544</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.29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6.59%</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97,244,483.</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23</w:t>
            </w:r>
          </w:p>
        </w:tc>
      </w:tr>
    </w:tbl>
    <w:p>
      <w:pPr>
        <w:pStyle w:val="BodyText"/>
        <w:spacing w:line="240" w:lineRule="auto" w:before="44"/>
        <w:ind w:right="1100"/>
        <w:jc w:val="left"/>
      </w:pPr>
      <w:r>
        <w:rPr/>
        <w:t>按单项计提坏账准备：单项金额不重大但单独计提坏账准备</w:t>
      </w:r>
    </w:p>
    <w:p>
      <w:pPr>
        <w:pStyle w:val="BodyText"/>
        <w:spacing w:line="240" w:lineRule="auto" w:before="11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486,000.00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486,000.00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39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420,756.00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420,756.00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210,000.00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210,000.00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无法收回</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180,000.00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180,000.00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零散客户</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63,988.85</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63,988.85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39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1,360,744.85</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1,360,744.85</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4"/>
        <w:ind w:right="1100"/>
        <w:jc w:val="left"/>
      </w:pPr>
      <w:r>
        <w:rPr/>
        <w:t>按组合计提坏账准备：信用风险特征组合</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390" w:hRule="exact"/>
        </w:trPr>
        <w:tc>
          <w:tcPr>
            <w:tcW w:w="238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94"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2388" w:type="dxa"/>
            <w:vMerge/>
            <w:tcBorders>
              <w:left w:val="single" w:sz="6" w:space="0" w:color="000000"/>
              <w:bottom w:val="single" w:sz="6" w:space="0" w:color="000000"/>
              <w:right w:val="single" w:sz="6" w:space="0" w:color="000000"/>
            </w:tcBorders>
            <w:shd w:val="clear" w:color="auto" w:fill="D2D2D2"/>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年，以下同）</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125,987,523.63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6,299,376.22</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3,921,522.10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392,152.22</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10.00%</w:t>
            </w:r>
            <w:r>
              <w:rPr>
                <w:rFonts w:ascii="Times New Roman"/>
                <w:sz w:val="18"/>
              </w:rPr>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1,076,842.61</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323,052.78</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30.00%</w:t>
            </w:r>
            <w:r>
              <w:rPr>
                <w:rFonts w:ascii="Times New Roman"/>
                <w:sz w:val="18"/>
              </w:rPr>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778,237.08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778,237.08</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131,764,125.42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7,792,818.30</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2" w:lineRule="auto" w:before="44"/>
        <w:ind w:right="1749"/>
        <w:jc w:val="left"/>
      </w:pPr>
      <w:r>
        <w:rPr/>
        <w:t>确定该组合依据的说明： 如是按照预期信用损失一般模型计提应收账款坏账准备，请参照其他应收款的披露方式披露坏账准备的相关信息：</w:t>
      </w:r>
    </w:p>
    <w:p>
      <w:pPr>
        <w:spacing w:after="0" w:line="352" w:lineRule="auto"/>
        <w:jc w:val="left"/>
        <w:sectPr>
          <w:pgSz w:w="11910" w:h="16850"/>
          <w:pgMar w:header="731" w:footer="981" w:top="1040" w:bottom="1180" w:left="1000" w:right="0"/>
        </w:sectPr>
      </w:pPr>
    </w:p>
    <w:p>
      <w:pPr>
        <w:pStyle w:val="BodyText"/>
        <w:spacing w:line="316" w:lineRule="auto" w:before="5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9"/>
          <w:szCs w:val="19"/>
        </w:rPr>
      </w:pPr>
    </w:p>
    <w:p>
      <w:pPr>
        <w:pStyle w:val="BodyText"/>
        <w:spacing w:line="240" w:lineRule="auto"/>
        <w:ind w:right="0"/>
        <w:jc w:val="left"/>
      </w:pPr>
      <w:r>
        <w:rPr/>
        <w:t>单位： 元</w:t>
      </w:r>
    </w:p>
    <w:p>
      <w:pPr>
        <w:spacing w:after="0" w:line="240" w:lineRule="auto"/>
        <w:jc w:val="left"/>
        <w:sectPr>
          <w:type w:val="continuous"/>
          <w:pgSz w:w="11910" w:h="16850"/>
          <w:pgMar w:top="1040" w:bottom="1180" w:left="1000" w:right="0"/>
          <w:cols w:num="2" w:equalWidth="0">
            <w:col w:w="1538" w:space="7308"/>
            <w:col w:w="2064"/>
          </w:cols>
        </w:sectPr>
      </w:pP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4776"/>
        <w:gridCol w:w="4798"/>
      </w:tblGrid>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账龄</w:t>
            </w:r>
          </w:p>
        </w:tc>
        <w:tc>
          <w:tcPr>
            <w:tcW w:w="47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1"/>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126,521,579.63</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3,921,522.10</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1,683,531.46</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998,237.08</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759,678.97</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210,454.80</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28,103.31</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133,124,870.27</w:t>
            </w:r>
          </w:p>
        </w:tc>
      </w:tr>
    </w:tbl>
    <w:p>
      <w:pPr>
        <w:pStyle w:val="BodyText"/>
        <w:spacing w:line="240" w:lineRule="auto" w:before="59"/>
        <w:ind w:right="1100"/>
        <w:jc w:val="left"/>
      </w:pPr>
      <w:r>
        <w:rPr/>
        <w:t>公司需要遵守《深圳证券交易所行业信息披露指引第</w:t>
      </w:r>
      <w:r>
        <w:rPr>
          <w:spacing w:val="-40"/>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6"/>
        <w:rPr>
          <w:rFonts w:ascii="宋体" w:hAnsi="宋体" w:cs="宋体" w:eastAsia="宋体" w:hint="default"/>
          <w:sz w:val="26"/>
          <w:szCs w:val="26"/>
        </w:rPr>
      </w:pPr>
    </w:p>
    <w:p>
      <w:pPr>
        <w:pStyle w:val="Heading4"/>
        <w:spacing w:line="240" w:lineRule="auto"/>
        <w:ind w:right="1100"/>
        <w:jc w:val="left"/>
        <w:rPr>
          <w:b w:val="0"/>
          <w:bCs w:val="0"/>
        </w:rPr>
      </w:pPr>
      <w:bookmarkStart w:name="（2）本期计提、收回或转回的坏账准备情况" w:id="225"/>
      <w:bookmarkEnd w:id="22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1100"/>
        <w:jc w:val="left"/>
      </w:pPr>
      <w:r>
        <w:rPr/>
        <w:t>本期计提坏账准备情况：</w:t>
      </w:r>
    </w:p>
    <w:p>
      <w:pPr>
        <w:pStyle w:val="BodyText"/>
        <w:spacing w:line="240" w:lineRule="auto" w:before="12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6"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82"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核销</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按单项计提坏账 准备</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1,274,994.85</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15" w:right="0"/>
              <w:jc w:val="left"/>
              <w:rPr>
                <w:rFonts w:ascii="Times New Roman" w:hAnsi="Times New Roman" w:cs="Times New Roman" w:eastAsia="Times New Roman" w:hint="default"/>
                <w:sz w:val="18"/>
                <w:szCs w:val="18"/>
              </w:rPr>
            </w:pPr>
            <w:r>
              <w:rPr>
                <w:rFonts w:ascii="Times New Roman"/>
                <w:sz w:val="18"/>
              </w:rPr>
              <w:t>85,750.00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75" w:right="0"/>
              <w:jc w:val="left"/>
              <w:rPr>
                <w:rFonts w:ascii="Times New Roman" w:hAnsi="Times New Roman" w:cs="Times New Roman" w:eastAsia="Times New Roman" w:hint="default"/>
                <w:sz w:val="18"/>
                <w:szCs w:val="18"/>
              </w:rPr>
            </w:pPr>
            <w:r>
              <w:rPr>
                <w:rFonts w:ascii="Times New Roman"/>
                <w:sz w:val="18"/>
              </w:rPr>
              <w:t>1,360,744.85</w:t>
            </w:r>
          </w:p>
        </w:tc>
      </w:tr>
    </w:tbl>
    <w:p>
      <w:pPr>
        <w:spacing w:after="0" w:line="240" w:lineRule="auto"/>
        <w:jc w:val="left"/>
        <w:rPr>
          <w:rFonts w:ascii="Times New Roman" w:hAnsi="Times New Roman" w:cs="Times New Roman" w:eastAsia="Times New Roman" w:hint="default"/>
          <w:sz w:val="18"/>
          <w:szCs w:val="18"/>
        </w:rPr>
        <w:sectPr>
          <w:type w:val="continuous"/>
          <w:pgSz w:w="11910" w:h="16850"/>
          <w:pgMar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按组合计提坏账 准备</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5,589,549.44</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2,192,024.69</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11,244.17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7,792,818.30</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6,864,544.29</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2,277,774.69</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11,244.17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9,153,563.15</w:t>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3）按欠款方归集的期末余额前五名的应收账款情况" w:id="226"/>
      <w:bookmarkEnd w:id="226"/>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82"/>
        <w:gridCol w:w="2538"/>
        <w:gridCol w:w="2523"/>
        <w:gridCol w:w="2538"/>
      </w:tblGrid>
      <w:tr>
        <w:trPr>
          <w:trHeight w:val="721" w:hRule="exact"/>
        </w:trPr>
        <w:tc>
          <w:tcPr>
            <w:tcW w:w="19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1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066" w:right="92"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4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5"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9,162,800.00</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6.88%</w:t>
            </w:r>
            <w:r>
              <w:rPr>
                <w:rFonts w:ascii="Times New Roman"/>
                <w:sz w:val="18"/>
              </w:rPr>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458,140.00</w:t>
            </w:r>
          </w:p>
        </w:tc>
      </w:tr>
      <w:tr>
        <w:trPr>
          <w:trHeight w:val="405"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8,267,851.03</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6.21%</w:t>
            </w:r>
            <w:r>
              <w:rPr>
                <w:rFonts w:ascii="Times New Roman"/>
                <w:sz w:val="18"/>
              </w:rPr>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413,392.55</w:t>
            </w:r>
          </w:p>
        </w:tc>
      </w:tr>
      <w:tr>
        <w:trPr>
          <w:trHeight w:val="391"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6,886,520.00</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5.17%</w:t>
            </w:r>
            <w:r>
              <w:rPr>
                <w:rFonts w:ascii="Times New Roman"/>
                <w:sz w:val="18"/>
              </w:rPr>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344,326.00</w:t>
            </w:r>
          </w:p>
        </w:tc>
      </w:tr>
      <w:tr>
        <w:trPr>
          <w:trHeight w:val="406"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6,251,480.00</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4.70%</w:t>
            </w:r>
            <w:r>
              <w:rPr>
                <w:rFonts w:ascii="Times New Roman"/>
                <w:sz w:val="18"/>
              </w:rPr>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312,574.00</w:t>
            </w:r>
          </w:p>
        </w:tc>
      </w:tr>
      <w:tr>
        <w:trPr>
          <w:trHeight w:val="405"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5,737,792.30</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4.31%</w:t>
            </w:r>
            <w:r>
              <w:rPr>
                <w:rFonts w:ascii="Times New Roman"/>
                <w:sz w:val="18"/>
              </w:rPr>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286,889.62</w:t>
            </w:r>
          </w:p>
        </w:tc>
      </w:tr>
      <w:tr>
        <w:trPr>
          <w:trHeight w:val="390" w:hRule="exact"/>
        </w:trPr>
        <w:tc>
          <w:tcPr>
            <w:tcW w:w="19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36,306,443.33</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27.27%</w:t>
            </w:r>
            <w:r>
              <w:rPr>
                <w:rFonts w:ascii="Times New Roman"/>
                <w:sz w:val="18"/>
              </w:rPr>
            </w:r>
          </w:p>
        </w:tc>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5、预付款项" w:id="227"/>
      <w:bookmarkEnd w:id="227"/>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1100"/>
        <w:jc w:val="left"/>
        <w:rPr>
          <w:b w:val="0"/>
          <w:bCs w:val="0"/>
        </w:rPr>
      </w:pPr>
      <w:bookmarkStart w:name="（1）预付款项按账龄列示" w:id="228"/>
      <w:bookmarkEnd w:id="228"/>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203" w:hRule="exact"/>
        </w:trPr>
        <w:tc>
          <w:tcPr>
            <w:tcW w:w="1892" w:type="dxa"/>
            <w:tcBorders>
              <w:top w:val="single" w:sz="6" w:space="0" w:color="000000"/>
              <w:left w:val="single" w:sz="6" w:space="0" w:color="000000"/>
              <w:bottom w:val="nil" w:sz="6" w:space="0" w:color="auto"/>
              <w:right w:val="single" w:sz="6" w:space="0" w:color="000000"/>
            </w:tcBorders>
            <w:shd w:val="clear" w:color="auto" w:fill="D2D2D2"/>
          </w:tcPr>
          <w:p>
            <w:pPr/>
          </w:p>
        </w:tc>
        <w:tc>
          <w:tcPr>
            <w:tcW w:w="3852"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2" w:hRule="exact"/>
        </w:trPr>
        <w:tc>
          <w:tcPr>
            <w:tcW w:w="189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52" w:type="dxa"/>
            <w:gridSpan w:val="2"/>
            <w:vMerge/>
            <w:tcBorders>
              <w:left w:val="single" w:sz="6" w:space="0" w:color="000000"/>
              <w:bottom w:val="single" w:sz="6" w:space="0" w:color="000000"/>
              <w:right w:val="single" w:sz="6" w:space="0" w:color="000000"/>
            </w:tcBorders>
            <w:shd w:val="clear" w:color="auto" w:fill="D2D2D2"/>
          </w:tcPr>
          <w:p>
            <w:pPr/>
          </w:p>
        </w:tc>
        <w:tc>
          <w:tcPr>
            <w:tcW w:w="3830" w:type="dxa"/>
            <w:gridSpan w:val="2"/>
            <w:vMerge/>
            <w:tcBorders>
              <w:left w:val="single" w:sz="6" w:space="0" w:color="000000"/>
              <w:bottom w:val="single" w:sz="6" w:space="0" w:color="000000"/>
              <w:right w:val="single" w:sz="6" w:space="0" w:color="000000"/>
            </w:tcBorders>
            <w:shd w:val="clear" w:color="auto" w:fill="D2D2D2"/>
          </w:tcPr>
          <w:p>
            <w:pPr/>
          </w:p>
        </w:tc>
      </w:tr>
      <w:tr>
        <w:trPr>
          <w:trHeight w:val="188" w:hRule="exact"/>
        </w:trPr>
        <w:tc>
          <w:tcPr>
            <w:tcW w:w="1892" w:type="dxa"/>
            <w:vMerge/>
            <w:tcBorders>
              <w:left w:val="single" w:sz="6" w:space="0" w:color="000000"/>
              <w:bottom w:val="nil" w:sz="6" w:space="0" w:color="auto"/>
              <w:right w:val="single" w:sz="6" w:space="0" w:color="000000"/>
            </w:tcBorders>
            <w:shd w:val="clear" w:color="auto" w:fill="D2D2D2"/>
          </w:tcPr>
          <w:p>
            <w:pPr/>
          </w:p>
        </w:tc>
        <w:tc>
          <w:tcPr>
            <w:tcW w:w="193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2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2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14"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14"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3" w:hRule="exact"/>
        </w:trPr>
        <w:tc>
          <w:tcPr>
            <w:tcW w:w="1892" w:type="dxa"/>
            <w:tcBorders>
              <w:top w:val="nil" w:sz="6" w:space="0" w:color="auto"/>
              <w:left w:val="single" w:sz="6" w:space="0" w:color="000000"/>
              <w:bottom w:val="single" w:sz="6" w:space="0" w:color="000000"/>
              <w:right w:val="single" w:sz="6" w:space="0" w:color="000000"/>
            </w:tcBorders>
            <w:shd w:val="clear" w:color="auto" w:fill="D2D2D2"/>
          </w:tcPr>
          <w:p>
            <w:pPr/>
          </w:p>
        </w:tc>
        <w:tc>
          <w:tcPr>
            <w:tcW w:w="1930" w:type="dxa"/>
            <w:vMerge/>
            <w:tcBorders>
              <w:left w:val="single" w:sz="6" w:space="0" w:color="000000"/>
              <w:bottom w:val="single" w:sz="6" w:space="0" w:color="000000"/>
              <w:right w:val="single" w:sz="6" w:space="0" w:color="000000"/>
            </w:tcBorders>
            <w:shd w:val="clear" w:color="auto" w:fill="D2D2D2"/>
          </w:tcPr>
          <w:p>
            <w:pPr/>
          </w:p>
        </w:tc>
        <w:tc>
          <w:tcPr>
            <w:tcW w:w="1923" w:type="dxa"/>
            <w:vMerge/>
            <w:tcBorders>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15,340,139.17</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w w:val="95"/>
                <w:sz w:val="18"/>
              </w:rPr>
              <w:t>97.15%</w:t>
            </w:r>
            <w:r>
              <w:rPr>
                <w:rFonts w:ascii="Times New Roman"/>
                <w:sz w:val="18"/>
              </w:rPr>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12,781,939.18</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w w:val="95"/>
                <w:sz w:val="18"/>
              </w:rPr>
              <w:t>97.11%</w:t>
            </w:r>
            <w:r>
              <w:rPr>
                <w:rFonts w:ascii="Times New Roman"/>
                <w:sz w:val="18"/>
              </w:rPr>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265,276.29</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1.68%</w:t>
            </w:r>
            <w:r>
              <w:rPr>
                <w:rFonts w:ascii="Times New Roman"/>
                <w:sz w:val="18"/>
              </w:rPr>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184,303.73</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1.40%</w:t>
            </w:r>
            <w:r>
              <w:rPr>
                <w:rFonts w:ascii="Times New Roman"/>
                <w:sz w:val="18"/>
              </w:rPr>
            </w: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37,998.01</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0.24%</w:t>
            </w:r>
            <w:r>
              <w:rPr>
                <w:rFonts w:ascii="Times New Roman"/>
                <w:sz w:val="18"/>
              </w:rPr>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146,270.00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0.93%</w:t>
            </w:r>
            <w:r>
              <w:rPr>
                <w:rFonts w:ascii="Times New Roman"/>
                <w:sz w:val="18"/>
              </w:rPr>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196,270.00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1.49%</w:t>
            </w:r>
            <w:r>
              <w:rPr>
                <w:rFonts w:ascii="Times New Roman"/>
                <w:sz w:val="18"/>
              </w:rPr>
            </w:r>
          </w:p>
        </w:tc>
      </w:tr>
      <w:tr>
        <w:trPr>
          <w:trHeight w:val="391"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12" w:space="0" w:color="D2D2D2"/>
              <w:bottom w:val="single" w:sz="6" w:space="0" w:color="000000"/>
              <w:right w:val="single" w:sz="18" w:space="0" w:color="D2D2D2"/>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z w:val="18"/>
              </w:rPr>
              <w:t>15,789,683.47</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5" w:right="0"/>
              <w:jc w:val="center"/>
              <w:rPr>
                <w:rFonts w:ascii="Times New Roman" w:hAnsi="Times New Roman" w:cs="Times New Roman" w:eastAsia="Times New Roman" w:hint="default"/>
                <w:sz w:val="18"/>
                <w:szCs w:val="18"/>
              </w:rPr>
            </w:pPr>
            <w:r>
              <w:rPr>
                <w:rFonts w:ascii="Times New Roman"/>
                <w:sz w:val="18"/>
              </w:rPr>
              <w:t>--</w:t>
            </w:r>
          </w:p>
        </w:tc>
        <w:tc>
          <w:tcPr>
            <w:tcW w:w="190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13,162,512.91</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9"/>
        <w:ind w:right="1100"/>
        <w:jc w:val="left"/>
      </w:pPr>
      <w:r>
        <w:rPr/>
        <w:t>账龄超过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6"/>
        <w:rPr>
          <w:rFonts w:ascii="宋体" w:hAnsi="宋体" w:cs="宋体" w:eastAsia="宋体" w:hint="default"/>
          <w:sz w:val="26"/>
          <w:szCs w:val="26"/>
        </w:rPr>
      </w:pPr>
    </w:p>
    <w:p>
      <w:pPr>
        <w:pStyle w:val="Heading4"/>
        <w:spacing w:line="240" w:lineRule="auto"/>
        <w:ind w:right="1100"/>
        <w:jc w:val="left"/>
        <w:rPr>
          <w:b w:val="0"/>
          <w:bCs w:val="0"/>
        </w:rPr>
      </w:pPr>
      <w:bookmarkStart w:name="（2）按预付对象归集的期末余额前五名的预付款情况" w:id="229"/>
      <w:bookmarkEnd w:id="229"/>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
        <w:rPr>
          <w:rFonts w:ascii="宋体" w:hAnsi="宋体" w:cs="宋体" w:eastAsia="宋体" w:hint="default"/>
          <w:b/>
          <w:bCs/>
          <w:sz w:val="24"/>
          <w:szCs w:val="24"/>
        </w:rPr>
      </w:pPr>
    </w:p>
    <w:tbl>
      <w:tblPr>
        <w:tblW w:w="0" w:type="auto"/>
        <w:jc w:val="left"/>
        <w:tblInd w:w="126" w:type="dxa"/>
        <w:tblLayout w:type="fixed"/>
        <w:tblCellMar>
          <w:top w:w="0" w:type="dxa"/>
          <w:left w:w="0" w:type="dxa"/>
          <w:bottom w:w="0" w:type="dxa"/>
          <w:right w:w="0" w:type="dxa"/>
        </w:tblCellMar>
        <w:tblLook w:val="01E0"/>
      </w:tblPr>
      <w:tblGrid>
        <w:gridCol w:w="4281"/>
        <w:gridCol w:w="2358"/>
        <w:gridCol w:w="2163"/>
      </w:tblGrid>
      <w:tr>
        <w:trPr>
          <w:trHeight w:val="660" w:hRule="exact"/>
        </w:trPr>
        <w:tc>
          <w:tcPr>
            <w:tcW w:w="4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4"/>
              <w:ind w:left="435" w:right="75" w:hanging="361"/>
              <w:jc w:val="left"/>
              <w:rPr>
                <w:rFonts w:ascii="宋体" w:hAnsi="宋体" w:cs="宋体" w:eastAsia="宋体" w:hint="default"/>
                <w:sz w:val="18"/>
                <w:szCs w:val="18"/>
              </w:rPr>
            </w:pPr>
            <w:r>
              <w:rPr>
                <w:rFonts w:ascii="宋体" w:hAnsi="宋体" w:cs="宋体" w:eastAsia="宋体" w:hint="default"/>
                <w:b/>
                <w:bCs/>
                <w:sz w:val="18"/>
                <w:szCs w:val="18"/>
              </w:rPr>
              <w:t>占预付款项期末余额合计</w:t>
            </w:r>
            <w:r>
              <w:rPr>
                <w:rFonts w:ascii="宋体" w:hAnsi="宋体" w:cs="宋体" w:eastAsia="宋体" w:hint="default"/>
                <w:b/>
                <w:bCs/>
                <w:spacing w:val="-85"/>
                <w:sz w:val="18"/>
                <w:szCs w:val="18"/>
              </w:rPr>
              <w:t> </w:t>
            </w:r>
            <w:r>
              <w:rPr>
                <w:rFonts w:ascii="宋体" w:hAnsi="宋体" w:cs="宋体" w:eastAsia="宋体" w:hint="default"/>
                <w:b/>
                <w:bCs/>
                <w:spacing w:val="-85"/>
                <w:sz w:val="18"/>
                <w:szCs w:val="18"/>
              </w:rPr>
            </w:r>
            <w:r>
              <w:rPr>
                <w:rFonts w:ascii="宋体" w:hAnsi="宋体" w:cs="宋体" w:eastAsia="宋体" w:hint="default"/>
                <w:b/>
                <w:bCs/>
                <w:sz w:val="18"/>
                <w:szCs w:val="18"/>
              </w:rPr>
              <w:t>数的比例（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45" w:hRule="exact"/>
        </w:trPr>
        <w:tc>
          <w:tcPr>
            <w:tcW w:w="428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成都锐成芯微科技股份有限公司</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2,448,404.46</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15.51</w:t>
            </w:r>
          </w:p>
        </w:tc>
      </w:tr>
      <w:tr>
        <w:trPr>
          <w:trHeight w:val="345" w:hRule="exact"/>
        </w:trPr>
        <w:tc>
          <w:tcPr>
            <w:tcW w:w="428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上海华虹宏力半导体制造有限公司</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2,064,881.79</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13.08</w:t>
            </w:r>
          </w:p>
        </w:tc>
      </w:tr>
      <w:tr>
        <w:trPr>
          <w:trHeight w:val="330" w:hRule="exact"/>
        </w:trPr>
        <w:tc>
          <w:tcPr>
            <w:tcW w:w="4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深圳金士盾科技实业有限公司</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1,090,000.00</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6.90</w:t>
            </w:r>
          </w:p>
        </w:tc>
      </w:tr>
      <w:tr>
        <w:trPr>
          <w:trHeight w:val="345" w:hRule="exact"/>
        </w:trPr>
        <w:tc>
          <w:tcPr>
            <w:tcW w:w="4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上海零零智能科技有限公司</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936,000.00</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5.93</w:t>
            </w:r>
          </w:p>
        </w:tc>
      </w:tr>
      <w:tr>
        <w:trPr>
          <w:trHeight w:val="345" w:hRule="exact"/>
        </w:trPr>
        <w:tc>
          <w:tcPr>
            <w:tcW w:w="4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北京城建天麓房地产开发有限公司</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929,611.92</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5.89</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b/>
          <w:bCs/>
          <w:sz w:val="29"/>
          <w:szCs w:val="29"/>
        </w:rPr>
      </w:pPr>
    </w:p>
    <w:tbl>
      <w:tblPr>
        <w:tblW w:w="0" w:type="auto"/>
        <w:jc w:val="left"/>
        <w:tblInd w:w="126" w:type="dxa"/>
        <w:tblLayout w:type="fixed"/>
        <w:tblCellMar>
          <w:top w:w="0" w:type="dxa"/>
          <w:left w:w="0" w:type="dxa"/>
          <w:bottom w:w="0" w:type="dxa"/>
          <w:right w:w="0" w:type="dxa"/>
        </w:tblCellMar>
        <w:tblLook w:val="01E0"/>
      </w:tblPr>
      <w:tblGrid>
        <w:gridCol w:w="4281"/>
        <w:gridCol w:w="2358"/>
        <w:gridCol w:w="2163"/>
      </w:tblGrid>
      <w:tr>
        <w:trPr>
          <w:trHeight w:val="330" w:hRule="exact"/>
        </w:trPr>
        <w:tc>
          <w:tcPr>
            <w:tcW w:w="428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2358" w:type="dxa"/>
            <w:tcBorders>
              <w:top w:val="single" w:sz="6" w:space="0" w:color="000000"/>
              <w:left w:val="single" w:sz="6" w:space="0" w:color="000000"/>
              <w:bottom w:val="single" w:sz="36" w:space="0" w:color="000000"/>
              <w:right w:val="single" w:sz="6" w:space="0" w:color="000000"/>
            </w:tcBorders>
          </w:tcPr>
          <w:p>
            <w:pPr>
              <w:pStyle w:val="TableParagraph"/>
              <w:spacing w:line="240" w:lineRule="auto" w:before="57"/>
              <w:ind w:left="1396" w:right="0"/>
              <w:jc w:val="left"/>
              <w:rPr>
                <w:rFonts w:ascii="Times New Roman" w:hAnsi="Times New Roman" w:cs="Times New Roman" w:eastAsia="Times New Roman" w:hint="default"/>
                <w:sz w:val="18"/>
                <w:szCs w:val="18"/>
              </w:rPr>
            </w:pPr>
            <w:r>
              <w:rPr>
                <w:rFonts w:ascii="Times New Roman"/>
                <w:sz w:val="18"/>
              </w:rPr>
              <w:t>7,468,898.17</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47.31</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1"/>
          <w:szCs w:val="21"/>
        </w:rPr>
      </w:pPr>
    </w:p>
    <w:p>
      <w:pPr>
        <w:pStyle w:val="Heading4"/>
        <w:spacing w:line="240" w:lineRule="auto" w:before="35"/>
        <w:ind w:right="1100"/>
        <w:jc w:val="left"/>
        <w:rPr>
          <w:b w:val="0"/>
          <w:bCs w:val="0"/>
        </w:rPr>
      </w:pPr>
      <w:bookmarkStart w:name="6、其他应收款" w:id="230"/>
      <w:bookmarkEnd w:id="230"/>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6,444.44</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15,583,376.41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8,836,478.76</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15,589,820.85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8,836,478.76</w:t>
            </w:r>
          </w:p>
        </w:tc>
      </w:tr>
    </w:tbl>
    <w:p>
      <w:pPr>
        <w:spacing w:line="240" w:lineRule="auto" w:before="11"/>
        <w:rPr>
          <w:rFonts w:ascii="宋体" w:hAnsi="宋体" w:cs="宋体" w:eastAsia="宋体" w:hint="default"/>
          <w:sz w:val="19"/>
          <w:szCs w:val="19"/>
        </w:rPr>
      </w:pPr>
    </w:p>
    <w:p>
      <w:pPr>
        <w:pStyle w:val="Heading4"/>
        <w:spacing w:line="508" w:lineRule="auto" w:before="35"/>
        <w:ind w:right="9129"/>
        <w:jc w:val="left"/>
        <w:rPr>
          <w:b w:val="0"/>
          <w:bCs w:val="0"/>
        </w:rPr>
      </w:pPr>
      <w:bookmarkStart w:name="（1）应收利息" w:id="231"/>
      <w:bookmarkEnd w:id="231"/>
      <w:r>
        <w:rPr>
          <w:b w:val="0"/>
          <w:bCs w:val="0"/>
        </w:rPr>
      </w:r>
      <w:r>
        <w:rPr/>
        <w:t>（</w:t>
      </w:r>
      <w:r>
        <w:rPr>
          <w:rFonts w:ascii="Times New Roman" w:hAnsi="Times New Roman" w:cs="Times New Roman" w:eastAsia="Times New Roman" w:hint="default"/>
        </w:rPr>
        <w:t>1</w:t>
      </w:r>
      <w:r>
        <w:rPr/>
        <w:t>）应收利息</w:t>
      </w:r>
      <w:r>
        <w:rPr>
          <w:w w:val="99"/>
        </w:rPr>
        <w:t> </w:t>
      </w:r>
      <w:bookmarkStart w:name="1）应收利息分类" w:id="232"/>
      <w:bookmarkEnd w:id="232"/>
      <w:r>
        <w:rPr>
          <w:w w:val="99"/>
        </w:rPr>
      </w:r>
      <w:r>
        <w:rPr>
          <w:rFonts w:ascii="Times New Roman" w:hAnsi="Times New Roman" w:cs="Times New Roman" w:eastAsia="Times New Roman" w:hint="default"/>
          <w:w w:val="95"/>
        </w:rPr>
        <w:t>1</w:t>
      </w:r>
      <w:r>
        <w:rPr>
          <w:w w:val="95"/>
        </w:rPr>
        <w:t>）应收利息分类</w:t>
      </w:r>
      <w:r>
        <w:rPr>
          <w:b w:val="0"/>
          <w:bCs w:val="0"/>
        </w:rPr>
      </w:r>
    </w:p>
    <w:p>
      <w:pPr>
        <w:pStyle w:val="BodyText"/>
        <w:spacing w:line="240" w:lineRule="auto" w:before="69"/>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6,444.44</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6,444.44</w:t>
            </w:r>
          </w:p>
        </w:tc>
        <w:tc>
          <w:tcPr>
            <w:tcW w:w="319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4"/>
        <w:spacing w:line="508" w:lineRule="auto" w:before="35"/>
        <w:ind w:right="7481"/>
        <w:jc w:val="left"/>
        <w:rPr>
          <w:b w:val="0"/>
          <w:bCs w:val="0"/>
        </w:rPr>
      </w:pPr>
      <w:bookmarkStart w:name="（2）其他应收款" w:id="233"/>
      <w:bookmarkEnd w:id="233"/>
      <w:r>
        <w:rPr>
          <w:b w:val="0"/>
          <w:bCs w:val="0"/>
        </w:rPr>
      </w:r>
      <w:r>
        <w:rPr/>
        <w:t>（</w:t>
      </w:r>
      <w:r>
        <w:rPr>
          <w:rFonts w:ascii="Times New Roman" w:hAnsi="Times New Roman" w:cs="Times New Roman" w:eastAsia="Times New Roman" w:hint="default"/>
        </w:rPr>
        <w:t>2</w:t>
      </w:r>
      <w:r>
        <w:rPr/>
        <w:t>）其他应收款</w:t>
      </w:r>
      <w:r>
        <w:rPr>
          <w:w w:val="99"/>
        </w:rPr>
        <w:t> </w:t>
      </w:r>
      <w:bookmarkStart w:name="1）其他应收款按款项性质分类情况" w:id="234"/>
      <w:bookmarkEnd w:id="234"/>
      <w:r>
        <w:rPr>
          <w:w w:val="99"/>
        </w:rPr>
      </w:r>
      <w:r>
        <w:rPr>
          <w:rFonts w:ascii="Times New Roman" w:hAnsi="Times New Roman" w:cs="Times New Roman" w:eastAsia="Times New Roman" w:hint="default"/>
        </w:rPr>
        <w:t>1</w:t>
      </w:r>
      <w:r>
        <w:rPr/>
        <w:t>）其他应收款按款项性质分类情况</w:t>
      </w:r>
      <w:r>
        <w:rPr>
          <w:b w:val="0"/>
          <w:bCs w:val="0"/>
        </w:rPr>
      </w:r>
    </w:p>
    <w:p>
      <w:pPr>
        <w:pStyle w:val="BodyText"/>
        <w:spacing w:line="240" w:lineRule="auto" w:before="69"/>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8,564,473.64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7,798,569.35</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1,056,569.21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1,037,909.41</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5,906,252.06</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631,063.65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572,712.15</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16,158,358.56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9,409,190.91</w:t>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2）坏账准备计提情况" w:id="235"/>
      <w:bookmarkEnd w:id="235"/>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922"/>
        <w:gridCol w:w="1630"/>
        <w:gridCol w:w="2118"/>
        <w:gridCol w:w="2102"/>
        <w:gridCol w:w="1802"/>
      </w:tblGrid>
      <w:tr>
        <w:trPr>
          <w:trHeight w:val="405" w:hRule="exact"/>
        </w:trPr>
        <w:tc>
          <w:tcPr>
            <w:tcW w:w="1922" w:type="dxa"/>
            <w:tcBorders>
              <w:top w:val="single" w:sz="6" w:space="0" w:color="000000"/>
              <w:left w:val="single" w:sz="6" w:space="0" w:color="000000"/>
              <w:bottom w:val="nil" w:sz="6" w:space="0" w:color="auto"/>
              <w:right w:val="single" w:sz="6" w:space="0" w:color="000000"/>
            </w:tcBorders>
            <w:shd w:val="clear" w:color="auto" w:fill="D2D2D2"/>
          </w:tcPr>
          <w:p>
            <w:pPr/>
          </w:p>
        </w:tc>
        <w:tc>
          <w:tcPr>
            <w:tcW w:w="16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43"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11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90"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7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1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38" w:hRule="exact"/>
        </w:trPr>
        <w:tc>
          <w:tcPr>
            <w:tcW w:w="19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28" w:lineRule="exact"/>
              <w:ind w:left="57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30" w:type="dxa"/>
            <w:vMerge w:val="restart"/>
            <w:tcBorders>
              <w:top w:val="single" w:sz="6" w:space="0" w:color="000000"/>
              <w:left w:val="single" w:sz="6" w:space="0" w:color="000000"/>
              <w:right w:val="single" w:sz="6" w:space="0" w:color="000000"/>
            </w:tcBorders>
            <w:shd w:val="clear" w:color="auto" w:fill="D2D2D2"/>
          </w:tcPr>
          <w:p>
            <w:pPr>
              <w:pStyle w:val="TableParagraph"/>
              <w:spacing w:line="290" w:lineRule="auto" w:before="45"/>
              <w:ind w:left="533" w:right="44" w:hanging="49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个月预期信 用损失</w:t>
            </w:r>
          </w:p>
        </w:tc>
        <w:tc>
          <w:tcPr>
            <w:tcW w:w="211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95"/>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95"/>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2" w:type="dxa"/>
            <w:vMerge/>
            <w:tcBorders>
              <w:left w:val="single" w:sz="6" w:space="0" w:color="000000"/>
              <w:right w:val="single" w:sz="6" w:space="0" w:color="000000"/>
            </w:tcBorders>
            <w:shd w:val="clear" w:color="auto" w:fill="D2D2D2"/>
          </w:tcPr>
          <w:p>
            <w:pPr/>
          </w:p>
        </w:tc>
      </w:tr>
      <w:tr>
        <w:trPr>
          <w:trHeight w:val="368" w:hRule="exact"/>
        </w:trPr>
        <w:tc>
          <w:tcPr>
            <w:tcW w:w="1922" w:type="dxa"/>
            <w:tcBorders>
              <w:top w:val="nil" w:sz="6" w:space="0" w:color="auto"/>
              <w:left w:val="single" w:sz="6" w:space="0" w:color="000000"/>
              <w:bottom w:val="single" w:sz="6" w:space="0" w:color="000000"/>
              <w:right w:val="single" w:sz="6" w:space="0" w:color="000000"/>
            </w:tcBorders>
            <w:shd w:val="clear" w:color="auto" w:fill="D2D2D2"/>
          </w:tcPr>
          <w:p>
            <w:pPr/>
          </w:p>
        </w:tc>
        <w:tc>
          <w:tcPr>
            <w:tcW w:w="1630" w:type="dxa"/>
            <w:vMerge/>
            <w:tcBorders>
              <w:left w:val="single" w:sz="6" w:space="0" w:color="000000"/>
              <w:bottom w:val="single" w:sz="6" w:space="0" w:color="000000"/>
              <w:right w:val="single" w:sz="6" w:space="0" w:color="000000"/>
            </w:tcBorders>
            <w:shd w:val="clear" w:color="auto" w:fill="D2D2D2"/>
          </w:tcPr>
          <w:p>
            <w:pPr/>
          </w:p>
        </w:tc>
        <w:tc>
          <w:tcPr>
            <w:tcW w:w="2118" w:type="dxa"/>
            <w:vMerge/>
            <w:tcBorders>
              <w:left w:val="single" w:sz="6" w:space="0" w:color="000000"/>
              <w:bottom w:val="single" w:sz="6" w:space="0" w:color="000000"/>
              <w:right w:val="single" w:sz="6" w:space="0" w:color="000000"/>
            </w:tcBorders>
            <w:shd w:val="clear" w:color="auto" w:fill="D2D2D2"/>
          </w:tcPr>
          <w:p>
            <w:pPr/>
          </w:p>
        </w:tc>
        <w:tc>
          <w:tcPr>
            <w:tcW w:w="2102" w:type="dxa"/>
            <w:vMerge/>
            <w:tcBorders>
              <w:left w:val="single" w:sz="6" w:space="0" w:color="000000"/>
              <w:bottom w:val="single" w:sz="6" w:space="0" w:color="000000"/>
              <w:right w:val="single" w:sz="6" w:space="0" w:color="000000"/>
            </w:tcBorders>
            <w:shd w:val="clear" w:color="auto" w:fill="D2D2D2"/>
          </w:tcPr>
          <w:p>
            <w:pP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30" w:type="dxa"/>
            <w:tcBorders>
              <w:top w:val="single" w:sz="6" w:space="0" w:color="000000"/>
              <w:left w:val="single" w:sz="18" w:space="0" w:color="D2D2D2"/>
              <w:bottom w:val="single" w:sz="6" w:space="0" w:color="000000"/>
              <w:right w:val="single" w:sz="6" w:space="0" w:color="000000"/>
            </w:tcBorders>
          </w:tcPr>
          <w:p>
            <w:pPr/>
          </w:p>
        </w:tc>
        <w:tc>
          <w:tcPr>
            <w:tcW w:w="2118"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246" w:right="0"/>
              <w:jc w:val="left"/>
              <w:rPr>
                <w:rFonts w:ascii="Times New Roman" w:hAnsi="Times New Roman" w:cs="Times New Roman" w:eastAsia="Times New Roman" w:hint="default"/>
                <w:sz w:val="18"/>
                <w:szCs w:val="18"/>
              </w:rPr>
            </w:pPr>
            <w:r>
              <w:rPr>
                <w:rFonts w:ascii="Times New Roman"/>
                <w:sz w:val="18"/>
              </w:rPr>
              <w:t>572,712.15</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61" w:right="0"/>
              <w:jc w:val="left"/>
              <w:rPr>
                <w:rFonts w:ascii="Times New Roman" w:hAnsi="Times New Roman" w:cs="Times New Roman" w:eastAsia="Times New Roman" w:hint="default"/>
                <w:sz w:val="18"/>
                <w:szCs w:val="18"/>
              </w:rPr>
            </w:pPr>
            <w:r>
              <w:rPr>
                <w:rFonts w:ascii="Times New Roman"/>
                <w:sz w:val="18"/>
              </w:rPr>
              <w:t>572,712.15</w:t>
            </w:r>
          </w:p>
        </w:tc>
      </w:tr>
    </w:tbl>
    <w:p>
      <w:pPr>
        <w:spacing w:after="0" w:line="240" w:lineRule="auto"/>
        <w:jc w:val="lef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33" w:type="dxa"/>
        <w:tblLayout w:type="fixed"/>
        <w:tblCellMar>
          <w:top w:w="0" w:type="dxa"/>
          <w:left w:w="0" w:type="dxa"/>
          <w:bottom w:w="0" w:type="dxa"/>
          <w:right w:w="0" w:type="dxa"/>
        </w:tblCellMar>
        <w:tblLook w:val="01E0"/>
      </w:tblPr>
      <w:tblGrid>
        <w:gridCol w:w="1900"/>
        <w:gridCol w:w="1667"/>
        <w:gridCol w:w="2103"/>
        <w:gridCol w:w="2102"/>
        <w:gridCol w:w="1802"/>
      </w:tblGrid>
      <w:tr>
        <w:trPr>
          <w:trHeight w:val="158" w:hRule="exact"/>
        </w:trPr>
        <w:tc>
          <w:tcPr>
            <w:tcW w:w="1900" w:type="dxa"/>
            <w:vMerge w:val="restart"/>
            <w:tcBorders>
              <w:top w:val="single" w:sz="6" w:space="0" w:color="000000"/>
              <w:left w:val="single" w:sz="6" w:space="0" w:color="000000"/>
              <w:right w:val="single" w:sz="6" w:space="0" w:color="000000"/>
            </w:tcBorders>
            <w:shd w:val="clear" w:color="auto" w:fill="D2D2D2"/>
          </w:tcPr>
          <w:p>
            <w:pPr>
              <w:pStyle w:val="TableParagraph"/>
              <w:spacing w:line="276" w:lineRule="auto" w:before="59"/>
              <w:ind w:left="7"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日余额在 本期</w:t>
            </w:r>
          </w:p>
        </w:tc>
        <w:tc>
          <w:tcPr>
            <w:tcW w:w="1667" w:type="dxa"/>
            <w:tcBorders>
              <w:top w:val="single" w:sz="6" w:space="0" w:color="000000"/>
              <w:left w:val="single" w:sz="6" w:space="0" w:color="000000"/>
              <w:bottom w:val="nil" w:sz="6" w:space="0" w:color="auto"/>
              <w:right w:val="single" w:sz="6" w:space="0" w:color="000000"/>
            </w:tcBorders>
            <w:shd w:val="clear" w:color="auto" w:fill="D2D2D2"/>
          </w:tcPr>
          <w:p>
            <w:pPr/>
          </w:p>
        </w:tc>
        <w:tc>
          <w:tcPr>
            <w:tcW w:w="2103" w:type="dxa"/>
            <w:tcBorders>
              <w:top w:val="single" w:sz="6" w:space="0" w:color="000000"/>
              <w:left w:val="single" w:sz="6" w:space="0" w:color="000000"/>
              <w:bottom w:val="nil" w:sz="6" w:space="0" w:color="auto"/>
              <w:right w:val="single" w:sz="6" w:space="0" w:color="000000"/>
            </w:tcBorders>
            <w:shd w:val="clear" w:color="auto" w:fill="D2D2D2"/>
          </w:tcPr>
          <w:p>
            <w:pPr/>
          </w:p>
        </w:tc>
        <w:tc>
          <w:tcPr>
            <w:tcW w:w="2102" w:type="dxa"/>
            <w:tcBorders>
              <w:top w:val="single" w:sz="6" w:space="0" w:color="000000"/>
              <w:left w:val="single" w:sz="6" w:space="0" w:color="000000"/>
              <w:bottom w:val="nil" w:sz="6" w:space="0" w:color="auto"/>
              <w:right w:val="single" w:sz="6" w:space="0" w:color="000000"/>
            </w:tcBorders>
            <w:shd w:val="clear" w:color="auto" w:fill="D2D2D2"/>
          </w:tcPr>
          <w:p>
            <w:pPr/>
          </w:p>
        </w:tc>
        <w:tc>
          <w:tcPr>
            <w:tcW w:w="1802"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0" w:hRule="exact"/>
        </w:trPr>
        <w:tc>
          <w:tcPr>
            <w:tcW w:w="1900" w:type="dxa"/>
            <w:vMerge/>
            <w:tcBorders>
              <w:left w:val="single" w:sz="6" w:space="0" w:color="000000"/>
              <w:right w:val="single" w:sz="6" w:space="0" w:color="000000"/>
            </w:tcBorders>
            <w:shd w:val="clear" w:color="auto" w:fill="D2D2D2"/>
          </w:tcPr>
          <w:p>
            <w:pPr/>
          </w:p>
        </w:tc>
        <w:tc>
          <w:tcPr>
            <w:tcW w:w="166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73" w:hRule="exact"/>
        </w:trPr>
        <w:tc>
          <w:tcPr>
            <w:tcW w:w="1900" w:type="dxa"/>
            <w:vMerge/>
            <w:tcBorders>
              <w:left w:val="single" w:sz="6" w:space="0" w:color="000000"/>
              <w:bottom w:val="single" w:sz="6" w:space="0" w:color="000000"/>
              <w:right w:val="single" w:sz="6" w:space="0" w:color="000000"/>
            </w:tcBorders>
            <w:shd w:val="clear" w:color="auto" w:fill="D2D2D2"/>
          </w:tcPr>
          <w:p>
            <w:pPr/>
          </w:p>
        </w:tc>
        <w:tc>
          <w:tcPr>
            <w:tcW w:w="1667" w:type="dxa"/>
            <w:tcBorders>
              <w:top w:val="nil" w:sz="6" w:space="0" w:color="auto"/>
              <w:left w:val="single" w:sz="6" w:space="0" w:color="000000"/>
              <w:bottom w:val="single" w:sz="6" w:space="0" w:color="000000"/>
              <w:right w:val="single" w:sz="6" w:space="0" w:color="000000"/>
            </w:tcBorders>
            <w:shd w:val="clear" w:color="auto" w:fill="D2D2D2"/>
          </w:tcPr>
          <w:p>
            <w:pPr/>
          </w:p>
        </w:tc>
        <w:tc>
          <w:tcPr>
            <w:tcW w:w="2103" w:type="dxa"/>
            <w:tcBorders>
              <w:top w:val="nil" w:sz="6" w:space="0" w:color="auto"/>
              <w:left w:val="single" w:sz="6" w:space="0" w:color="000000"/>
              <w:bottom w:val="single" w:sz="6" w:space="0" w:color="000000"/>
              <w:right w:val="single" w:sz="6" w:space="0" w:color="000000"/>
            </w:tcBorders>
            <w:shd w:val="clear" w:color="auto" w:fill="D2D2D2"/>
          </w:tcPr>
          <w:p>
            <w:pPr/>
          </w:p>
        </w:tc>
        <w:tc>
          <w:tcPr>
            <w:tcW w:w="2102" w:type="dxa"/>
            <w:tcBorders>
              <w:top w:val="nil" w:sz="6" w:space="0" w:color="auto"/>
              <w:left w:val="single" w:sz="6" w:space="0" w:color="000000"/>
              <w:bottom w:val="single" w:sz="6" w:space="0" w:color="000000"/>
              <w:right w:val="single" w:sz="6" w:space="0" w:color="000000"/>
            </w:tcBorders>
            <w:shd w:val="clear" w:color="auto" w:fill="D2D2D2"/>
          </w:tcPr>
          <w:p>
            <w:pP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390"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7" w:type="dxa"/>
            <w:tcBorders>
              <w:top w:val="single" w:sz="6" w:space="0" w:color="000000"/>
              <w:left w:val="single" w:sz="18" w:space="0" w:color="D2D2D2"/>
              <w:bottom w:val="single" w:sz="6" w:space="0" w:color="000000"/>
              <w:right w:val="single" w:sz="6" w:space="0" w:color="000000"/>
            </w:tcBorders>
          </w:tcPr>
          <w:p>
            <w:pP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2,270.00</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2,270.00</w:t>
            </w: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7" w:type="dxa"/>
            <w:tcBorders>
              <w:top w:val="single" w:sz="6" w:space="0" w:color="000000"/>
              <w:left w:val="single" w:sz="18" w:space="0" w:color="D2D2D2"/>
              <w:bottom w:val="single" w:sz="6" w:space="0" w:color="000000"/>
              <w:right w:val="single" w:sz="6" w:space="0" w:color="000000"/>
            </w:tcBorders>
          </w:tcPr>
          <w:p>
            <w:pP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574,982.15</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574,982.15</w:t>
            </w:r>
          </w:p>
        </w:tc>
      </w:tr>
    </w:tbl>
    <w:p>
      <w:pPr>
        <w:pStyle w:val="BodyText"/>
        <w:spacing w:line="240" w:lineRule="auto" w:before="45"/>
        <w:ind w:right="1100"/>
        <w:jc w:val="left"/>
      </w:pPr>
      <w:r>
        <w:rPr/>
        <w:t>损失准备本期变动金额重大的账面余额变动情况</w:t>
      </w:r>
    </w:p>
    <w:p>
      <w:pPr>
        <w:pStyle w:val="BodyText"/>
        <w:spacing w:line="319" w:lineRule="auto" w:before="124"/>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按账龄披露</w:t>
      </w:r>
    </w:p>
    <w:p>
      <w:pPr>
        <w:pStyle w:val="BodyText"/>
        <w:spacing w:line="240" w:lineRule="auto" w:before="6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4776"/>
        <w:gridCol w:w="4798"/>
      </w:tblGrid>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账龄</w:t>
            </w:r>
          </w:p>
        </w:tc>
        <w:tc>
          <w:tcPr>
            <w:tcW w:w="47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1"/>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9,120,782.26</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959,266.60</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2,151,267.45</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3,927,042.25</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102,275.19</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2,571,532.38</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1,253,234.68</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16,158,358.56</w:t>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3）按欠款方归集的期末余额前五名的其他应收款情况" w:id="236"/>
      <w:bookmarkEnd w:id="236"/>
      <w:r>
        <w:rPr>
          <w:b w:val="0"/>
          <w:bCs w:val="0"/>
        </w:rPr>
      </w:r>
      <w:r>
        <w:rPr>
          <w:rFonts w:ascii="Times New Roman" w:hAnsi="Times New Roman" w:cs="Times New Roman" w:eastAsia="Times New Roman" w:hint="default"/>
        </w:rPr>
        <w:t>3</w:t>
      </w:r>
      <w:r>
        <w:rPr/>
        <w:t>）按欠款方归集的期末余额前五名的其他应收款情况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706"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账龄</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5" w:right="6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2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20"/>
              <w:jc w:val="left"/>
              <w:rPr>
                <w:rFonts w:ascii="宋体" w:hAnsi="宋体" w:cs="宋体" w:eastAsia="宋体" w:hint="default"/>
                <w:sz w:val="18"/>
                <w:szCs w:val="18"/>
              </w:rPr>
            </w:pPr>
            <w:r>
              <w:rPr>
                <w:rFonts w:ascii="宋体" w:hAnsi="宋体" w:cs="宋体" w:eastAsia="宋体" w:hint="default"/>
                <w:sz w:val="18"/>
                <w:szCs w:val="18"/>
              </w:rPr>
              <w:t>北京惠通九鼎投资 有限公司</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5,906,252.06</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5"/>
                <w:sz w:val="18"/>
              </w:rPr>
              <w:t>36.55%</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165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07" w:lineRule="auto"/>
              <w:ind w:left="15" w:right="120"/>
              <w:jc w:val="left"/>
              <w:rPr>
                <w:rFonts w:ascii="宋体" w:hAnsi="宋体" w:cs="宋体" w:eastAsia="宋体" w:hint="default"/>
                <w:sz w:val="18"/>
                <w:szCs w:val="18"/>
              </w:rPr>
            </w:pPr>
            <w:r>
              <w:rPr>
                <w:rFonts w:ascii="宋体" w:hAnsi="宋体" w:cs="宋体" w:eastAsia="宋体" w:hint="default"/>
                <w:sz w:val="18"/>
                <w:szCs w:val="18"/>
              </w:rPr>
              <w:t>北京城建天麓房地 产开发有限公司</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房租保证金</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2,788,670.70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p>
            <w:pPr>
              <w:pStyle w:val="TableParagraph"/>
              <w:spacing w:line="240" w:lineRule="auto" w:before="66"/>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492,250.50</w:t>
            </w:r>
            <w:r>
              <w:rPr>
                <w:rFonts w:ascii="宋体" w:hAnsi="宋体" w:cs="宋体" w:eastAsia="宋体" w:hint="default"/>
                <w:sz w:val="18"/>
                <w:szCs w:val="18"/>
              </w:rPr>
              <w:t>；</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p>
            <w:pPr>
              <w:pStyle w:val="TableParagraph"/>
              <w:spacing w:line="240" w:lineRule="auto" w:before="66"/>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88,923.60 </w:t>
            </w:r>
            <w:r>
              <w:rPr>
                <w:rFonts w:ascii="宋体" w:hAnsi="宋体" w:cs="宋体" w:eastAsia="宋体" w:hint="default"/>
                <w:spacing w:val="-9"/>
                <w:sz w:val="18"/>
                <w:szCs w:val="18"/>
              </w:rPr>
              <w:t>元；</w:t>
            </w:r>
            <w:r>
              <w:rPr>
                <w:rFonts w:ascii="Times New Roman" w:hAnsi="Times New Roman" w:cs="Times New Roman" w:eastAsia="Times New Roman" w:hint="default"/>
                <w:spacing w:val="-9"/>
                <w:sz w:val="18"/>
                <w:szCs w:val="18"/>
              </w:rPr>
              <w:t>2-3</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p>
          <w:p>
            <w:pPr>
              <w:pStyle w:val="TableParagraph"/>
              <w:spacing w:line="240" w:lineRule="auto" w:before="66"/>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531,432.00 </w:t>
            </w:r>
            <w:r>
              <w:rPr>
                <w:rFonts w:ascii="宋体" w:hAnsi="宋体" w:cs="宋体" w:eastAsia="宋体" w:hint="default"/>
                <w:sz w:val="18"/>
                <w:szCs w:val="18"/>
              </w:rPr>
              <w:t>元；</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以上</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1,676,064.60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元</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5"/>
                <w:sz w:val="18"/>
              </w:rPr>
              <w:t>17.26%</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20"/>
              <w:jc w:val="left"/>
              <w:rPr>
                <w:rFonts w:ascii="宋体" w:hAnsi="宋体" w:cs="宋体" w:eastAsia="宋体" w:hint="default"/>
                <w:sz w:val="18"/>
                <w:szCs w:val="18"/>
              </w:rPr>
            </w:pPr>
            <w:r>
              <w:rPr>
                <w:rFonts w:ascii="宋体" w:hAnsi="宋体" w:cs="宋体" w:eastAsia="宋体" w:hint="default"/>
                <w:sz w:val="18"/>
                <w:szCs w:val="18"/>
              </w:rPr>
              <w:t>东莞市新太阳企业 开发有限公司</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639,298.00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3.96%</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120"/>
              <w:jc w:val="left"/>
              <w:rPr>
                <w:rFonts w:ascii="宋体" w:hAnsi="宋体" w:cs="宋体" w:eastAsia="宋体" w:hint="default"/>
                <w:sz w:val="18"/>
                <w:szCs w:val="18"/>
              </w:rPr>
            </w:pPr>
            <w:r>
              <w:rPr>
                <w:rFonts w:ascii="宋体" w:hAnsi="宋体" w:cs="宋体" w:eastAsia="宋体" w:hint="default"/>
                <w:sz w:val="18"/>
                <w:szCs w:val="18"/>
              </w:rPr>
              <w:t>深圳市锦弘霖电子 设备有限公司</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600,000.00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3.71%</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巩薇薇等</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572,712.15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3.54%</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572,712.15</w:t>
            </w:r>
          </w:p>
        </w:tc>
      </w:tr>
      <w:tr>
        <w:trPr>
          <w:trHeight w:val="391"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10,506,932.91</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3"/>
              <w:jc w:val="center"/>
              <w:rPr>
                <w:rFonts w:ascii="Times New Roman" w:hAnsi="Times New Roman" w:cs="Times New Roman" w:eastAsia="Times New Roman" w:hint="default"/>
                <w:sz w:val="18"/>
                <w:szCs w:val="18"/>
              </w:rPr>
            </w:pPr>
            <w:r>
              <w:rPr>
                <w:rFonts w:ascii="Times New Roman"/>
                <w:sz w:val="18"/>
              </w:rPr>
              <w:t>--</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w w:val="95"/>
                <w:sz w:val="18"/>
              </w:rPr>
              <w:t>65.02%</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572,712.15</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4"/>
        <w:spacing w:line="240" w:lineRule="auto" w:before="35"/>
        <w:ind w:right="1100"/>
        <w:jc w:val="left"/>
        <w:rPr>
          <w:b w:val="0"/>
          <w:bCs w:val="0"/>
        </w:rPr>
      </w:pPr>
      <w:bookmarkStart w:name="7、存货" w:id="237"/>
      <w:bookmarkEnd w:id="237"/>
      <w:r>
        <w:rPr>
          <w:b w:val="0"/>
          <w:bCs w:val="0"/>
        </w:rPr>
      </w:r>
      <w:r>
        <w:rPr>
          <w:rFonts w:ascii="Times New Roman" w:hAnsi="Times New Roman" w:cs="Times New Roman" w:eastAsia="Times New Roman" w:hint="default"/>
        </w:rPr>
        <w:t>7</w:t>
      </w:r>
      <w:r>
        <w:rPr/>
        <w:t>、存货</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1100"/>
        <w:jc w:val="left"/>
      </w:pPr>
      <w:r>
        <w:rPr/>
        <w:t>是否已执行新收入准则</w:t>
      </w:r>
    </w:p>
    <w:p>
      <w:pPr>
        <w:pStyle w:val="BodyText"/>
        <w:spacing w:line="240" w:lineRule="auto" w:before="125"/>
        <w:ind w:right="110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p>
    <w:p>
      <w:pPr>
        <w:pStyle w:val="Heading4"/>
        <w:spacing w:line="240" w:lineRule="auto" w:before="126"/>
        <w:ind w:right="1100"/>
        <w:jc w:val="left"/>
        <w:rPr>
          <w:b w:val="0"/>
          <w:bCs w:val="0"/>
        </w:rPr>
      </w:pPr>
      <w:bookmarkStart w:name="（1）存货分类" w:id="238"/>
      <w:bookmarkEnd w:id="238"/>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352"/>
        <w:gridCol w:w="1375"/>
        <w:gridCol w:w="1382"/>
        <w:gridCol w:w="1367"/>
        <w:gridCol w:w="1366"/>
        <w:gridCol w:w="1367"/>
        <w:gridCol w:w="1367"/>
      </w:tblGrid>
      <w:tr>
        <w:trPr>
          <w:trHeight w:val="391" w:hRule="exact"/>
        </w:trPr>
        <w:tc>
          <w:tcPr>
            <w:tcW w:w="135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4123"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352" w:type="dxa"/>
            <w:vMerge/>
            <w:tcBorders>
              <w:left w:val="single" w:sz="6" w:space="0" w:color="000000"/>
              <w:bottom w:val="single" w:sz="6" w:space="0" w:color="000000"/>
              <w:right w:val="single" w:sz="6" w:space="0" w:color="000000"/>
            </w:tcBorders>
            <w:shd w:val="clear" w:color="auto" w:fill="D2D2D2"/>
          </w:tcPr>
          <w:p>
            <w:pPr/>
          </w:p>
        </w:tc>
        <w:tc>
          <w:tcPr>
            <w:tcW w:w="13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2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75,751,344.74</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4,171,576.27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71,579,768.47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64,476,733.49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5,454,151.07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59,022,582.42</w:t>
            </w:r>
          </w:p>
        </w:tc>
      </w:tr>
      <w:tr>
        <w:trPr>
          <w:trHeight w:val="406"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5,570,900.76</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5,570,900.76</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6,984,197.79</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6,984,197.79</w:t>
            </w:r>
          </w:p>
        </w:tc>
      </w:tr>
      <w:tr>
        <w:trPr>
          <w:trHeight w:val="406"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76,981,557.92</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2,194,489.08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74,787,068.84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107,586,451.26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3,977,119.54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103,609,331.72</w:t>
            </w:r>
          </w:p>
        </w:tc>
      </w:tr>
      <w:tr>
        <w:trPr>
          <w:trHeight w:val="390"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77,706,102.41</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1,482,618.67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76,223,483.74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94,350,554.36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1,483,375.48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92,867,178.88</w:t>
            </w: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16,208,140.27</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2,930,862.18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13,277,278.09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16,618,457.35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687,217.08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15,931,240.27</w:t>
            </w:r>
          </w:p>
        </w:tc>
      </w:tr>
      <w:tr>
        <w:trPr>
          <w:trHeight w:val="406" w:hRule="exact"/>
        </w:trPr>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104,665,465.51</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104,665,465.51</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164,405,750.94</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164,405,750.94</w:t>
            </w:r>
          </w:p>
        </w:tc>
      </w:tr>
      <w:tr>
        <w:trPr>
          <w:trHeight w:val="390"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356,883,511.61</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10,779,546.20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346,103,965.41</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454,422,145.19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11,601,863.17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442,820,282.02</w:t>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2）存货跌价准备" w:id="239"/>
      <w:bookmarkEnd w:id="239"/>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59"/>
        <w:gridCol w:w="1375"/>
        <w:gridCol w:w="1382"/>
        <w:gridCol w:w="1367"/>
        <w:gridCol w:w="1366"/>
        <w:gridCol w:w="1367"/>
        <w:gridCol w:w="1367"/>
      </w:tblGrid>
      <w:tr>
        <w:trPr>
          <w:trHeight w:val="203" w:hRule="exact"/>
        </w:trPr>
        <w:tc>
          <w:tcPr>
            <w:tcW w:w="1359" w:type="dxa"/>
            <w:tcBorders>
              <w:top w:val="single" w:sz="6" w:space="0" w:color="000000"/>
              <w:left w:val="single" w:sz="6" w:space="0" w:color="000000"/>
              <w:bottom w:val="nil" w:sz="6" w:space="0" w:color="auto"/>
              <w:right w:val="single" w:sz="6" w:space="0" w:color="000000"/>
            </w:tcBorders>
            <w:shd w:val="clear" w:color="auto" w:fill="D2D2D2"/>
          </w:tcPr>
          <w:p>
            <w:pPr/>
          </w:p>
        </w:tc>
        <w:tc>
          <w:tcPr>
            <w:tcW w:w="1375" w:type="dxa"/>
            <w:tcBorders>
              <w:top w:val="single" w:sz="6" w:space="0" w:color="000000"/>
              <w:left w:val="single" w:sz="6" w:space="0" w:color="000000"/>
              <w:bottom w:val="nil" w:sz="6" w:space="0" w:color="auto"/>
              <w:right w:val="single" w:sz="6" w:space="0" w:color="FFFFFF"/>
            </w:tcBorders>
            <w:shd w:val="clear" w:color="auto" w:fill="D2D2D2"/>
          </w:tcPr>
          <w:p>
            <w:pPr/>
          </w:p>
        </w:tc>
        <w:tc>
          <w:tcPr>
            <w:tcW w:w="2749" w:type="dxa"/>
            <w:gridSpan w:val="2"/>
            <w:vMerge w:val="restart"/>
            <w:tcBorders>
              <w:top w:val="single" w:sz="6" w:space="0" w:color="000000"/>
              <w:left w:val="single" w:sz="6" w:space="0" w:color="FFFFFF"/>
              <w:right w:val="single" w:sz="6" w:space="0" w:color="000000"/>
            </w:tcBorders>
            <w:shd w:val="clear" w:color="auto" w:fill="D2D2D2"/>
          </w:tcPr>
          <w:p>
            <w:pPr>
              <w:pStyle w:val="TableParagraph"/>
              <w:spacing w:line="240" w:lineRule="auto" w:before="29"/>
              <w:ind w:left="82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3"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left="81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3" w:hRule="exact"/>
        </w:trPr>
        <w:tc>
          <w:tcPr>
            <w:tcW w:w="135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1375" w:type="dxa"/>
            <w:vMerge w:val="restart"/>
            <w:tcBorders>
              <w:top w:val="nil" w:sz="6" w:space="0" w:color="auto"/>
              <w:left w:val="single" w:sz="6" w:space="0" w:color="000000"/>
              <w:right w:val="single" w:sz="6" w:space="0" w:color="FFFFFF"/>
            </w:tcBorders>
            <w:shd w:val="clear" w:color="auto" w:fill="D2D2D2"/>
          </w:tcPr>
          <w:p>
            <w:pPr>
              <w:pStyle w:val="TableParagraph"/>
              <w:spacing w:line="240" w:lineRule="auto" w:before="44"/>
              <w:ind w:left="32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49" w:type="dxa"/>
            <w:gridSpan w:val="2"/>
            <w:vMerge/>
            <w:tcBorders>
              <w:left w:val="single" w:sz="6" w:space="0" w:color="FFFFFF"/>
              <w:bottom w:val="single" w:sz="6" w:space="0" w:color="000000"/>
              <w:right w:val="single" w:sz="6" w:space="0" w:color="000000"/>
            </w:tcBorders>
            <w:shd w:val="clear" w:color="auto" w:fill="D2D2D2"/>
          </w:tcPr>
          <w:p>
            <w:pPr/>
          </w:p>
        </w:tc>
        <w:tc>
          <w:tcPr>
            <w:tcW w:w="2733" w:type="dxa"/>
            <w:gridSpan w:val="2"/>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right w:val="single" w:sz="6" w:space="0" w:color="000000"/>
            </w:tcBorders>
            <w:shd w:val="clear" w:color="auto" w:fill="D2D2D2"/>
          </w:tcPr>
          <w:p>
            <w:pPr/>
          </w:p>
        </w:tc>
      </w:tr>
      <w:tr>
        <w:trPr>
          <w:trHeight w:val="188" w:hRule="exact"/>
        </w:trPr>
        <w:tc>
          <w:tcPr>
            <w:tcW w:w="1359" w:type="dxa"/>
            <w:vMerge/>
            <w:tcBorders>
              <w:left w:val="single" w:sz="6" w:space="0" w:color="000000"/>
              <w:right w:val="single" w:sz="6" w:space="0" w:color="000000"/>
            </w:tcBorders>
            <w:shd w:val="clear" w:color="auto" w:fill="D2D2D2"/>
          </w:tcPr>
          <w:p>
            <w:pPr/>
          </w:p>
        </w:tc>
        <w:tc>
          <w:tcPr>
            <w:tcW w:w="1375" w:type="dxa"/>
            <w:vMerge/>
            <w:tcBorders>
              <w:left w:val="single" w:sz="6" w:space="0" w:color="000000"/>
              <w:bottom w:val="nil" w:sz="6" w:space="0" w:color="auto"/>
              <w:right w:val="single" w:sz="6" w:space="0" w:color="FFFFFF"/>
            </w:tcBorders>
            <w:shd w:val="clear" w:color="auto" w:fill="D2D2D2"/>
          </w:tcPr>
          <w:p>
            <w:pPr/>
          </w:p>
        </w:tc>
        <w:tc>
          <w:tcPr>
            <w:tcW w:w="1382" w:type="dxa"/>
            <w:vMerge w:val="restart"/>
            <w:tcBorders>
              <w:top w:val="single" w:sz="6" w:space="0" w:color="000000"/>
              <w:left w:val="single" w:sz="6" w:space="0" w:color="FFFFFF"/>
              <w:right w:val="single" w:sz="6" w:space="0" w:color="000000"/>
            </w:tcBorders>
            <w:shd w:val="clear" w:color="auto" w:fill="D2D2D2"/>
          </w:tcPr>
          <w:p>
            <w:pPr>
              <w:pStyle w:val="TableParagraph"/>
              <w:spacing w:line="240" w:lineRule="auto" w:before="30"/>
              <w:ind w:right="13"/>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其他</w:t>
            </w:r>
          </w:p>
        </w:tc>
        <w:tc>
          <w:tcPr>
            <w:tcW w:w="13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20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right="28"/>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6" w:space="0" w:color="000000"/>
              <w:right w:val="single" w:sz="6" w:space="0" w:color="000000"/>
            </w:tcBorders>
            <w:shd w:val="clear" w:color="auto" w:fill="D2D2D2"/>
          </w:tcPr>
          <w:p>
            <w:pPr/>
          </w:p>
        </w:tc>
      </w:tr>
      <w:tr>
        <w:trPr>
          <w:trHeight w:val="203" w:hRule="exact"/>
        </w:trPr>
        <w:tc>
          <w:tcPr>
            <w:tcW w:w="1359" w:type="dxa"/>
            <w:vMerge/>
            <w:tcBorders>
              <w:left w:val="single" w:sz="6" w:space="0" w:color="000000"/>
              <w:bottom w:val="single" w:sz="6" w:space="0" w:color="000000"/>
              <w:right w:val="single" w:sz="6" w:space="0" w:color="000000"/>
            </w:tcBorders>
            <w:shd w:val="clear" w:color="auto" w:fill="D2D2D2"/>
          </w:tcPr>
          <w:p>
            <w:pPr/>
          </w:p>
        </w:tc>
        <w:tc>
          <w:tcPr>
            <w:tcW w:w="1375" w:type="dxa"/>
            <w:tcBorders>
              <w:top w:val="nil" w:sz="6" w:space="0" w:color="auto"/>
              <w:left w:val="single" w:sz="6" w:space="0" w:color="000000"/>
              <w:bottom w:val="single" w:sz="6" w:space="0" w:color="000000"/>
              <w:right w:val="single" w:sz="6" w:space="0" w:color="FFFFFF"/>
            </w:tcBorders>
            <w:shd w:val="clear" w:color="auto" w:fill="D2D2D2"/>
          </w:tcPr>
          <w:p>
            <w:pPr/>
          </w:p>
        </w:tc>
        <w:tc>
          <w:tcPr>
            <w:tcW w:w="1382" w:type="dxa"/>
            <w:vMerge/>
            <w:tcBorders>
              <w:left w:val="single" w:sz="6" w:space="0" w:color="FFFFFF"/>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6"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3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5" w:type="dxa"/>
            <w:tcBorders>
              <w:top w:val="single" w:sz="6" w:space="0" w:color="000000"/>
              <w:left w:val="single" w:sz="12" w:space="0" w:color="000000"/>
              <w:bottom w:val="single" w:sz="6" w:space="0" w:color="000000"/>
              <w:right w:val="single" w:sz="6" w:space="0" w:color="FFFFFF"/>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5,454,151.07</w:t>
            </w:r>
          </w:p>
        </w:tc>
        <w:tc>
          <w:tcPr>
            <w:tcW w:w="1382" w:type="dxa"/>
            <w:tcBorders>
              <w:top w:val="single" w:sz="6" w:space="0" w:color="000000"/>
              <w:left w:val="single" w:sz="6" w:space="0" w:color="FFFFFF"/>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1,814,232.04</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3,096,806.84</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4,171,576.27</w:t>
            </w:r>
          </w:p>
        </w:tc>
      </w:tr>
      <w:tr>
        <w:trPr>
          <w:trHeight w:val="405" w:hRule="exact"/>
        </w:trPr>
        <w:tc>
          <w:tcPr>
            <w:tcW w:w="13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5" w:type="dxa"/>
            <w:tcBorders>
              <w:top w:val="single" w:sz="6" w:space="0" w:color="000000"/>
              <w:left w:val="single" w:sz="12" w:space="0" w:color="000000"/>
              <w:bottom w:val="single" w:sz="6" w:space="0" w:color="000000"/>
              <w:right w:val="single" w:sz="6" w:space="0" w:color="FFFFFF"/>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3,977,119.54</w:t>
            </w:r>
          </w:p>
        </w:tc>
        <w:tc>
          <w:tcPr>
            <w:tcW w:w="1382" w:type="dxa"/>
            <w:tcBorders>
              <w:top w:val="single" w:sz="6" w:space="0" w:color="000000"/>
              <w:left w:val="single" w:sz="6" w:space="0" w:color="FFFFFF"/>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286,218.49</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2,068,848.95</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2,194,489.08</w:t>
            </w:r>
          </w:p>
        </w:tc>
      </w:tr>
      <w:tr>
        <w:trPr>
          <w:trHeight w:val="406" w:hRule="exact"/>
        </w:trPr>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75" w:type="dxa"/>
            <w:tcBorders>
              <w:top w:val="single" w:sz="6" w:space="0" w:color="000000"/>
              <w:left w:val="single" w:sz="6" w:space="0" w:color="000000"/>
              <w:bottom w:val="single" w:sz="6" w:space="0" w:color="000000"/>
              <w:right w:val="single" w:sz="6" w:space="0" w:color="FFFFFF"/>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687,217.08</w:t>
            </w:r>
          </w:p>
        </w:tc>
        <w:tc>
          <w:tcPr>
            <w:tcW w:w="1382" w:type="dxa"/>
            <w:tcBorders>
              <w:top w:val="single" w:sz="6" w:space="0" w:color="000000"/>
              <w:left w:val="single" w:sz="6" w:space="0" w:color="FFFFFF"/>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2,477,095.37</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233,450.27</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2,930,862.18</w:t>
            </w:r>
          </w:p>
        </w:tc>
      </w:tr>
      <w:tr>
        <w:trPr>
          <w:trHeight w:val="405" w:hRule="exact"/>
        </w:trPr>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5" w:type="dxa"/>
            <w:tcBorders>
              <w:top w:val="single" w:sz="6" w:space="0" w:color="000000"/>
              <w:left w:val="single" w:sz="6" w:space="0" w:color="000000"/>
              <w:bottom w:val="single" w:sz="6" w:space="0" w:color="000000"/>
              <w:right w:val="single" w:sz="6" w:space="0" w:color="FFFFFF"/>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1,483,375.48</w:t>
            </w:r>
          </w:p>
        </w:tc>
        <w:tc>
          <w:tcPr>
            <w:tcW w:w="1382" w:type="dxa"/>
            <w:tcBorders>
              <w:top w:val="single" w:sz="6" w:space="0" w:color="000000"/>
              <w:left w:val="single" w:sz="6" w:space="0" w:color="FFFFFF"/>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756.81</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1,482,618.67</w:t>
            </w:r>
          </w:p>
        </w:tc>
      </w:tr>
      <w:tr>
        <w:trPr>
          <w:trHeight w:val="391" w:hRule="exact"/>
        </w:trPr>
        <w:tc>
          <w:tcPr>
            <w:tcW w:w="13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5" w:type="dxa"/>
            <w:tcBorders>
              <w:top w:val="single" w:sz="6" w:space="0" w:color="000000"/>
              <w:left w:val="single" w:sz="6" w:space="0" w:color="000000"/>
              <w:bottom w:val="single" w:sz="6" w:space="0" w:color="000000"/>
              <w:right w:val="single" w:sz="6" w:space="0" w:color="FFFFFF"/>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11,601,863.17</w:t>
            </w:r>
          </w:p>
        </w:tc>
        <w:tc>
          <w:tcPr>
            <w:tcW w:w="1382" w:type="dxa"/>
            <w:tcBorders>
              <w:top w:val="single" w:sz="6" w:space="0" w:color="000000"/>
              <w:left w:val="single" w:sz="6" w:space="0" w:color="FFFFFF"/>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4,577,545.90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5,399,862.87</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10,779,546.20</w:t>
            </w:r>
          </w:p>
        </w:tc>
      </w:tr>
    </w:tbl>
    <w:p>
      <w:pPr>
        <w:spacing w:line="240" w:lineRule="auto" w:before="11"/>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079"/>
        <w:gridCol w:w="3409"/>
        <w:gridCol w:w="3154"/>
      </w:tblGrid>
      <w:tr>
        <w:trPr>
          <w:trHeight w:val="345"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计提依据</w:t>
            </w:r>
            <w:r>
              <w:rPr>
                <w:rFonts w:ascii="宋体" w:hAnsi="宋体" w:cs="宋体" w:eastAsia="宋体" w:hint="default"/>
                <w:sz w:val="18"/>
                <w:szCs w:val="18"/>
              </w:rPr>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b/>
                <w:bCs/>
                <w:sz w:val="18"/>
                <w:szCs w:val="18"/>
              </w:rPr>
              <w:t>本期转销的原因</w:t>
            </w:r>
            <w:r>
              <w:rPr>
                <w:rFonts w:ascii="宋体" w:hAnsi="宋体" w:cs="宋体" w:eastAsia="宋体" w:hint="default"/>
                <w:sz w:val="18"/>
                <w:szCs w:val="18"/>
              </w:rPr>
            </w:r>
          </w:p>
        </w:tc>
      </w:tr>
      <w:tr>
        <w:trPr>
          <w:trHeight w:val="346"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账面价值与可变现净值差额</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center"/>
              <w:rPr>
                <w:rFonts w:ascii="宋体" w:hAnsi="宋体" w:cs="宋体" w:eastAsia="宋体" w:hint="default"/>
                <w:sz w:val="18"/>
                <w:szCs w:val="18"/>
              </w:rPr>
            </w:pPr>
            <w:r>
              <w:rPr>
                <w:rFonts w:ascii="宋体" w:hAnsi="宋体" w:cs="宋体" w:eastAsia="宋体" w:hint="default"/>
                <w:sz w:val="18"/>
                <w:szCs w:val="18"/>
              </w:rPr>
              <w:t>生产领用、销售</w:t>
            </w:r>
          </w:p>
        </w:tc>
      </w:tr>
      <w:tr>
        <w:trPr>
          <w:trHeight w:val="345"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账面价值与可变现净值差额</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center"/>
              <w:rPr>
                <w:rFonts w:ascii="宋体" w:hAnsi="宋体" w:cs="宋体" w:eastAsia="宋体" w:hint="default"/>
                <w:sz w:val="18"/>
                <w:szCs w:val="18"/>
              </w:rPr>
            </w:pPr>
            <w:r>
              <w:rPr>
                <w:rFonts w:ascii="宋体" w:hAnsi="宋体" w:cs="宋体" w:eastAsia="宋体" w:hint="default"/>
                <w:sz w:val="18"/>
                <w:szCs w:val="18"/>
              </w:rPr>
              <w:t>生产领用、销售</w:t>
            </w:r>
          </w:p>
        </w:tc>
      </w:tr>
      <w:tr>
        <w:trPr>
          <w:trHeight w:val="330"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账面价值与可变现净值差额</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生产领用、销售</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4"/>
        <w:spacing w:line="240" w:lineRule="auto" w:before="35"/>
        <w:ind w:right="1100"/>
        <w:jc w:val="left"/>
        <w:rPr>
          <w:b w:val="0"/>
          <w:bCs w:val="0"/>
        </w:rPr>
      </w:pPr>
      <w:bookmarkStart w:name="8、其他流动资产" w:id="240"/>
      <w:bookmarkEnd w:id="240"/>
      <w:r>
        <w:rPr>
          <w:b w:val="0"/>
          <w:bCs w:val="0"/>
        </w:rPr>
      </w:r>
      <w:r>
        <w:rPr>
          <w:rFonts w:ascii="Times New Roman" w:hAnsi="Times New Roman" w:cs="Times New Roman" w:eastAsia="Times New Roman" w:hint="default"/>
        </w:rPr>
        <w:t>8</w:t>
      </w:r>
      <w:r>
        <w:rPr/>
        <w:t>、其他流动资产</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1100"/>
        <w:jc w:val="left"/>
      </w:pPr>
      <w:r>
        <w:rPr/>
        <w:t>是否已执行新收入准则</w:t>
      </w:r>
    </w:p>
    <w:p>
      <w:pPr>
        <w:pStyle w:val="BodyText"/>
        <w:spacing w:line="240" w:lineRule="auto" w:before="125"/>
        <w:ind w:right="110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预缴税金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9,580,834.20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8,742,556.44</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9,580,834.20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8,742,556.44</w:t>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9、长期股权投资" w:id="241"/>
      <w:bookmarkEnd w:id="241"/>
      <w:r>
        <w:rPr>
          <w:b w:val="0"/>
          <w:bCs w:val="0"/>
        </w:rPr>
      </w:r>
      <w:r>
        <w:rPr>
          <w:rFonts w:ascii="Times New Roman" w:hAnsi="Times New Roman" w:cs="Times New Roman" w:eastAsia="Times New Roman" w:hint="default"/>
        </w:rPr>
        <w:t>9</w:t>
      </w:r>
      <w:r>
        <w:rPr/>
        <w:t>、长期股权投资</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96"/>
        <w:gridCol w:w="796"/>
        <w:gridCol w:w="796"/>
      </w:tblGrid>
      <w:tr>
        <w:trPr>
          <w:trHeight w:val="405" w:hRule="exact"/>
        </w:trPr>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54"/>
              <w:ind w:left="285" w:right="45" w:hanging="271"/>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312" w:lineRule="auto"/>
              <w:ind w:left="30" w:right="29"/>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98" w:type="dxa"/>
            <w:gridSpan w:val="8"/>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312" w:lineRule="auto"/>
              <w:ind w:left="15"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54"/>
              <w:ind w:left="15" w:right="43"/>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1" w:hRule="exact"/>
        </w:trPr>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4" w:right="44"/>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15" w:right="45"/>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195" w:right="4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29" w:right="29"/>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210" w:right="4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9582"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5" w:hRule="exact"/>
        </w:trPr>
        <w:tc>
          <w:tcPr>
            <w:tcW w:w="9582"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5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87"/>
              <w:ind w:left="15" w:right="29"/>
              <w:jc w:val="both"/>
              <w:rPr>
                <w:rFonts w:ascii="Times New Roman" w:hAnsi="Times New Roman" w:cs="Times New Roman" w:eastAsia="Times New Roman" w:hint="default"/>
                <w:sz w:val="18"/>
                <w:szCs w:val="18"/>
              </w:rPr>
            </w:pPr>
            <w:r>
              <w:rPr>
                <w:rFonts w:ascii="Times New Roman"/>
                <w:sz w:val="18"/>
              </w:rPr>
              <w:t>HYPERS</w:t>
            </w:r>
            <w:r>
              <w:rPr>
                <w:rFonts w:ascii="Times New Roman"/>
                <w:w w:val="99"/>
                <w:sz w:val="18"/>
              </w:rPr>
              <w:t> </w:t>
            </w:r>
            <w:r>
              <w:rPr>
                <w:rFonts w:ascii="Times New Roman"/>
                <w:sz w:val="18"/>
              </w:rPr>
              <w:t>ECUINF</w:t>
            </w:r>
            <w:r>
              <w:rPr>
                <w:rFonts w:ascii="Times New Roman"/>
                <w:spacing w:val="-43"/>
                <w:sz w:val="18"/>
              </w:rPr>
              <w:t> </w:t>
            </w:r>
            <w:r>
              <w:rPr>
                <w:rFonts w:ascii="Times New Roman"/>
                <w:spacing w:val="-43"/>
                <w:sz w:val="18"/>
              </w:rPr>
            </w:r>
            <w:r>
              <w:rPr>
                <w:rFonts w:ascii="Times New Roman"/>
                <w:spacing w:val="-4"/>
                <w:sz w:val="18"/>
              </w:rPr>
              <w:t>ORM</w:t>
            </w:r>
            <w:r>
              <w:rPr>
                <w:rFonts w:ascii="Times New Roman"/>
                <w:spacing w:val="-26"/>
                <w:sz w:val="18"/>
              </w:rPr>
              <w:t> </w:t>
            </w:r>
            <w:r>
              <w:rPr>
                <w:rFonts w:ascii="Times New Roman"/>
                <w:spacing w:val="-6"/>
                <w:sz w:val="18"/>
              </w:rPr>
              <w:t>ATI</w:t>
            </w:r>
            <w:r>
              <w:rPr>
                <w:rFonts w:ascii="Times New Roman"/>
                <w:sz w:val="18"/>
              </w:rPr>
              <w:t> </w:t>
            </w:r>
            <w:r>
              <w:rPr>
                <w:rFonts w:ascii="Times New Roman"/>
                <w:spacing w:val="-4"/>
                <w:sz w:val="18"/>
              </w:rPr>
              <w:t>ONSYST</w:t>
            </w:r>
            <w:r>
              <w:rPr>
                <w:rFonts w:ascii="Times New Roman"/>
                <w:sz w:val="18"/>
              </w:rPr>
              <w:t> EMS,INC</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4,287,571</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.76</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63,878.39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133,731.8</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9</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4,485,182</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.04</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337"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30"/>
              <w:ind w:left="15" w:right="45"/>
              <w:jc w:val="both"/>
              <w:rPr>
                <w:rFonts w:ascii="宋体" w:hAnsi="宋体" w:cs="宋体" w:eastAsia="宋体" w:hint="default"/>
                <w:sz w:val="18"/>
                <w:szCs w:val="18"/>
              </w:rPr>
            </w:pPr>
            <w:r>
              <w:rPr>
                <w:rFonts w:ascii="宋体" w:hAnsi="宋体" w:cs="宋体" w:eastAsia="宋体" w:hint="default"/>
                <w:sz w:val="18"/>
                <w:szCs w:val="18"/>
              </w:rPr>
              <w:t>广州飞天 诚信云商 科技有限 公司</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433,350.0</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0</w:t>
            </w:r>
          </w:p>
        </w:tc>
      </w:tr>
      <w:tr>
        <w:trPr>
          <w:trHeight w:val="165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45"/>
              <w:jc w:val="both"/>
              <w:rPr>
                <w:rFonts w:ascii="宋体" w:hAnsi="宋体" w:cs="宋体" w:eastAsia="宋体" w:hint="default"/>
                <w:sz w:val="18"/>
                <w:szCs w:val="18"/>
              </w:rPr>
            </w:pPr>
            <w:r>
              <w:rPr>
                <w:rFonts w:ascii="宋体" w:hAnsi="宋体" w:cs="宋体" w:eastAsia="宋体" w:hint="default"/>
                <w:sz w:val="18"/>
                <w:szCs w:val="18"/>
              </w:rPr>
              <w:t>深圳市瑞 福达液晶 显示技术 股份有限 公司</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42,976,51</w:t>
            </w:r>
          </w:p>
          <w:p>
            <w:pPr>
              <w:pStyle w:val="TableParagraph"/>
              <w:spacing w:line="240" w:lineRule="auto" w:before="93"/>
              <w:ind w:left="450" w:right="0"/>
              <w:jc w:val="left"/>
              <w:rPr>
                <w:rFonts w:ascii="Times New Roman" w:hAnsi="Times New Roman" w:cs="Times New Roman" w:eastAsia="Times New Roman" w:hint="default"/>
                <w:sz w:val="18"/>
                <w:szCs w:val="18"/>
              </w:rPr>
            </w:pPr>
            <w:r>
              <w:rPr>
                <w:rFonts w:ascii="Times New Roman"/>
                <w:sz w:val="18"/>
              </w:rPr>
              <w:t>9.93</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898,508.7</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3</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43,875,02</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8.66</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47,264,09</w:t>
            </w:r>
          </w:p>
          <w:p>
            <w:pPr>
              <w:pStyle w:val="TableParagraph"/>
              <w:spacing w:line="240" w:lineRule="auto" w:before="93"/>
              <w:ind w:left="450" w:right="0"/>
              <w:jc w:val="left"/>
              <w:rPr>
                <w:rFonts w:ascii="Times New Roman" w:hAnsi="Times New Roman" w:cs="Times New Roman" w:eastAsia="Times New Roman" w:hint="default"/>
                <w:sz w:val="18"/>
                <w:szCs w:val="18"/>
              </w:rPr>
            </w:pPr>
            <w:r>
              <w:rPr>
                <w:rFonts w:ascii="Times New Roman"/>
                <w:sz w:val="18"/>
              </w:rPr>
              <w:t>1.69</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962,387.1</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133,731.8</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9</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48,360,21</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0.70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433,350.0</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0</w:t>
            </w:r>
          </w:p>
        </w:tc>
      </w:tr>
      <w:tr>
        <w:trPr>
          <w:trHeight w:val="720"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47,264,09</w:t>
            </w:r>
          </w:p>
          <w:p>
            <w:pPr>
              <w:pStyle w:val="TableParagraph"/>
              <w:spacing w:line="240" w:lineRule="auto" w:before="108"/>
              <w:ind w:left="450" w:right="0"/>
              <w:jc w:val="left"/>
              <w:rPr>
                <w:rFonts w:ascii="Times New Roman" w:hAnsi="Times New Roman" w:cs="Times New Roman" w:eastAsia="Times New Roman" w:hint="default"/>
                <w:sz w:val="18"/>
                <w:szCs w:val="18"/>
              </w:rPr>
            </w:pPr>
            <w:r>
              <w:rPr>
                <w:rFonts w:ascii="Times New Roman"/>
                <w:sz w:val="18"/>
              </w:rPr>
              <w:t>1.69</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962,387.1</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133,731.8</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9</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48,360,21</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0.70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433,350.0</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10、其他权益工具投资" w:id="242"/>
      <w:bookmarkEnd w:id="242"/>
      <w:r>
        <w:rPr>
          <w:b w:val="0"/>
          <w:bCs w:val="0"/>
        </w:rPr>
      </w:r>
      <w:r>
        <w:rPr>
          <w:rFonts w:ascii="Times New Roman" w:hAnsi="Times New Roman" w:cs="Times New Roman" w:eastAsia="Times New Roman" w:hint="default"/>
        </w:rPr>
        <w:t>10</w:t>
      </w:r>
      <w:r>
        <w:rPr/>
        <w:t>、其他权益工具投资</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60"/>
              <w:ind w:left="15"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掌上纵横信息技术（北京）股份有限公</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司</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909,091.00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深圳市万通顺达科技股份有限公司</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20,000,000.00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20,000,000.00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3.SECUREMETRIC</w:t>
            </w:r>
            <w:r>
              <w:rPr>
                <w:rFonts w:ascii="Times New Roman"/>
                <w:spacing w:val="8"/>
                <w:sz w:val="18"/>
              </w:rPr>
              <w:t> </w:t>
            </w:r>
            <w:r>
              <w:rPr>
                <w:rFonts w:ascii="Times New Roman"/>
                <w:sz w:val="18"/>
              </w:rPr>
              <w:t>BERHAD</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18,348,394.04</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38,348,394.04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20,909,091.00</w:t>
            </w:r>
          </w:p>
        </w:tc>
      </w:tr>
    </w:tbl>
    <w:p>
      <w:pPr>
        <w:pStyle w:val="BodyText"/>
        <w:spacing w:line="240" w:lineRule="auto" w:before="44"/>
        <w:ind w:right="1100"/>
        <w:jc w:val="left"/>
      </w:pPr>
      <w:r>
        <w:rPr/>
        <w:t>分项披露本期非交易性权益工具投资</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1337"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确认的股利收入</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29" w:right="59"/>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入留存收益的金 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30" w:right="59"/>
              <w:jc w:val="center"/>
              <w:rPr>
                <w:rFonts w:ascii="宋体" w:hAnsi="宋体" w:cs="宋体" w:eastAsia="宋体" w:hint="default"/>
                <w:sz w:val="18"/>
                <w:szCs w:val="18"/>
              </w:rPr>
            </w:pPr>
            <w:r>
              <w:rPr>
                <w:rFonts w:ascii="宋体" w:hAnsi="宋体" w:cs="宋体" w:eastAsia="宋体" w:hint="default"/>
                <w:sz w:val="18"/>
                <w:szCs w:val="18"/>
              </w:rPr>
              <w:t>指定为以公允价 值计量且其变动 计入其他综合收 益的原因</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29" w:right="59"/>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入留存收益的原 因</w:t>
            </w:r>
          </w:p>
        </w:tc>
      </w:tr>
      <w:tr>
        <w:trPr>
          <w:trHeight w:val="10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15" w:right="74"/>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掌上纵横信息 技术（北京）股 份有限公司</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1,360,797.06</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sz w:val="18"/>
              </w:rPr>
              <w:t>1,360,797.06</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0"/>
              <w:ind w:left="15" w:right="74"/>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深圳市万通顺 达科技股份有限 公司</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48" w:lineRule="auto" w:before="102"/>
              <w:ind w:left="15" w:right="129"/>
              <w:jc w:val="left"/>
              <w:rPr>
                <w:rFonts w:ascii="Times New Roman" w:hAnsi="Times New Roman" w:cs="Times New Roman" w:eastAsia="Times New Roman" w:hint="default"/>
                <w:sz w:val="18"/>
                <w:szCs w:val="18"/>
              </w:rPr>
            </w:pPr>
            <w:r>
              <w:rPr>
                <w:rFonts w:ascii="Times New Roman"/>
                <w:sz w:val="18"/>
              </w:rPr>
              <w:t>3.SECUREMET RIC</w:t>
            </w:r>
            <w:r>
              <w:rPr>
                <w:rFonts w:ascii="Times New Roman"/>
                <w:spacing w:val="2"/>
                <w:sz w:val="18"/>
              </w:rPr>
              <w:t> </w:t>
            </w:r>
            <w:r>
              <w:rPr>
                <w:rFonts w:ascii="Times New Roman"/>
                <w:sz w:val="18"/>
              </w:rPr>
              <w:t>BERHAD</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3,936,531.51</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11、固定资产" w:id="243"/>
      <w:bookmarkEnd w:id="243"/>
      <w:r>
        <w:rPr>
          <w:b w:val="0"/>
          <w:bCs w:val="0"/>
        </w:rPr>
      </w:r>
      <w:r>
        <w:rPr>
          <w:rFonts w:ascii="Times New Roman" w:hAnsi="Times New Roman" w:cs="Times New Roman" w:eastAsia="Times New Roman" w:hint="default"/>
        </w:rPr>
        <w:t>11</w:t>
      </w:r>
      <w:r>
        <w:rPr/>
        <w:t>、固定资产</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19,350,287.48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29,603,257.61</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19,350,287.48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29,603,257.61</w:t>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1）固定资产情况" w:id="244"/>
      <w:bookmarkEnd w:id="244"/>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352"/>
        <w:gridCol w:w="1375"/>
        <w:gridCol w:w="1367"/>
        <w:gridCol w:w="1382"/>
        <w:gridCol w:w="1366"/>
        <w:gridCol w:w="1367"/>
        <w:gridCol w:w="1367"/>
      </w:tblGrid>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13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15" w:right="0"/>
              <w:jc w:val="left"/>
              <w:rPr>
                <w:rFonts w:ascii="宋体" w:hAnsi="宋体" w:cs="宋体" w:eastAsia="宋体" w:hint="default"/>
                <w:sz w:val="18"/>
                <w:szCs w:val="18"/>
              </w:rPr>
            </w:pPr>
            <w:r>
              <w:rPr>
                <w:rFonts w:ascii="宋体" w:hAnsi="宋体" w:cs="宋体" w:eastAsia="宋体" w:hint="default"/>
                <w:sz w:val="18"/>
                <w:szCs w:val="18"/>
              </w:rPr>
              <w:t>生产工具</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15"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99"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0"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7"/>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6"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5" w:type="dxa"/>
            <w:tcBorders>
              <w:top w:val="single" w:sz="6" w:space="0" w:color="000000"/>
              <w:left w:val="single" w:sz="12"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300" w:right="0"/>
              <w:jc w:val="left"/>
              <w:rPr>
                <w:rFonts w:ascii="Times New Roman" w:hAnsi="Times New Roman" w:cs="Times New Roman" w:eastAsia="Times New Roman" w:hint="default"/>
                <w:sz w:val="18"/>
                <w:szCs w:val="18"/>
              </w:rPr>
            </w:pPr>
            <w:r>
              <w:rPr>
                <w:rFonts w:ascii="Times New Roman"/>
                <w:sz w:val="18"/>
              </w:rPr>
              <w:t>14,518,867.44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43,155,110.01</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90" w:right="0"/>
              <w:jc w:val="left"/>
              <w:rPr>
                <w:rFonts w:ascii="Times New Roman" w:hAnsi="Times New Roman" w:cs="Times New Roman" w:eastAsia="Times New Roman" w:hint="default"/>
                <w:sz w:val="18"/>
                <w:szCs w:val="18"/>
              </w:rPr>
            </w:pPr>
            <w:r>
              <w:rPr>
                <w:rFonts w:ascii="Times New Roman"/>
                <w:sz w:val="18"/>
              </w:rPr>
              <w:t>2,285,723.10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11,297,847.53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1,526,127.79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72,783,675.87</w:t>
            </w:r>
          </w:p>
        </w:tc>
      </w:tr>
      <w:tr>
        <w:trPr>
          <w:trHeight w:val="721"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7" w:right="111"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5" w:type="dxa"/>
            <w:tcBorders>
              <w:top w:val="single" w:sz="6" w:space="0" w:color="000000"/>
              <w:left w:val="single" w:sz="12"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2,716,453.24</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970,122.61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310,059.38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3,996,635.23</w:t>
            </w: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5" w:type="dxa"/>
            <w:tcBorders>
              <w:top w:val="single" w:sz="6" w:space="0" w:color="000000"/>
              <w:left w:val="single" w:sz="12"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2,640,490.12</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968,231.97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307,095.55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3,915,817.64</w:t>
            </w:r>
          </w:p>
        </w:tc>
      </w:tr>
      <w:tr>
        <w:trPr>
          <w:trHeight w:val="7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7" w:right="6"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）在建工</w:t>
            </w:r>
            <w:r>
              <w:rPr>
                <w:rFonts w:ascii="宋体" w:hAnsi="宋体" w:cs="宋体" w:eastAsia="宋体" w:hint="default"/>
                <w:sz w:val="18"/>
                <w:szCs w:val="18"/>
              </w:rPr>
              <w:t> 程转入</w:t>
            </w:r>
          </w:p>
        </w:tc>
        <w:tc>
          <w:tcPr>
            <w:tcW w:w="1375" w:type="dxa"/>
            <w:tcBorders>
              <w:top w:val="single" w:sz="6" w:space="0" w:color="000000"/>
              <w:left w:val="single" w:sz="12"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75,963.12</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75,963.12</w:t>
            </w:r>
          </w:p>
        </w:tc>
      </w:tr>
      <w:tr>
        <w:trPr>
          <w:trHeight w:val="721"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7" w:right="6"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）企业合</w:t>
            </w:r>
            <w:r>
              <w:rPr>
                <w:rFonts w:ascii="宋体" w:hAnsi="宋体" w:cs="宋体" w:eastAsia="宋体" w:hint="default"/>
                <w:sz w:val="18"/>
                <w:szCs w:val="18"/>
              </w:rPr>
              <w:t> 并增加</w:t>
            </w:r>
          </w:p>
        </w:tc>
        <w:tc>
          <w:tcPr>
            <w:tcW w:w="1375" w:type="dxa"/>
            <w:tcBorders>
              <w:top w:val="single" w:sz="6" w:space="0" w:color="000000"/>
              <w:left w:val="single" w:sz="12"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7" w:right="21"/>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）外币折算差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1375" w:type="dxa"/>
            <w:tcBorders>
              <w:top w:val="single" w:sz="6" w:space="0" w:color="000000"/>
              <w:left w:val="single" w:sz="12"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1,890.64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2,963.83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4,854.47</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67"/>
        <w:gridCol w:w="1382"/>
        <w:gridCol w:w="1366"/>
        <w:gridCol w:w="1367"/>
        <w:gridCol w:w="1367"/>
      </w:tblGrid>
      <w:tr>
        <w:trPr>
          <w:trHeight w:val="72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12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14,518,867.44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38,749.51</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276,146.40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9,960.02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14,843,723.37</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15" w:right="13"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）处置或</w:t>
            </w:r>
            <w:r>
              <w:rPr>
                <w:rFonts w:ascii="宋体" w:hAnsi="宋体" w:cs="宋体" w:eastAsia="宋体" w:hint="default"/>
                <w:sz w:val="18"/>
                <w:szCs w:val="18"/>
              </w:rPr>
              <w:t> 报废</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14,518,867.44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38,749.51</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276,146.40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9,960.02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14,843,723.37</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45,832,813.74</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2,285,723.10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11,991,823.74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1,826,227.15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61,936,587.73</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8,456,445.52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22,606,890.31</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1,488,656.71</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9,314,331.08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862,792.51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42,729,116.13</w:t>
            </w: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59"/>
              <w:ind w:left="15" w:right="12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3,484,744.12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6,332,730.04</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293,324.14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835,403.37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168,261.90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11,114,463.57</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16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3,484,744.12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6,332,730.04</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293,324.14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834,998.83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167,744.25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11,113,541.38</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15" w:right="30"/>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）外币折算差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404.54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517.65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922.19</w:t>
            </w: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60"/>
              <w:ind w:left="15" w:right="12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11,941,189.64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9,787.51</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263,285.58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1,749.71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12,216,012.44</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13"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）处置或</w:t>
            </w:r>
            <w:r>
              <w:rPr>
                <w:rFonts w:ascii="宋体" w:hAnsi="宋体" w:cs="宋体" w:eastAsia="宋体" w:hint="default"/>
                <w:sz w:val="18"/>
                <w:szCs w:val="18"/>
              </w:rPr>
              <w:t> 报废</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11,941,189.64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9,787.51</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263,285.58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1,749.71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12,216,012.44</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28,929,832.84</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1,781,980.85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9,886,448.87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1,029,304.70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41,627,567.26</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451,302.13</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451,302.13</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15" w:right="12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507,430.86</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507,430.86</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16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507,430.86</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507,430.86</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12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15" w:right="13"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）处置或</w:t>
            </w:r>
            <w:r>
              <w:rPr>
                <w:rFonts w:ascii="宋体" w:hAnsi="宋体" w:cs="宋体" w:eastAsia="宋体" w:hint="default"/>
                <w:sz w:val="18"/>
                <w:szCs w:val="18"/>
              </w:rPr>
              <w:t> 报废</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958,732.99</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958,732.99</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15" w:right="12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15,944,247.91</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503,742.25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2,105,374.87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796,922.45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19,350,287.48</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12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6,062,421.92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20,096,917.57</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797,066.39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1,983,516.45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663,335.28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29,603,257.61</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pStyle w:val="Heading4"/>
        <w:spacing w:line="240" w:lineRule="auto" w:before="150"/>
        <w:ind w:left="221" w:right="0"/>
        <w:jc w:val="left"/>
        <w:rPr>
          <w:b w:val="0"/>
          <w:bCs w:val="0"/>
        </w:rPr>
      </w:pPr>
      <w:bookmarkStart w:name="12、在建工程" w:id="245"/>
      <w:bookmarkEnd w:id="245"/>
      <w:r>
        <w:rPr>
          <w:b w:val="0"/>
          <w:bCs w:val="0"/>
        </w:rPr>
      </w:r>
      <w:r>
        <w:rPr>
          <w:rFonts w:ascii="Times New Roman" w:hAnsi="Times New Roman" w:cs="Times New Roman" w:eastAsia="Times New Roman" w:hint="default"/>
        </w:rPr>
        <w:t>12</w:t>
      </w:r>
      <w:r>
        <w:rPr/>
        <w:t>、在建工程</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20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543,842.86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156,915.24</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543,842.86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156,915.24</w:t>
            </w:r>
          </w:p>
        </w:tc>
      </w:tr>
    </w:tbl>
    <w:p>
      <w:pPr>
        <w:spacing w:line="240" w:lineRule="auto" w:before="11"/>
        <w:rPr>
          <w:rFonts w:ascii="宋体" w:hAnsi="宋体" w:cs="宋体" w:eastAsia="宋体" w:hint="default"/>
          <w:sz w:val="19"/>
          <w:szCs w:val="19"/>
        </w:rPr>
      </w:pPr>
    </w:p>
    <w:p>
      <w:pPr>
        <w:pStyle w:val="Heading4"/>
        <w:spacing w:line="240" w:lineRule="auto" w:before="35"/>
        <w:ind w:left="221" w:right="0"/>
        <w:jc w:val="left"/>
        <w:rPr>
          <w:b w:val="0"/>
          <w:bCs w:val="0"/>
        </w:rPr>
      </w:pPr>
      <w:bookmarkStart w:name="（1）在建工程情况" w:id="246"/>
      <w:bookmarkEnd w:id="246"/>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20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5"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4116"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1"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生产设备</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543,842.86</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543,842.86</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156,915.24</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156,915.24</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543,842.86</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543,842.86</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156,915.24</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156,915.24</w:t>
            </w:r>
          </w:p>
        </w:tc>
      </w:tr>
    </w:tbl>
    <w:p>
      <w:pPr>
        <w:spacing w:line="240" w:lineRule="auto" w:before="11"/>
        <w:rPr>
          <w:rFonts w:ascii="宋体" w:hAnsi="宋体" w:cs="宋体" w:eastAsia="宋体" w:hint="default"/>
          <w:sz w:val="19"/>
          <w:szCs w:val="19"/>
        </w:rPr>
      </w:pPr>
    </w:p>
    <w:p>
      <w:pPr>
        <w:pStyle w:val="Heading4"/>
        <w:spacing w:line="240" w:lineRule="auto" w:before="35"/>
        <w:ind w:left="221" w:right="0"/>
        <w:jc w:val="left"/>
        <w:rPr>
          <w:b w:val="0"/>
          <w:bCs w:val="0"/>
        </w:rPr>
      </w:pPr>
      <w:bookmarkStart w:name="13、无形资产" w:id="247"/>
      <w:bookmarkEnd w:id="247"/>
      <w:r>
        <w:rPr>
          <w:b w:val="0"/>
          <w:bCs w:val="0"/>
        </w:rPr>
      </w:r>
      <w:r>
        <w:rPr>
          <w:rFonts w:ascii="Times New Roman" w:hAnsi="Times New Roman" w:cs="Times New Roman" w:eastAsia="Times New Roman" w:hint="default"/>
        </w:rPr>
        <w:t>13</w:t>
      </w:r>
      <w:r>
        <w:rPr/>
        <w:t>、无形资产</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left="221" w:right="0"/>
        <w:jc w:val="left"/>
        <w:rPr>
          <w:b w:val="0"/>
          <w:bCs w:val="0"/>
        </w:rPr>
      </w:pPr>
      <w:bookmarkStart w:name="（1）无形资产情况" w:id="248"/>
      <w:bookmarkEnd w:id="248"/>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专利权</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19,274,878.00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0"/>
              <w:jc w:val="right"/>
              <w:rPr>
                <w:rFonts w:ascii="Times New Roman" w:hAnsi="Times New Roman" w:cs="Times New Roman" w:eastAsia="Times New Roman" w:hint="default"/>
                <w:sz w:val="18"/>
                <w:szCs w:val="18"/>
              </w:rPr>
            </w:pPr>
            <w:r>
              <w:rPr>
                <w:rFonts w:ascii="Times New Roman"/>
                <w:sz w:val="18"/>
              </w:rPr>
              <w:t>8,574,439.61</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z w:val="18"/>
              </w:rPr>
              <w:t>27,849,317.61</w:t>
            </w:r>
          </w:p>
        </w:tc>
      </w:tr>
      <w:tr>
        <w:trPr>
          <w:trHeight w:val="7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690"/>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0"/>
              <w:jc w:val="right"/>
              <w:rPr>
                <w:rFonts w:ascii="Times New Roman" w:hAnsi="Times New Roman" w:cs="Times New Roman" w:eastAsia="Times New Roman" w:hint="default"/>
                <w:sz w:val="18"/>
                <w:szCs w:val="18"/>
              </w:rPr>
            </w:pPr>
            <w:r>
              <w:rPr>
                <w:rFonts w:ascii="Times New Roman"/>
                <w:sz w:val="18"/>
              </w:rPr>
              <w:t>2,498,598.38</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5"/>
              <w:jc w:val="right"/>
              <w:rPr>
                <w:rFonts w:ascii="Times New Roman" w:hAnsi="Times New Roman" w:cs="Times New Roman" w:eastAsia="Times New Roman" w:hint="default"/>
                <w:sz w:val="18"/>
                <w:szCs w:val="18"/>
              </w:rPr>
            </w:pPr>
            <w:r>
              <w:rPr>
                <w:rFonts w:ascii="Times New Roman"/>
                <w:sz w:val="18"/>
              </w:rPr>
              <w:t>2,498,598.38</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4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0"/>
              <w:jc w:val="right"/>
              <w:rPr>
                <w:rFonts w:ascii="Times New Roman" w:hAnsi="Times New Roman" w:cs="Times New Roman" w:eastAsia="Times New Roman" w:hint="default"/>
                <w:sz w:val="18"/>
                <w:szCs w:val="18"/>
              </w:rPr>
            </w:pPr>
            <w:r>
              <w:rPr>
                <w:rFonts w:ascii="Times New Roman"/>
                <w:sz w:val="18"/>
              </w:rPr>
              <w:t>2,498,598.38</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5"/>
              <w:jc w:val="right"/>
              <w:rPr>
                <w:rFonts w:ascii="Times New Roman" w:hAnsi="Times New Roman" w:cs="Times New Roman" w:eastAsia="Times New Roman" w:hint="default"/>
                <w:sz w:val="18"/>
                <w:szCs w:val="18"/>
              </w:rPr>
            </w:pPr>
            <w:r>
              <w:rPr>
                <w:rFonts w:ascii="Times New Roman"/>
                <w:sz w:val="18"/>
              </w:rPr>
              <w:t>2,498,598.38</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19,274,878.00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0"/>
              <w:jc w:val="right"/>
              <w:rPr>
                <w:rFonts w:ascii="Times New Roman" w:hAnsi="Times New Roman" w:cs="Times New Roman" w:eastAsia="Times New Roman" w:hint="default"/>
                <w:sz w:val="18"/>
                <w:szCs w:val="18"/>
              </w:rPr>
            </w:pPr>
            <w:r>
              <w:rPr>
                <w:rFonts w:ascii="Times New Roman"/>
                <w:sz w:val="18"/>
              </w:rPr>
              <w:t>11,073,037.99</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5"/>
              <w:jc w:val="right"/>
              <w:rPr>
                <w:rFonts w:ascii="Times New Roman" w:hAnsi="Times New Roman" w:cs="Times New Roman" w:eastAsia="Times New Roman" w:hint="default"/>
                <w:sz w:val="18"/>
                <w:szCs w:val="18"/>
              </w:rPr>
            </w:pPr>
            <w:r>
              <w:rPr>
                <w:rFonts w:ascii="Times New Roman"/>
                <w:sz w:val="18"/>
              </w:rPr>
              <w:t>30,347,915.99</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3,943,807.47</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0"/>
              <w:jc w:val="right"/>
              <w:rPr>
                <w:rFonts w:ascii="Times New Roman" w:hAnsi="Times New Roman" w:cs="Times New Roman" w:eastAsia="Times New Roman" w:hint="default"/>
                <w:sz w:val="18"/>
                <w:szCs w:val="18"/>
              </w:rPr>
            </w:pPr>
            <w:r>
              <w:rPr>
                <w:rFonts w:ascii="Times New Roman"/>
                <w:sz w:val="18"/>
              </w:rPr>
              <w:t>4,241,103.14</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5"/>
              <w:jc w:val="right"/>
              <w:rPr>
                <w:rFonts w:ascii="Times New Roman" w:hAnsi="Times New Roman" w:cs="Times New Roman" w:eastAsia="Times New Roman" w:hint="default"/>
                <w:sz w:val="18"/>
                <w:szCs w:val="18"/>
              </w:rPr>
            </w:pPr>
            <w:r>
              <w:rPr>
                <w:rFonts w:ascii="Times New Roman"/>
                <w:sz w:val="18"/>
              </w:rPr>
              <w:t>8,184,910.61</w:t>
            </w:r>
          </w:p>
        </w:tc>
      </w:tr>
      <w:tr>
        <w:trPr>
          <w:trHeight w:val="7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690"/>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1,919,640.00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0"/>
              <w:jc w:val="right"/>
              <w:rPr>
                <w:rFonts w:ascii="Times New Roman" w:hAnsi="Times New Roman" w:cs="Times New Roman" w:eastAsia="Times New Roman" w:hint="default"/>
                <w:sz w:val="18"/>
                <w:szCs w:val="18"/>
              </w:rPr>
            </w:pPr>
            <w:r>
              <w:rPr>
                <w:rFonts w:ascii="Times New Roman"/>
                <w:sz w:val="18"/>
              </w:rPr>
              <w:t>1,803,004.06</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5"/>
              <w:jc w:val="right"/>
              <w:rPr>
                <w:rFonts w:ascii="Times New Roman" w:hAnsi="Times New Roman" w:cs="Times New Roman" w:eastAsia="Times New Roman" w:hint="default"/>
                <w:sz w:val="18"/>
                <w:szCs w:val="18"/>
              </w:rPr>
            </w:pPr>
            <w:r>
              <w:rPr>
                <w:rFonts w:ascii="Times New Roman"/>
                <w:sz w:val="18"/>
              </w:rPr>
              <w:t>3,722,644.06</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64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1,919,640.00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0"/>
              <w:jc w:val="right"/>
              <w:rPr>
                <w:rFonts w:ascii="Times New Roman" w:hAnsi="Times New Roman" w:cs="Times New Roman" w:eastAsia="Times New Roman" w:hint="default"/>
                <w:sz w:val="18"/>
                <w:szCs w:val="18"/>
              </w:rPr>
            </w:pPr>
            <w:r>
              <w:rPr>
                <w:rFonts w:ascii="Times New Roman"/>
                <w:sz w:val="18"/>
              </w:rPr>
              <w:t>1,803,004.06</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5"/>
              <w:jc w:val="right"/>
              <w:rPr>
                <w:rFonts w:ascii="Times New Roman" w:hAnsi="Times New Roman" w:cs="Times New Roman" w:eastAsia="Times New Roman" w:hint="default"/>
                <w:sz w:val="18"/>
                <w:szCs w:val="18"/>
              </w:rPr>
            </w:pPr>
            <w:r>
              <w:rPr>
                <w:rFonts w:ascii="Times New Roman"/>
                <w:sz w:val="18"/>
              </w:rPr>
              <w:t>3,722,644.06</w:t>
            </w:r>
          </w:p>
        </w:tc>
      </w:tr>
      <w:tr>
        <w:trPr>
          <w:trHeight w:val="7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690"/>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5,863,447.47</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0"/>
              <w:jc w:val="right"/>
              <w:rPr>
                <w:rFonts w:ascii="Times New Roman" w:hAnsi="Times New Roman" w:cs="Times New Roman" w:eastAsia="Times New Roman" w:hint="default"/>
                <w:sz w:val="18"/>
                <w:szCs w:val="18"/>
              </w:rPr>
            </w:pPr>
            <w:r>
              <w:rPr>
                <w:rFonts w:ascii="Times New Roman"/>
                <w:sz w:val="18"/>
              </w:rPr>
              <w:t>6,044,107.20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5"/>
              <w:jc w:val="right"/>
              <w:rPr>
                <w:rFonts w:ascii="Times New Roman" w:hAnsi="Times New Roman" w:cs="Times New Roman" w:eastAsia="Times New Roman" w:hint="default"/>
                <w:sz w:val="18"/>
                <w:szCs w:val="18"/>
              </w:rPr>
            </w:pPr>
            <w:r>
              <w:rPr>
                <w:rFonts w:ascii="Times New Roman"/>
                <w:sz w:val="18"/>
              </w:rPr>
              <w:t>11,907,554.67</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920" w:right="0"/>
        </w:sectPr>
      </w:pPr>
    </w:p>
    <w:p>
      <w:pPr>
        <w:spacing w:line="240" w:lineRule="auto" w:before="6"/>
        <w:rPr>
          <w:rFonts w:ascii="宋体" w:hAnsi="宋体" w:cs="宋体" w:eastAsia="宋体" w:hint="default"/>
          <w:sz w:val="29"/>
          <w:szCs w:val="29"/>
        </w:rPr>
      </w:pPr>
    </w:p>
    <w:tbl>
      <w:tblPr>
        <w:tblW w:w="0" w:type="auto"/>
        <w:jc w:val="left"/>
        <w:tblInd w:w="101" w:type="dxa"/>
        <w:tblLayout w:type="fixed"/>
        <w:tblCellMar>
          <w:top w:w="0" w:type="dxa"/>
          <w:left w:w="0" w:type="dxa"/>
          <w:bottom w:w="0" w:type="dxa"/>
          <w:right w:w="0" w:type="dxa"/>
        </w:tblCellMar>
        <w:tblLook w:val="01E0"/>
      </w:tblPr>
      <w:tblGrid>
        <w:gridCol w:w="2388"/>
        <w:gridCol w:w="2403"/>
        <w:gridCol w:w="2388"/>
        <w:gridCol w:w="2403"/>
      </w:tblGrid>
      <w:tr>
        <w:trPr>
          <w:trHeight w:val="7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690"/>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690"/>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2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69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13,411,430.53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0"/>
              <w:jc w:val="right"/>
              <w:rPr>
                <w:rFonts w:ascii="Times New Roman" w:hAnsi="Times New Roman" w:cs="Times New Roman" w:eastAsia="Times New Roman" w:hint="default"/>
                <w:sz w:val="18"/>
                <w:szCs w:val="18"/>
              </w:rPr>
            </w:pPr>
            <w:r>
              <w:rPr>
                <w:rFonts w:ascii="Times New Roman"/>
                <w:sz w:val="18"/>
              </w:rPr>
              <w:t>5,028,930.79</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5"/>
              <w:jc w:val="right"/>
              <w:rPr>
                <w:rFonts w:ascii="Times New Roman" w:hAnsi="Times New Roman" w:cs="Times New Roman" w:eastAsia="Times New Roman" w:hint="default"/>
                <w:sz w:val="18"/>
                <w:szCs w:val="18"/>
              </w:rPr>
            </w:pPr>
            <w:r>
              <w:rPr>
                <w:rFonts w:ascii="Times New Roman"/>
                <w:sz w:val="18"/>
              </w:rPr>
              <w:t>18,440,361.32</w:t>
            </w:r>
          </w:p>
        </w:tc>
      </w:tr>
      <w:tr>
        <w:trPr>
          <w:trHeight w:val="72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690"/>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15,331,070.53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0"/>
              <w:jc w:val="right"/>
              <w:rPr>
                <w:rFonts w:ascii="Times New Roman" w:hAnsi="Times New Roman" w:cs="Times New Roman" w:eastAsia="Times New Roman" w:hint="default"/>
                <w:sz w:val="18"/>
                <w:szCs w:val="18"/>
              </w:rPr>
            </w:pPr>
            <w:r>
              <w:rPr>
                <w:rFonts w:ascii="Times New Roman"/>
                <w:sz w:val="18"/>
              </w:rPr>
              <w:t>4,333,336.47</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5"/>
              <w:jc w:val="right"/>
              <w:rPr>
                <w:rFonts w:ascii="Times New Roman" w:hAnsi="Times New Roman" w:cs="Times New Roman" w:eastAsia="Times New Roman" w:hint="default"/>
                <w:sz w:val="18"/>
                <w:szCs w:val="18"/>
              </w:rPr>
            </w:pPr>
            <w:r>
              <w:rPr>
                <w:rFonts w:ascii="Times New Roman"/>
                <w:sz w:val="18"/>
              </w:rPr>
              <w:t>19,664,407.00</w:t>
            </w:r>
          </w:p>
        </w:tc>
      </w:tr>
    </w:tbl>
    <w:p>
      <w:pPr>
        <w:pStyle w:val="BodyText"/>
        <w:spacing w:line="240" w:lineRule="auto" w:before="44"/>
        <w:ind w:left="221" w:right="0"/>
        <w:jc w:val="left"/>
      </w:pPr>
      <w:r>
        <w:rPr/>
        <w:t>本期末通过公司内部研发形成的无形资产占无形资产余额的比例。</w:t>
      </w:r>
    </w:p>
    <w:p>
      <w:pPr>
        <w:spacing w:line="240" w:lineRule="auto" w:before="0"/>
        <w:rPr>
          <w:rFonts w:ascii="宋体" w:hAnsi="宋体" w:cs="宋体" w:eastAsia="宋体" w:hint="default"/>
          <w:sz w:val="18"/>
          <w:szCs w:val="18"/>
        </w:rPr>
      </w:pPr>
    </w:p>
    <w:p>
      <w:pPr>
        <w:pStyle w:val="Heading4"/>
        <w:spacing w:line="240" w:lineRule="auto" w:before="140"/>
        <w:ind w:left="221" w:right="0"/>
        <w:jc w:val="left"/>
        <w:rPr>
          <w:b w:val="0"/>
          <w:bCs w:val="0"/>
        </w:rPr>
      </w:pPr>
      <w:bookmarkStart w:name="14、开发支出" w:id="249"/>
      <w:bookmarkEnd w:id="249"/>
      <w:r>
        <w:rPr>
          <w:b w:val="0"/>
          <w:bCs w:val="0"/>
        </w:rPr>
      </w:r>
      <w:r>
        <w:rPr>
          <w:rFonts w:ascii="Times New Roman" w:hAnsi="Times New Roman" w:cs="Times New Roman" w:eastAsia="Times New Roman" w:hint="default"/>
        </w:rPr>
        <w:t>14</w:t>
      </w:r>
      <w:r>
        <w:rPr/>
        <w:t>、开发支出</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206" w:type="dxa"/>
        <w:tblLayout w:type="fixed"/>
        <w:tblCellMar>
          <w:top w:w="0" w:type="dxa"/>
          <w:left w:w="0" w:type="dxa"/>
          <w:bottom w:w="0" w:type="dxa"/>
          <w:right w:w="0" w:type="dxa"/>
        </w:tblCellMar>
        <w:tblLook w:val="01E0"/>
      </w:tblPr>
      <w:tblGrid>
        <w:gridCol w:w="1059"/>
        <w:gridCol w:w="1074"/>
        <w:gridCol w:w="1067"/>
        <w:gridCol w:w="1051"/>
        <w:gridCol w:w="1066"/>
        <w:gridCol w:w="1067"/>
        <w:gridCol w:w="1066"/>
        <w:gridCol w:w="1067"/>
        <w:gridCol w:w="1066"/>
      </w:tblGrid>
      <w:tr>
        <w:trPr>
          <w:trHeight w:val="406" w:hRule="exact"/>
        </w:trPr>
        <w:tc>
          <w:tcPr>
            <w:tcW w:w="1059" w:type="dxa"/>
            <w:tcBorders>
              <w:top w:val="single" w:sz="6" w:space="0" w:color="000000"/>
              <w:left w:val="single" w:sz="6" w:space="0" w:color="000000"/>
              <w:bottom w:val="nil" w:sz="6" w:space="0" w:color="auto"/>
              <w:right w:val="single" w:sz="6" w:space="0" w:color="000000"/>
            </w:tcBorders>
            <w:shd w:val="clear" w:color="auto" w:fill="D2D2D2"/>
          </w:tcPr>
          <w:p>
            <w:pPr/>
          </w:p>
        </w:tc>
        <w:tc>
          <w:tcPr>
            <w:tcW w:w="1074" w:type="dxa"/>
            <w:tcBorders>
              <w:top w:val="single" w:sz="6" w:space="0" w:color="000000"/>
              <w:left w:val="single" w:sz="6" w:space="0" w:color="000000"/>
              <w:bottom w:val="nil" w:sz="6" w:space="0" w:color="auto"/>
              <w:right w:val="single" w:sz="6" w:space="0" w:color="000000"/>
            </w:tcBorders>
            <w:shd w:val="clear" w:color="auto" w:fill="D2D2D2"/>
          </w:tcPr>
          <w:p>
            <w:pPr/>
          </w:p>
        </w:tc>
        <w:tc>
          <w:tcPr>
            <w:tcW w:w="3184"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3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9"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5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15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7" w:hRule="exact"/>
        </w:trPr>
        <w:tc>
          <w:tcPr>
            <w:tcW w:w="1059" w:type="dxa"/>
            <w:vMerge w:val="restart"/>
            <w:tcBorders>
              <w:top w:val="nil" w:sz="6" w:space="0" w:color="auto"/>
              <w:left w:val="single" w:sz="6" w:space="0" w:color="000000"/>
              <w:right w:val="single" w:sz="6" w:space="0" w:color="000000"/>
            </w:tcBorders>
            <w:shd w:val="clear" w:color="auto" w:fill="D2D2D2"/>
          </w:tcPr>
          <w:p>
            <w:pPr>
              <w:pStyle w:val="TableParagraph"/>
              <w:spacing w:line="228" w:lineRule="exact"/>
              <w:ind w:left="33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74" w:type="dxa"/>
            <w:vMerge w:val="restart"/>
            <w:tcBorders>
              <w:top w:val="nil" w:sz="6" w:space="0" w:color="auto"/>
              <w:left w:val="single" w:sz="6" w:space="0" w:color="000000"/>
              <w:right w:val="single" w:sz="6" w:space="0" w:color="000000"/>
            </w:tcBorders>
            <w:shd w:val="clear" w:color="auto" w:fill="D2D2D2"/>
          </w:tcPr>
          <w:p>
            <w:pPr>
              <w:pStyle w:val="TableParagraph"/>
              <w:spacing w:line="228" w:lineRule="exact"/>
              <w:ind w:left="15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7"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420" w:right="89" w:hanging="361"/>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51" w:type="dxa"/>
            <w:tcBorders>
              <w:top w:val="single" w:sz="6" w:space="0" w:color="000000"/>
              <w:left w:val="single" w:sz="6" w:space="0" w:color="000000"/>
              <w:bottom w:val="nil" w:sz="6" w:space="0" w:color="auto"/>
              <w:right w:val="single" w:sz="6" w:space="0" w:color="000000"/>
            </w:tcBorders>
            <w:shd w:val="clear" w:color="auto" w:fill="D2D2D2"/>
          </w:tcPr>
          <w:p>
            <w:pPr/>
          </w:p>
        </w:tc>
        <w:tc>
          <w:tcPr>
            <w:tcW w:w="1066" w:type="dxa"/>
            <w:tcBorders>
              <w:top w:val="single" w:sz="6" w:space="0" w:color="000000"/>
              <w:left w:val="single" w:sz="6" w:space="0" w:color="000000"/>
              <w:bottom w:val="nil" w:sz="6" w:space="0" w:color="auto"/>
              <w:right w:val="single" w:sz="6" w:space="0" w:color="000000"/>
            </w:tcBorders>
            <w:shd w:val="clear" w:color="auto" w:fill="D2D2D2"/>
          </w:tcPr>
          <w:p>
            <w:pPr/>
          </w:p>
        </w:tc>
        <w:tc>
          <w:tcPr>
            <w:tcW w:w="1067"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345" w:right="74" w:hanging="271"/>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435" w:right="73" w:hanging="361"/>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7" w:type="dxa"/>
            <w:tcBorders>
              <w:top w:val="single" w:sz="6" w:space="0" w:color="000000"/>
              <w:left w:val="single" w:sz="6" w:space="0" w:color="000000"/>
              <w:bottom w:val="nil" w:sz="6" w:space="0" w:color="auto"/>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r>
      <w:tr>
        <w:trPr>
          <w:trHeight w:val="180" w:hRule="exact"/>
        </w:trPr>
        <w:tc>
          <w:tcPr>
            <w:tcW w:w="1059" w:type="dxa"/>
            <w:vMerge/>
            <w:tcBorders>
              <w:left w:val="single" w:sz="6" w:space="0" w:color="000000"/>
              <w:right w:val="single" w:sz="6" w:space="0" w:color="000000"/>
            </w:tcBorders>
            <w:shd w:val="clear" w:color="auto" w:fill="D2D2D2"/>
          </w:tcPr>
          <w:p>
            <w:pPr/>
          </w:p>
        </w:tc>
        <w:tc>
          <w:tcPr>
            <w:tcW w:w="1074" w:type="dxa"/>
            <w:vMerge/>
            <w:tcBorders>
              <w:left w:val="single" w:sz="6" w:space="0" w:color="000000"/>
              <w:bottom w:val="nil" w:sz="6" w:space="0" w:color="auto"/>
              <w:right w:val="single" w:sz="6" w:space="0" w:color="000000"/>
            </w:tcBorders>
            <w:shd w:val="clear" w:color="auto" w:fill="D2D2D2"/>
          </w:tcPr>
          <w:p>
            <w:pPr/>
          </w:p>
        </w:tc>
        <w:tc>
          <w:tcPr>
            <w:tcW w:w="1067" w:type="dxa"/>
            <w:vMerge/>
            <w:tcBorders>
              <w:left w:val="single" w:sz="6" w:space="0" w:color="000000"/>
              <w:right w:val="single" w:sz="6" w:space="0" w:color="000000"/>
            </w:tcBorders>
            <w:shd w:val="clear" w:color="auto" w:fill="D2D2D2"/>
          </w:tcPr>
          <w:p>
            <w:pPr/>
          </w:p>
        </w:tc>
        <w:tc>
          <w:tcPr>
            <w:tcW w:w="105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6" w:type="dxa"/>
            <w:vMerge w:val="restart"/>
            <w:tcBorders>
              <w:top w:val="nil" w:sz="6" w:space="0" w:color="auto"/>
              <w:left w:val="single" w:sz="6" w:space="0" w:color="000000"/>
              <w:right w:val="single" w:sz="6" w:space="0" w:color="000000"/>
            </w:tcBorders>
            <w:shd w:val="clear" w:color="auto" w:fill="D2D2D2"/>
          </w:tcPr>
          <w:p>
            <w:pPr/>
          </w:p>
        </w:tc>
        <w:tc>
          <w:tcPr>
            <w:tcW w:w="1067" w:type="dxa"/>
            <w:vMerge/>
            <w:tcBorders>
              <w:left w:val="single" w:sz="6" w:space="0" w:color="000000"/>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c>
          <w:tcPr>
            <w:tcW w:w="1067" w:type="dxa"/>
            <w:vMerge w:val="restart"/>
            <w:tcBorders>
              <w:top w:val="nil" w:sz="6" w:space="0" w:color="auto"/>
              <w:left w:val="single" w:sz="6" w:space="0" w:color="000000"/>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r>
      <w:tr>
        <w:trPr>
          <w:trHeight w:val="210" w:hRule="exact"/>
        </w:trPr>
        <w:tc>
          <w:tcPr>
            <w:tcW w:w="1059" w:type="dxa"/>
            <w:vMerge/>
            <w:tcBorders>
              <w:left w:val="single" w:sz="6" w:space="0" w:color="000000"/>
              <w:right w:val="single" w:sz="6" w:space="0" w:color="000000"/>
            </w:tcBorders>
            <w:shd w:val="clear" w:color="auto" w:fill="D2D2D2"/>
          </w:tcPr>
          <w:p>
            <w:pPr/>
          </w:p>
        </w:tc>
        <w:tc>
          <w:tcPr>
            <w:tcW w:w="1074" w:type="dxa"/>
            <w:vMerge w:val="restart"/>
            <w:tcBorders>
              <w:top w:val="nil" w:sz="6" w:space="0" w:color="auto"/>
              <w:left w:val="single" w:sz="6" w:space="0" w:color="000000"/>
              <w:right w:val="single" w:sz="6" w:space="0" w:color="000000"/>
            </w:tcBorders>
            <w:shd w:val="clear" w:color="auto" w:fill="D2D2D2"/>
          </w:tcPr>
          <w:p>
            <w:pPr/>
          </w:p>
        </w:tc>
        <w:tc>
          <w:tcPr>
            <w:tcW w:w="1067" w:type="dxa"/>
            <w:vMerge/>
            <w:tcBorders>
              <w:left w:val="single" w:sz="6" w:space="0" w:color="000000"/>
              <w:right w:val="single" w:sz="6" w:space="0" w:color="000000"/>
            </w:tcBorders>
            <w:shd w:val="clear" w:color="auto" w:fill="D2D2D2"/>
          </w:tcPr>
          <w:p>
            <w:pPr/>
          </w:p>
        </w:tc>
        <w:tc>
          <w:tcPr>
            <w:tcW w:w="1051" w:type="dxa"/>
            <w:vMerge/>
            <w:tcBorders>
              <w:left w:val="single" w:sz="6" w:space="0" w:color="000000"/>
              <w:bottom w:val="nil" w:sz="6" w:space="0" w:color="auto"/>
              <w:right w:val="single" w:sz="6" w:space="0" w:color="000000"/>
            </w:tcBorders>
            <w:shd w:val="clear" w:color="auto" w:fill="D2D2D2"/>
          </w:tcPr>
          <w:p>
            <w:pPr/>
          </w:p>
        </w:tc>
        <w:tc>
          <w:tcPr>
            <w:tcW w:w="1066" w:type="dxa"/>
            <w:vMerge/>
            <w:tcBorders>
              <w:left w:val="single" w:sz="6" w:space="0" w:color="000000"/>
              <w:bottom w:val="nil" w:sz="6" w:space="0" w:color="auto"/>
              <w:right w:val="single" w:sz="6" w:space="0" w:color="000000"/>
            </w:tcBorders>
            <w:shd w:val="clear" w:color="auto" w:fill="D2D2D2"/>
          </w:tcPr>
          <w:p>
            <w:pPr/>
          </w:p>
        </w:tc>
        <w:tc>
          <w:tcPr>
            <w:tcW w:w="1067" w:type="dxa"/>
            <w:vMerge/>
            <w:tcBorders>
              <w:left w:val="single" w:sz="6" w:space="0" w:color="000000"/>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c>
          <w:tcPr>
            <w:tcW w:w="1067" w:type="dxa"/>
            <w:vMerge/>
            <w:tcBorders>
              <w:left w:val="single" w:sz="6" w:space="0" w:color="000000"/>
              <w:bottom w:val="nil" w:sz="6" w:space="0" w:color="auto"/>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r>
      <w:tr>
        <w:trPr>
          <w:trHeight w:val="158" w:hRule="exact"/>
        </w:trPr>
        <w:tc>
          <w:tcPr>
            <w:tcW w:w="1059" w:type="dxa"/>
            <w:vMerge/>
            <w:tcBorders>
              <w:left w:val="single" w:sz="6" w:space="0" w:color="000000"/>
              <w:bottom w:val="single" w:sz="6" w:space="0" w:color="000000"/>
              <w:right w:val="single" w:sz="6" w:space="0" w:color="000000"/>
            </w:tcBorders>
            <w:shd w:val="clear" w:color="auto" w:fill="D2D2D2"/>
          </w:tcPr>
          <w:p>
            <w:pPr/>
          </w:p>
        </w:tc>
        <w:tc>
          <w:tcPr>
            <w:tcW w:w="1074" w:type="dxa"/>
            <w:vMerge/>
            <w:tcBorders>
              <w:left w:val="single" w:sz="6" w:space="0" w:color="000000"/>
              <w:bottom w:val="single" w:sz="6" w:space="0" w:color="000000"/>
              <w:right w:val="single" w:sz="6" w:space="0" w:color="000000"/>
            </w:tcBorders>
            <w:shd w:val="clear" w:color="auto" w:fill="D2D2D2"/>
          </w:tcPr>
          <w:p>
            <w:pPr/>
          </w:p>
        </w:tc>
        <w:tc>
          <w:tcPr>
            <w:tcW w:w="1067" w:type="dxa"/>
            <w:vMerge/>
            <w:tcBorders>
              <w:left w:val="single" w:sz="6" w:space="0" w:color="000000"/>
              <w:bottom w:val="single" w:sz="6" w:space="0" w:color="000000"/>
              <w:right w:val="single" w:sz="6" w:space="0" w:color="000000"/>
            </w:tcBorders>
            <w:shd w:val="clear" w:color="auto" w:fill="D2D2D2"/>
          </w:tcPr>
          <w:p>
            <w:pPr/>
          </w:p>
        </w:tc>
        <w:tc>
          <w:tcPr>
            <w:tcW w:w="1051" w:type="dxa"/>
            <w:tcBorders>
              <w:top w:val="nil" w:sz="6" w:space="0" w:color="auto"/>
              <w:left w:val="single" w:sz="6" w:space="0" w:color="000000"/>
              <w:bottom w:val="single" w:sz="6" w:space="0" w:color="000000"/>
              <w:right w:val="single" w:sz="6" w:space="0" w:color="000000"/>
            </w:tcBorders>
            <w:shd w:val="clear" w:color="auto" w:fill="D2D2D2"/>
          </w:tcPr>
          <w:p>
            <w:pPr/>
          </w:p>
        </w:tc>
        <w:tc>
          <w:tcPr>
            <w:tcW w:w="1066" w:type="dxa"/>
            <w:tcBorders>
              <w:top w:val="nil" w:sz="6" w:space="0" w:color="auto"/>
              <w:left w:val="single" w:sz="6" w:space="0" w:color="000000"/>
              <w:bottom w:val="single" w:sz="6" w:space="0" w:color="000000"/>
              <w:right w:val="single" w:sz="6" w:space="0" w:color="000000"/>
            </w:tcBorders>
            <w:shd w:val="clear" w:color="auto" w:fill="D2D2D2"/>
          </w:tcPr>
          <w:p>
            <w:pPr/>
          </w:p>
        </w:tc>
        <w:tc>
          <w:tcPr>
            <w:tcW w:w="1067" w:type="dxa"/>
            <w:vMerge/>
            <w:tcBorders>
              <w:left w:val="single" w:sz="6" w:space="0" w:color="000000"/>
              <w:bottom w:val="single" w:sz="6" w:space="0" w:color="000000"/>
              <w:right w:val="single" w:sz="6" w:space="0" w:color="000000"/>
            </w:tcBorders>
            <w:shd w:val="clear" w:color="auto" w:fill="D2D2D2"/>
          </w:tcPr>
          <w:p>
            <w:pPr/>
          </w:p>
        </w:tc>
        <w:tc>
          <w:tcPr>
            <w:tcW w:w="1066" w:type="dxa"/>
            <w:vMerge/>
            <w:tcBorders>
              <w:left w:val="single" w:sz="6" w:space="0" w:color="000000"/>
              <w:bottom w:val="single" w:sz="6" w:space="0" w:color="000000"/>
              <w:right w:val="single" w:sz="6" w:space="0" w:color="000000"/>
            </w:tcBorders>
            <w:shd w:val="clear" w:color="auto" w:fill="D2D2D2"/>
          </w:tcPr>
          <w:p>
            <w:pPr/>
          </w:p>
        </w:tc>
        <w:tc>
          <w:tcPr>
            <w:tcW w:w="1067" w:type="dxa"/>
            <w:tcBorders>
              <w:top w:val="nil" w:sz="6" w:space="0" w:color="auto"/>
              <w:left w:val="single" w:sz="6" w:space="0" w:color="000000"/>
              <w:bottom w:val="single" w:sz="6" w:space="0" w:color="000000"/>
              <w:right w:val="single" w:sz="6" w:space="0" w:color="000000"/>
            </w:tcBorders>
            <w:shd w:val="clear" w:color="auto" w:fill="D2D2D2"/>
          </w:tcPr>
          <w:p>
            <w:pPr/>
          </w:p>
        </w:tc>
        <w:tc>
          <w:tcPr>
            <w:tcW w:w="1066" w:type="dxa"/>
            <w:vMerge/>
            <w:tcBorders>
              <w:left w:val="single" w:sz="6" w:space="0" w:color="000000"/>
              <w:bottom w:val="single" w:sz="6" w:space="0" w:color="000000"/>
              <w:right w:val="single" w:sz="6" w:space="0" w:color="000000"/>
            </w:tcBorders>
            <w:shd w:val="clear" w:color="auto" w:fill="D2D2D2"/>
          </w:tcPr>
          <w:p>
            <w:pPr/>
          </w:p>
        </w:tc>
      </w:tr>
      <w:tr>
        <w:trPr>
          <w:trHeight w:val="1036" w:hRule="exact"/>
        </w:trPr>
        <w:tc>
          <w:tcPr>
            <w:tcW w:w="10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8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OTP</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动态令 牌芯片</w:t>
            </w:r>
          </w:p>
          <w:p>
            <w:pPr>
              <w:pStyle w:val="TableParagraph"/>
              <w:spacing w:line="240" w:lineRule="auto" w:before="109"/>
              <w:ind w:left="15" w:right="0"/>
              <w:jc w:val="left"/>
              <w:rPr>
                <w:rFonts w:ascii="Times New Roman" w:hAnsi="Times New Roman" w:cs="Times New Roman" w:eastAsia="Times New Roman" w:hint="default"/>
                <w:sz w:val="18"/>
                <w:szCs w:val="18"/>
              </w:rPr>
            </w:pPr>
            <w:r>
              <w:rPr>
                <w:rFonts w:ascii="Times New Roman"/>
                <w:sz w:val="18"/>
              </w:rPr>
              <w:t>HSC08T1</w:t>
            </w:r>
          </w:p>
        </w:tc>
        <w:tc>
          <w:tcPr>
            <w:tcW w:w="107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1,436,702.44</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1,436,702.44</w:t>
            </w:r>
          </w:p>
        </w:tc>
      </w:tr>
      <w:tr>
        <w:trPr>
          <w:trHeight w:val="390" w:hRule="exact"/>
        </w:trPr>
        <w:tc>
          <w:tcPr>
            <w:tcW w:w="10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3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7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1,436,702.44</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3" w:right="0"/>
              <w:jc w:val="center"/>
              <w:rPr>
                <w:rFonts w:ascii="Times New Roman" w:hAnsi="Times New Roman" w:cs="Times New Roman" w:eastAsia="Times New Roman" w:hint="default"/>
                <w:sz w:val="18"/>
                <w:szCs w:val="18"/>
              </w:rPr>
            </w:pPr>
            <w:r>
              <w:rPr>
                <w:rFonts w:ascii="Times New Roman"/>
                <w:sz w:val="18"/>
              </w:rPr>
              <w:t>1,436,702.44</w:t>
            </w:r>
          </w:p>
        </w:tc>
      </w:tr>
    </w:tbl>
    <w:p>
      <w:pPr>
        <w:pStyle w:val="BodyText"/>
        <w:spacing w:line="240" w:lineRule="auto" w:before="45"/>
        <w:ind w:left="221"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left="221" w:right="0"/>
        <w:jc w:val="left"/>
        <w:rPr>
          <w:b w:val="0"/>
          <w:bCs w:val="0"/>
        </w:rPr>
      </w:pPr>
      <w:bookmarkStart w:name="15、商誉" w:id="250"/>
      <w:bookmarkEnd w:id="250"/>
      <w:r>
        <w:rPr>
          <w:b w:val="0"/>
          <w:bCs w:val="0"/>
        </w:rPr>
      </w:r>
      <w:r>
        <w:rPr>
          <w:rFonts w:ascii="Times New Roman" w:hAnsi="Times New Roman" w:cs="Times New Roman" w:eastAsia="Times New Roman" w:hint="default"/>
        </w:rPr>
        <w:t>15</w:t>
      </w:r>
      <w:r>
        <w:rPr/>
        <w:t>、商誉</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left="221" w:right="0"/>
        <w:jc w:val="left"/>
        <w:rPr>
          <w:b w:val="0"/>
          <w:bCs w:val="0"/>
        </w:rPr>
      </w:pPr>
      <w:bookmarkStart w:name="（1）商誉账面原值" w:id="251"/>
      <w:bookmarkEnd w:id="251"/>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213" w:type="dxa"/>
        <w:tblLayout w:type="fixed"/>
        <w:tblCellMar>
          <w:top w:w="0" w:type="dxa"/>
          <w:left w:w="0" w:type="dxa"/>
          <w:bottom w:w="0" w:type="dxa"/>
          <w:right w:w="0" w:type="dxa"/>
        </w:tblCellMar>
        <w:tblLook w:val="01E0"/>
      </w:tblPr>
      <w:tblGrid>
        <w:gridCol w:w="1352"/>
        <w:gridCol w:w="1375"/>
        <w:gridCol w:w="1367"/>
        <w:gridCol w:w="1382"/>
        <w:gridCol w:w="1366"/>
        <w:gridCol w:w="1367"/>
        <w:gridCol w:w="1367"/>
      </w:tblGrid>
      <w:tr>
        <w:trPr>
          <w:trHeight w:val="308" w:hRule="exact"/>
        </w:trPr>
        <w:tc>
          <w:tcPr>
            <w:tcW w:w="1352"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45"/>
              <w:ind w:left="22" w:right="53"/>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5" w:type="dxa"/>
            <w:tcBorders>
              <w:top w:val="single" w:sz="6" w:space="0" w:color="000000"/>
              <w:left w:val="single" w:sz="6" w:space="0" w:color="000000"/>
              <w:bottom w:val="nil" w:sz="6" w:space="0" w:color="auto"/>
              <w:right w:val="single" w:sz="6" w:space="0" w:color="000000"/>
            </w:tcBorders>
            <w:shd w:val="clear" w:color="auto" w:fill="D2D2D2"/>
          </w:tcPr>
          <w:p>
            <w:pPr/>
          </w:p>
        </w:tc>
        <w:tc>
          <w:tcPr>
            <w:tcW w:w="2749"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3"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0" w:hRule="exact"/>
        </w:trPr>
        <w:tc>
          <w:tcPr>
            <w:tcW w:w="1352" w:type="dxa"/>
            <w:vMerge/>
            <w:tcBorders>
              <w:left w:val="single" w:sz="6" w:space="0" w:color="000000"/>
              <w:right w:val="single" w:sz="6" w:space="0" w:color="000000"/>
            </w:tcBorders>
            <w:shd w:val="clear" w:color="auto" w:fill="D2D2D2"/>
          </w:tcPr>
          <w:p>
            <w:pPr/>
          </w:p>
        </w:tc>
        <w:tc>
          <w:tcPr>
            <w:tcW w:w="137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32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49" w:type="dxa"/>
            <w:gridSpan w:val="2"/>
            <w:vMerge/>
            <w:tcBorders>
              <w:left w:val="single" w:sz="6" w:space="0" w:color="000000"/>
              <w:bottom w:val="single" w:sz="6" w:space="0" w:color="000000"/>
              <w:right w:val="single" w:sz="6" w:space="0" w:color="000000"/>
            </w:tcBorders>
            <w:shd w:val="clear" w:color="auto" w:fill="D2D2D2"/>
          </w:tcPr>
          <w:p>
            <w:pPr/>
          </w:p>
        </w:tc>
        <w:tc>
          <w:tcPr>
            <w:tcW w:w="2733" w:type="dxa"/>
            <w:gridSpan w:val="2"/>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right w:val="single" w:sz="6" w:space="0" w:color="000000"/>
            </w:tcBorders>
            <w:shd w:val="clear" w:color="auto" w:fill="D2D2D2"/>
          </w:tcPr>
          <w:p>
            <w:pPr/>
          </w:p>
        </w:tc>
      </w:tr>
      <w:tr>
        <w:trPr>
          <w:trHeight w:val="240" w:hRule="exact"/>
        </w:trPr>
        <w:tc>
          <w:tcPr>
            <w:tcW w:w="1352" w:type="dxa"/>
            <w:vMerge/>
            <w:tcBorders>
              <w:left w:val="single" w:sz="6" w:space="0" w:color="000000"/>
              <w:right w:val="single" w:sz="6" w:space="0" w:color="000000"/>
            </w:tcBorders>
            <w:shd w:val="clear" w:color="auto" w:fill="D2D2D2"/>
          </w:tcPr>
          <w:p>
            <w:pPr/>
          </w:p>
        </w:tc>
        <w:tc>
          <w:tcPr>
            <w:tcW w:w="1375" w:type="dxa"/>
            <w:vMerge/>
            <w:tcBorders>
              <w:left w:val="single" w:sz="6" w:space="0" w:color="000000"/>
              <w:bottom w:val="nil" w:sz="6" w:space="0" w:color="auto"/>
              <w:right w:val="single" w:sz="6" w:space="0" w:color="000000"/>
            </w:tcBorders>
            <w:shd w:val="clear" w:color="auto" w:fill="D2D2D2"/>
          </w:tcPr>
          <w:p>
            <w:pP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7"/>
              <w:ind w:left="45"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82" w:type="dxa"/>
            <w:vMerge w:val="restart"/>
            <w:tcBorders>
              <w:top w:val="single" w:sz="6" w:space="0" w:color="000000"/>
              <w:left w:val="single" w:sz="6" w:space="0" w:color="000000"/>
              <w:right w:val="single" w:sz="6" w:space="0" w:color="000000"/>
            </w:tcBorders>
            <w:shd w:val="clear" w:color="auto" w:fill="D2D2D2"/>
          </w:tcPr>
          <w:p>
            <w:pPr/>
          </w:p>
        </w:tc>
        <w:tc>
          <w:tcPr>
            <w:tcW w:w="13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7"/>
              <w:ind w:right="28"/>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vMerge w:val="restart"/>
            <w:tcBorders>
              <w:top w:val="single" w:sz="6" w:space="0" w:color="000000"/>
              <w:left w:val="single" w:sz="6" w:space="0" w:color="000000"/>
              <w:right w:val="single" w:sz="6" w:space="0" w:color="000000"/>
            </w:tcBorders>
            <w:shd w:val="clear" w:color="auto" w:fill="D2D2D2"/>
          </w:tcPr>
          <w:p>
            <w:pPr/>
          </w:p>
        </w:tc>
        <w:tc>
          <w:tcPr>
            <w:tcW w:w="1367" w:type="dxa"/>
            <w:vMerge/>
            <w:tcBorders>
              <w:left w:val="single" w:sz="6" w:space="0" w:color="000000"/>
              <w:right w:val="single" w:sz="6" w:space="0" w:color="000000"/>
            </w:tcBorders>
            <w:shd w:val="clear" w:color="auto" w:fill="D2D2D2"/>
          </w:tcPr>
          <w:p>
            <w:pPr/>
          </w:p>
        </w:tc>
      </w:tr>
      <w:tr>
        <w:trPr>
          <w:trHeight w:val="323" w:hRule="exact"/>
        </w:trPr>
        <w:tc>
          <w:tcPr>
            <w:tcW w:w="1352" w:type="dxa"/>
            <w:vMerge/>
            <w:tcBorders>
              <w:left w:val="single" w:sz="6" w:space="0" w:color="000000"/>
              <w:bottom w:val="single" w:sz="6" w:space="0" w:color="000000"/>
              <w:right w:val="single" w:sz="6" w:space="0" w:color="000000"/>
            </w:tcBorders>
            <w:shd w:val="clear" w:color="auto" w:fill="D2D2D2"/>
          </w:tcPr>
          <w:p>
            <w:pPr/>
          </w:p>
        </w:tc>
        <w:tc>
          <w:tcPr>
            <w:tcW w:w="1375" w:type="dxa"/>
            <w:tcBorders>
              <w:top w:val="nil" w:sz="6" w:space="0" w:color="auto"/>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vMerge/>
            <w:tcBorders>
              <w:left w:val="single" w:sz="6" w:space="0" w:color="000000"/>
              <w:bottom w:val="single" w:sz="6" w:space="0" w:color="000000"/>
              <w:right w:val="single" w:sz="6" w:space="0" w:color="000000"/>
            </w:tcBorders>
            <w:shd w:val="clear" w:color="auto" w:fill="D2D2D2"/>
          </w:tcPr>
          <w:p>
            <w:pPr/>
          </w:p>
        </w:tc>
        <w:tc>
          <w:tcPr>
            <w:tcW w:w="1366"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721"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68"/>
              <w:jc w:val="left"/>
              <w:rPr>
                <w:rFonts w:ascii="宋体" w:hAnsi="宋体" w:cs="宋体" w:eastAsia="宋体" w:hint="default"/>
                <w:sz w:val="18"/>
                <w:szCs w:val="18"/>
              </w:rPr>
            </w:pPr>
            <w:r>
              <w:rPr>
                <w:rFonts w:ascii="宋体" w:hAnsi="宋体" w:cs="宋体" w:eastAsia="宋体" w:hint="default"/>
                <w:sz w:val="18"/>
                <w:szCs w:val="18"/>
              </w:rPr>
              <w:t>北京宏思电子技 术有限责任公司</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102,294,256.35</w:t>
            </w:r>
          </w:p>
        </w:tc>
        <w:tc>
          <w:tcPr>
            <w:tcW w:w="1367" w:type="dxa"/>
            <w:tcBorders>
              <w:top w:val="single" w:sz="48" w:space="0" w:color="D2D2D2"/>
              <w:left w:val="single" w:sz="6" w:space="0" w:color="000000"/>
              <w:bottom w:val="single" w:sz="6" w:space="0" w:color="000000"/>
              <w:right w:val="single" w:sz="6" w:space="0" w:color="000000"/>
            </w:tcBorders>
          </w:tcPr>
          <w:p>
            <w:pPr/>
          </w:p>
        </w:tc>
        <w:tc>
          <w:tcPr>
            <w:tcW w:w="1382" w:type="dxa"/>
            <w:tcBorders>
              <w:top w:val="single" w:sz="48" w:space="0" w:color="D2D2D2"/>
              <w:left w:val="single" w:sz="6" w:space="0" w:color="000000"/>
              <w:bottom w:val="single" w:sz="6" w:space="0" w:color="000000"/>
              <w:right w:val="single" w:sz="6" w:space="0" w:color="000000"/>
            </w:tcBorders>
          </w:tcPr>
          <w:p>
            <w:pPr/>
          </w:p>
        </w:tc>
        <w:tc>
          <w:tcPr>
            <w:tcW w:w="1366" w:type="dxa"/>
            <w:tcBorders>
              <w:top w:val="single" w:sz="48" w:space="0" w:color="D2D2D2"/>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102,294,256.35</w:t>
            </w:r>
          </w:p>
        </w:tc>
      </w:tr>
      <w:tr>
        <w:trPr>
          <w:trHeight w:val="390"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合计</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102,294,256.35</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102,294,256.35</w:t>
            </w:r>
          </w:p>
        </w:tc>
      </w:tr>
    </w:tbl>
    <w:p>
      <w:pPr>
        <w:spacing w:line="240" w:lineRule="auto" w:before="11"/>
        <w:rPr>
          <w:rFonts w:ascii="宋体" w:hAnsi="宋体" w:cs="宋体" w:eastAsia="宋体" w:hint="default"/>
          <w:sz w:val="19"/>
          <w:szCs w:val="19"/>
        </w:rPr>
      </w:pPr>
    </w:p>
    <w:p>
      <w:pPr>
        <w:pStyle w:val="Heading4"/>
        <w:spacing w:line="240" w:lineRule="auto" w:before="35"/>
        <w:ind w:left="221" w:right="0"/>
        <w:jc w:val="left"/>
        <w:rPr>
          <w:b w:val="0"/>
          <w:bCs w:val="0"/>
        </w:rPr>
      </w:pPr>
      <w:bookmarkStart w:name="（2）商誉减值准备" w:id="252"/>
      <w:bookmarkEnd w:id="252"/>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206" w:type="dxa"/>
        <w:tblLayout w:type="fixed"/>
        <w:tblCellMar>
          <w:top w:w="0" w:type="dxa"/>
          <w:left w:w="0" w:type="dxa"/>
          <w:bottom w:w="0" w:type="dxa"/>
          <w:right w:w="0" w:type="dxa"/>
        </w:tblCellMar>
        <w:tblLook w:val="01E0"/>
      </w:tblPr>
      <w:tblGrid>
        <w:gridCol w:w="1367"/>
        <w:gridCol w:w="1367"/>
        <w:gridCol w:w="2749"/>
        <w:gridCol w:w="2733"/>
        <w:gridCol w:w="1367"/>
      </w:tblGrid>
      <w:tr>
        <w:trPr>
          <w:trHeight w:val="39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0"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5"/>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50"/>
          <w:pgMar w:header="731" w:footer="981" w:top="1040" w:bottom="1180" w:left="920" w:right="0"/>
        </w:sectPr>
      </w:pPr>
    </w:p>
    <w:p>
      <w:pPr>
        <w:spacing w:line="240" w:lineRule="auto" w:before="6"/>
        <w:rPr>
          <w:rFonts w:ascii="宋体" w:hAnsi="宋体" w:cs="宋体" w:eastAsia="宋体" w:hint="default"/>
          <w:sz w:val="29"/>
          <w:szCs w:val="29"/>
        </w:rPr>
      </w:pPr>
    </w:p>
    <w:tbl>
      <w:tblPr>
        <w:tblW w:w="0" w:type="auto"/>
        <w:jc w:val="left"/>
        <w:tblInd w:w="133" w:type="dxa"/>
        <w:tblLayout w:type="fixed"/>
        <w:tblCellMar>
          <w:top w:w="0" w:type="dxa"/>
          <w:left w:w="0" w:type="dxa"/>
          <w:bottom w:w="0" w:type="dxa"/>
          <w:right w:w="0" w:type="dxa"/>
        </w:tblCellMar>
        <w:tblLook w:val="01E0"/>
      </w:tblPr>
      <w:tblGrid>
        <w:gridCol w:w="1352"/>
        <w:gridCol w:w="1375"/>
        <w:gridCol w:w="1367"/>
        <w:gridCol w:w="1382"/>
        <w:gridCol w:w="1366"/>
        <w:gridCol w:w="1367"/>
        <w:gridCol w:w="1367"/>
      </w:tblGrid>
      <w:tr>
        <w:trPr>
          <w:trHeight w:val="143" w:hRule="exact"/>
        </w:trPr>
        <w:tc>
          <w:tcPr>
            <w:tcW w:w="1352"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ind w:left="562" w:right="53" w:hanging="541"/>
              <w:jc w:val="left"/>
              <w:rPr>
                <w:rFonts w:ascii="宋体" w:hAnsi="宋体" w:cs="宋体" w:eastAsia="宋体" w:hint="default"/>
                <w:sz w:val="18"/>
                <w:szCs w:val="18"/>
              </w:rPr>
            </w:pPr>
            <w:r>
              <w:rPr>
                <w:rFonts w:ascii="宋体" w:hAnsi="宋体" w:cs="宋体" w:eastAsia="宋体" w:hint="default"/>
                <w:sz w:val="18"/>
                <w:szCs w:val="18"/>
              </w:rPr>
              <w:t>或形成商誉的事 项</w:t>
            </w:r>
          </w:p>
        </w:tc>
        <w:tc>
          <w:tcPr>
            <w:tcW w:w="1375" w:type="dxa"/>
            <w:vMerge w:val="restart"/>
            <w:tcBorders>
              <w:top w:val="single" w:sz="6" w:space="0" w:color="000000"/>
              <w:left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nil" w:sz="6" w:space="0" w:color="auto"/>
              <w:right w:val="single" w:sz="6" w:space="0" w:color="000000"/>
            </w:tcBorders>
            <w:shd w:val="clear" w:color="auto" w:fill="D2D2D2"/>
          </w:tcPr>
          <w:p>
            <w:pPr/>
          </w:p>
        </w:tc>
        <w:tc>
          <w:tcPr>
            <w:tcW w:w="1382" w:type="dxa"/>
            <w:tcBorders>
              <w:top w:val="single" w:sz="6" w:space="0" w:color="000000"/>
              <w:left w:val="single" w:sz="6" w:space="0" w:color="000000"/>
              <w:bottom w:val="nil" w:sz="6" w:space="0" w:color="auto"/>
              <w:right w:val="single" w:sz="6" w:space="0" w:color="000000"/>
            </w:tcBorders>
            <w:shd w:val="clear" w:color="auto" w:fill="D2D2D2"/>
          </w:tcPr>
          <w:p>
            <w:pPr/>
          </w:p>
        </w:tc>
        <w:tc>
          <w:tcPr>
            <w:tcW w:w="1366" w:type="dxa"/>
            <w:tcBorders>
              <w:top w:val="single" w:sz="6" w:space="0" w:color="000000"/>
              <w:left w:val="single" w:sz="6" w:space="0" w:color="000000"/>
              <w:bottom w:val="nil" w:sz="6" w:space="0" w:color="auto"/>
              <w:right w:val="single" w:sz="6" w:space="0" w:color="000000"/>
            </w:tcBorders>
            <w:shd w:val="clear" w:color="auto" w:fill="D2D2D2"/>
          </w:tcPr>
          <w:p>
            <w:pPr/>
          </w:p>
        </w:tc>
        <w:tc>
          <w:tcPr>
            <w:tcW w:w="1367" w:type="dxa"/>
            <w:tcBorders>
              <w:top w:val="single" w:sz="6" w:space="0" w:color="000000"/>
              <w:left w:val="single" w:sz="6" w:space="0" w:color="000000"/>
              <w:bottom w:val="nil" w:sz="6" w:space="0" w:color="auto"/>
              <w:right w:val="single" w:sz="6" w:space="0" w:color="000000"/>
            </w:tcBorders>
            <w:shd w:val="clear" w:color="auto" w:fill="D2D2D2"/>
          </w:tcPr>
          <w:p>
            <w:pPr/>
          </w:p>
        </w:tc>
        <w:tc>
          <w:tcPr>
            <w:tcW w:w="1367" w:type="dxa"/>
            <w:vMerge w:val="restart"/>
            <w:tcBorders>
              <w:top w:val="single" w:sz="6" w:space="0" w:color="000000"/>
              <w:left w:val="single" w:sz="6" w:space="0" w:color="000000"/>
              <w:right w:val="single" w:sz="6" w:space="0" w:color="000000"/>
            </w:tcBorders>
            <w:shd w:val="clear" w:color="auto" w:fill="D2D2D2"/>
          </w:tcPr>
          <w:p>
            <w:pPr/>
          </w:p>
        </w:tc>
      </w:tr>
      <w:tr>
        <w:trPr>
          <w:trHeight w:val="390" w:hRule="exact"/>
        </w:trPr>
        <w:tc>
          <w:tcPr>
            <w:tcW w:w="1352" w:type="dxa"/>
            <w:vMerge/>
            <w:tcBorders>
              <w:left w:val="single" w:sz="6" w:space="0" w:color="000000"/>
              <w:right w:val="single" w:sz="6" w:space="0" w:color="000000"/>
            </w:tcBorders>
            <w:shd w:val="clear" w:color="auto" w:fill="D2D2D2"/>
          </w:tcPr>
          <w:p>
            <w:pPr/>
          </w:p>
        </w:tc>
        <w:tc>
          <w:tcPr>
            <w:tcW w:w="1375" w:type="dxa"/>
            <w:vMerge/>
            <w:tcBorders>
              <w:left w:val="single" w:sz="6" w:space="0" w:color="000000"/>
              <w:right w:val="single" w:sz="6" w:space="0" w:color="000000"/>
            </w:tcBorders>
            <w:shd w:val="clear" w:color="auto" w:fill="D2D2D2"/>
          </w:tcPr>
          <w:p>
            <w:pPr/>
          </w:p>
        </w:tc>
        <w:tc>
          <w:tcPr>
            <w:tcW w:w="136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82" w:type="dxa"/>
            <w:tcBorders>
              <w:top w:val="nil" w:sz="6" w:space="0" w:color="auto"/>
              <w:left w:val="single" w:sz="6" w:space="0" w:color="000000"/>
              <w:bottom w:val="nil" w:sz="6" w:space="0" w:color="auto"/>
              <w:right w:val="single" w:sz="6" w:space="0" w:color="000000"/>
            </w:tcBorders>
            <w:shd w:val="clear" w:color="auto" w:fill="D2D2D2"/>
          </w:tcPr>
          <w:p>
            <w:pPr/>
          </w:p>
        </w:tc>
        <w:tc>
          <w:tcPr>
            <w:tcW w:w="136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vMerge w:val="restart"/>
            <w:tcBorders>
              <w:top w:val="nil" w:sz="6" w:space="0" w:color="auto"/>
              <w:left w:val="single" w:sz="6" w:space="0" w:color="000000"/>
              <w:right w:val="single" w:sz="6" w:space="0" w:color="000000"/>
            </w:tcBorders>
            <w:shd w:val="clear" w:color="auto" w:fill="D2D2D2"/>
          </w:tcPr>
          <w:p>
            <w:pPr/>
          </w:p>
        </w:tc>
        <w:tc>
          <w:tcPr>
            <w:tcW w:w="1367" w:type="dxa"/>
            <w:vMerge/>
            <w:tcBorders>
              <w:left w:val="single" w:sz="6" w:space="0" w:color="000000"/>
              <w:right w:val="single" w:sz="6" w:space="0" w:color="000000"/>
            </w:tcBorders>
            <w:shd w:val="clear" w:color="auto" w:fill="D2D2D2"/>
          </w:tcPr>
          <w:p>
            <w:pPr/>
          </w:p>
        </w:tc>
      </w:tr>
      <w:tr>
        <w:trPr>
          <w:trHeight w:val="143" w:hRule="exact"/>
        </w:trPr>
        <w:tc>
          <w:tcPr>
            <w:tcW w:w="1352" w:type="dxa"/>
            <w:vMerge/>
            <w:tcBorders>
              <w:left w:val="single" w:sz="6" w:space="0" w:color="000000"/>
              <w:bottom w:val="single" w:sz="6" w:space="0" w:color="000000"/>
              <w:right w:val="single" w:sz="6" w:space="0" w:color="000000"/>
            </w:tcBorders>
            <w:shd w:val="clear" w:color="auto" w:fill="D2D2D2"/>
          </w:tcPr>
          <w:p>
            <w:pPr/>
          </w:p>
        </w:tc>
        <w:tc>
          <w:tcPr>
            <w:tcW w:w="1375" w:type="dxa"/>
            <w:vMerge/>
            <w:tcBorders>
              <w:left w:val="single" w:sz="6" w:space="0" w:color="000000"/>
              <w:bottom w:val="single" w:sz="6" w:space="0" w:color="000000"/>
              <w:right w:val="single" w:sz="6" w:space="0" w:color="000000"/>
            </w:tcBorders>
            <w:shd w:val="clear" w:color="auto" w:fill="D2D2D2"/>
          </w:tcPr>
          <w:p>
            <w:pPr/>
          </w:p>
        </w:tc>
        <w:tc>
          <w:tcPr>
            <w:tcW w:w="1367" w:type="dxa"/>
            <w:tcBorders>
              <w:top w:val="nil" w:sz="6" w:space="0" w:color="auto"/>
              <w:left w:val="single" w:sz="6" w:space="0" w:color="000000"/>
              <w:bottom w:val="single" w:sz="6" w:space="0" w:color="000000"/>
              <w:right w:val="single" w:sz="6" w:space="0" w:color="000000"/>
            </w:tcBorders>
            <w:shd w:val="clear" w:color="auto" w:fill="D2D2D2"/>
          </w:tcPr>
          <w:p>
            <w:pPr/>
          </w:p>
        </w:tc>
        <w:tc>
          <w:tcPr>
            <w:tcW w:w="1382" w:type="dxa"/>
            <w:tcBorders>
              <w:top w:val="nil" w:sz="6" w:space="0" w:color="auto"/>
              <w:left w:val="single" w:sz="6" w:space="0" w:color="000000"/>
              <w:bottom w:val="single" w:sz="6" w:space="0" w:color="000000"/>
              <w:right w:val="single" w:sz="6" w:space="0" w:color="000000"/>
            </w:tcBorders>
            <w:shd w:val="clear" w:color="auto" w:fill="D2D2D2"/>
          </w:tcPr>
          <w:p>
            <w:pPr/>
          </w:p>
        </w:tc>
        <w:tc>
          <w:tcPr>
            <w:tcW w:w="1366" w:type="dxa"/>
            <w:tcBorders>
              <w:top w:val="nil" w:sz="6" w:space="0" w:color="auto"/>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720"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68"/>
              <w:jc w:val="left"/>
              <w:rPr>
                <w:rFonts w:ascii="宋体" w:hAnsi="宋体" w:cs="宋体" w:eastAsia="宋体" w:hint="default"/>
                <w:sz w:val="18"/>
                <w:szCs w:val="18"/>
              </w:rPr>
            </w:pPr>
            <w:r>
              <w:rPr>
                <w:rFonts w:ascii="宋体" w:hAnsi="宋体" w:cs="宋体" w:eastAsia="宋体" w:hint="default"/>
                <w:sz w:val="18"/>
                <w:szCs w:val="18"/>
              </w:rPr>
              <w:t>北京宏思电子技 术有限责任公司</w:t>
            </w:r>
          </w:p>
        </w:tc>
        <w:tc>
          <w:tcPr>
            <w:tcW w:w="1375" w:type="dxa"/>
            <w:tcBorders>
              <w:top w:val="single" w:sz="6" w:space="0" w:color="000000"/>
              <w:left w:val="single" w:sz="12"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合计</w:t>
            </w:r>
          </w:p>
        </w:tc>
        <w:tc>
          <w:tcPr>
            <w:tcW w:w="1375" w:type="dxa"/>
            <w:tcBorders>
              <w:top w:val="single" w:sz="6" w:space="0" w:color="000000"/>
              <w:left w:val="single" w:sz="12"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4"/>
        <w:ind w:right="1100"/>
        <w:jc w:val="left"/>
      </w:pPr>
      <w:r>
        <w:rPr/>
        <w:t>商誉所在资产组或资产组组合的相关信息</w:t>
      </w:r>
    </w:p>
    <w:p>
      <w:pPr>
        <w:spacing w:line="240" w:lineRule="auto" w:before="5"/>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1622"/>
        <w:gridCol w:w="3018"/>
        <w:gridCol w:w="1622"/>
        <w:gridCol w:w="1021"/>
        <w:gridCol w:w="2388"/>
      </w:tblGrid>
      <w:tr>
        <w:trPr>
          <w:trHeight w:val="345" w:hRule="exact"/>
        </w:trPr>
        <w:tc>
          <w:tcPr>
            <w:tcW w:w="1622" w:type="dxa"/>
            <w:vMerge w:val="restart"/>
            <w:tcBorders>
              <w:top w:val="single" w:sz="6" w:space="0" w:color="000000"/>
              <w:left w:val="single" w:sz="6" w:space="0" w:color="000000"/>
              <w:right w:val="single" w:sz="6" w:space="0" w:color="000000"/>
            </w:tcBorders>
          </w:tcPr>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b/>
                <w:bCs/>
                <w:sz w:val="18"/>
                <w:szCs w:val="18"/>
              </w:rPr>
              <w:t>商誉账面价值</w:t>
            </w:r>
            <w:r>
              <w:rPr>
                <w:rFonts w:ascii="宋体" w:hAnsi="宋体" w:cs="宋体" w:eastAsia="宋体" w:hint="default"/>
                <w:sz w:val="18"/>
                <w:szCs w:val="18"/>
              </w:rPr>
            </w:r>
          </w:p>
        </w:tc>
        <w:tc>
          <w:tcPr>
            <w:tcW w:w="805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b/>
                <w:bCs/>
                <w:sz w:val="18"/>
                <w:szCs w:val="18"/>
              </w:rPr>
              <w:t>资产组或资产组组合</w:t>
            </w:r>
            <w:r>
              <w:rPr>
                <w:rFonts w:ascii="宋体" w:hAnsi="宋体" w:cs="宋体" w:eastAsia="宋体" w:hint="default"/>
                <w:sz w:val="18"/>
                <w:szCs w:val="18"/>
              </w:rPr>
            </w:r>
          </w:p>
        </w:tc>
      </w:tr>
      <w:tr>
        <w:trPr>
          <w:trHeight w:val="346" w:hRule="exact"/>
        </w:trPr>
        <w:tc>
          <w:tcPr>
            <w:tcW w:w="1622" w:type="dxa"/>
            <w:vMerge/>
            <w:tcBorders>
              <w:left w:val="single" w:sz="6" w:space="0" w:color="000000"/>
              <w:bottom w:val="single" w:sz="6" w:space="0" w:color="000000"/>
              <w:right w:val="single" w:sz="6" w:space="0" w:color="000000"/>
            </w:tcBorders>
          </w:tcPr>
          <w:p>
            <w:pP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z w:val="18"/>
                <w:szCs w:val="18"/>
              </w:rPr>
              <w:t>主要构成</w:t>
            </w:r>
            <w:r>
              <w:rPr>
                <w:rFonts w:ascii="宋体" w:hAnsi="宋体" w:cs="宋体" w:eastAsia="宋体" w:hint="default"/>
                <w:sz w:val="18"/>
                <w:szCs w:val="18"/>
              </w:rPr>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449"/>
              <w:jc w:val="right"/>
              <w:rPr>
                <w:rFonts w:ascii="宋体" w:hAnsi="宋体" w:cs="宋体" w:eastAsia="宋体" w:hint="default"/>
                <w:sz w:val="18"/>
                <w:szCs w:val="18"/>
              </w:rPr>
            </w:pPr>
            <w:r>
              <w:rPr>
                <w:rFonts w:ascii="宋体" w:hAnsi="宋体" w:cs="宋体" w:eastAsia="宋体" w:hint="default"/>
                <w:b/>
                <w:bCs/>
                <w:w w:val="95"/>
                <w:sz w:val="18"/>
                <w:szCs w:val="18"/>
              </w:rPr>
              <w:t>账面价值</w:t>
            </w:r>
            <w:r>
              <w:rPr>
                <w:rFonts w:ascii="宋体" w:hAnsi="宋体" w:cs="宋体" w:eastAsia="宋体" w:hint="default"/>
                <w:sz w:val="18"/>
                <w:szCs w:val="18"/>
              </w:rPr>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3"/>
              <w:jc w:val="center"/>
              <w:rPr>
                <w:rFonts w:ascii="宋体" w:hAnsi="宋体" w:cs="宋体" w:eastAsia="宋体" w:hint="default"/>
                <w:sz w:val="18"/>
                <w:szCs w:val="18"/>
              </w:rPr>
            </w:pPr>
            <w:r>
              <w:rPr>
                <w:rFonts w:ascii="宋体" w:hAnsi="宋体" w:cs="宋体" w:eastAsia="宋体" w:hint="default"/>
                <w:b/>
                <w:bCs/>
                <w:sz w:val="18"/>
                <w:szCs w:val="18"/>
              </w:rPr>
              <w:t>确定方法</w:t>
            </w:r>
            <w:r>
              <w:rPr>
                <w:rFonts w:ascii="宋体" w:hAnsi="宋体" w:cs="宋体" w:eastAsia="宋体" w:hint="default"/>
                <w:sz w:val="18"/>
                <w:szCs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b/>
                <w:bCs/>
                <w:sz w:val="18"/>
                <w:szCs w:val="18"/>
              </w:rPr>
              <w:t>本期是否发生变动</w:t>
            </w:r>
            <w:r>
              <w:rPr>
                <w:rFonts w:ascii="宋体" w:hAnsi="宋体" w:cs="宋体" w:eastAsia="宋体" w:hint="default"/>
                <w:sz w:val="18"/>
                <w:szCs w:val="18"/>
              </w:rPr>
            </w:r>
          </w:p>
        </w:tc>
      </w:tr>
      <w:tr>
        <w:trPr>
          <w:trHeight w:val="330" w:hRule="exact"/>
        </w:trPr>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5" w:right="0"/>
              <w:jc w:val="left"/>
              <w:rPr>
                <w:rFonts w:ascii="Times New Roman" w:hAnsi="Times New Roman" w:cs="Times New Roman" w:eastAsia="Times New Roman" w:hint="default"/>
                <w:sz w:val="18"/>
                <w:szCs w:val="18"/>
              </w:rPr>
            </w:pPr>
            <w:r>
              <w:rPr>
                <w:rFonts w:ascii="Times New Roman"/>
                <w:sz w:val="18"/>
              </w:rPr>
              <w:t>102,294,256.35</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北京宏思电子技术有限责任公司</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481"/>
              <w:jc w:val="right"/>
              <w:rPr>
                <w:rFonts w:ascii="Times New Roman" w:hAnsi="Times New Roman" w:cs="Times New Roman" w:eastAsia="Times New Roman" w:hint="default"/>
                <w:sz w:val="18"/>
                <w:szCs w:val="18"/>
              </w:rPr>
            </w:pPr>
            <w:r>
              <w:rPr>
                <w:rFonts w:ascii="Times New Roman"/>
                <w:sz w:val="18"/>
              </w:rPr>
              <w:t>133,037,709.10</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3"/>
              <w:jc w:val="center"/>
              <w:rPr>
                <w:rFonts w:ascii="宋体" w:hAnsi="宋体" w:cs="宋体" w:eastAsia="宋体" w:hint="default"/>
                <w:sz w:val="18"/>
                <w:szCs w:val="18"/>
              </w:rPr>
            </w:pPr>
            <w:r>
              <w:rPr>
                <w:rFonts w:ascii="宋体" w:hAnsi="宋体" w:cs="宋体" w:eastAsia="宋体" w:hint="default"/>
                <w:sz w:val="18"/>
                <w:szCs w:val="18"/>
              </w:rPr>
              <w:t>注</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321" w:lineRule="auto"/>
        <w:ind w:right="1029"/>
        <w:jc w:val="left"/>
      </w:pPr>
      <w:r>
        <w:rPr>
          <w:spacing w:val="-2"/>
        </w:rPr>
        <w:t>注：商誉减值测试的资产组或资产组组合的构成情况如下：北京宏思于评估基准日的评估范围是公司并购北京宏思形成商誉</w:t>
      </w:r>
      <w:r>
        <w:rPr>
          <w:spacing w:val="-72"/>
        </w:rPr>
        <w:t> </w:t>
      </w:r>
      <w:r>
        <w:rPr>
          <w:spacing w:val="-72"/>
        </w:rPr>
      </w:r>
      <w:r>
        <w:rPr/>
        <w:t>相关的资产组，该资产组与购买日及以前年度商誉减值测试时所确定的资产组一致。评估范围包括组成资产组的固定资产、 无形资产（不含期初营运资本、溢余资产、非经营性资产及有息负债）。</w:t>
      </w:r>
    </w:p>
    <w:p>
      <w:pPr>
        <w:pStyle w:val="BodyText"/>
        <w:spacing w:line="290" w:lineRule="auto" w:before="33"/>
        <w:ind w:right="1118"/>
        <w:jc w:val="both"/>
      </w:pPr>
      <w:r>
        <w:rPr/>
        <w:t>上述资产组预计未来现金流量的现值（可收回金额）分别利用了沃克森（北京）国际资产评估有限公司</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日出具</w:t>
      </w:r>
      <w:r>
        <w:rPr>
          <w:spacing w:val="-80"/>
        </w:rPr>
        <w:t> </w:t>
      </w:r>
      <w:r>
        <w:rPr>
          <w:spacing w:val="-1"/>
        </w:rPr>
        <w:t>的沃克森评报字</w:t>
      </w:r>
      <w:r>
        <w:rPr>
          <w:rFonts w:ascii="Times New Roman" w:hAnsi="Times New Roman" w:cs="Times New Roman" w:eastAsia="Times New Roman" w:hint="default"/>
          <w:spacing w:val="-1"/>
        </w:rPr>
        <w:t>[2020]</w:t>
      </w:r>
      <w:r>
        <w:rPr>
          <w:spacing w:val="-1"/>
        </w:rPr>
        <w:t>第</w:t>
      </w:r>
      <w:r>
        <w:rPr>
          <w:rFonts w:ascii="Times New Roman" w:hAnsi="Times New Roman" w:cs="Times New Roman" w:eastAsia="Times New Roman" w:hint="default"/>
          <w:spacing w:val="-1"/>
        </w:rPr>
        <w:t>0462</w:t>
      </w:r>
      <w:r>
        <w:rPr>
          <w:spacing w:val="-1"/>
        </w:rPr>
        <w:t>号《飞天诚信科技股份有限公司对合并北京宏思电子技术有限责任公司形成商誉进行减值测试</w:t>
      </w:r>
      <w:r>
        <w:rPr>
          <w:spacing w:val="-45"/>
        </w:rPr>
        <w:t> </w:t>
      </w:r>
      <w:r>
        <w:rPr>
          <w:spacing w:val="-45"/>
        </w:rPr>
      </w:r>
      <w:r>
        <w:rPr/>
        <w:t>涉及的商誉所在资产组可收回价值资产评估报告》的评估结果。</w:t>
      </w:r>
    </w:p>
    <w:p>
      <w:pPr>
        <w:pStyle w:val="BodyText"/>
        <w:spacing w:line="304" w:lineRule="auto" w:before="87"/>
        <w:ind w:right="1100"/>
        <w:jc w:val="left"/>
      </w:pPr>
      <w:r>
        <w:rPr>
          <w:spacing w:val="-2"/>
        </w:rPr>
        <w:t>说明商誉减值测试过程、关键参数（如预计未来现金流量现值时的预测期增长率、稳定期增长率、利润率、折现率、预测期</w:t>
      </w:r>
      <w:r>
        <w:rPr>
          <w:spacing w:val="-72"/>
        </w:rPr>
        <w:t> </w:t>
      </w:r>
      <w:r>
        <w:rPr>
          <w:spacing w:val="-72"/>
        </w:rPr>
      </w:r>
      <w:r>
        <w:rPr/>
        <w:t>等）及商誉减值损失的确认方法：</w:t>
      </w:r>
    </w:p>
    <w:p>
      <w:pPr>
        <w:spacing w:line="240" w:lineRule="auto" w:before="11"/>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1682"/>
        <w:gridCol w:w="1877"/>
        <w:gridCol w:w="2824"/>
        <w:gridCol w:w="3289"/>
      </w:tblGrid>
      <w:tr>
        <w:trPr>
          <w:trHeight w:val="660"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00" w:right="0"/>
              <w:jc w:val="left"/>
              <w:rPr>
                <w:rFonts w:ascii="宋体" w:hAnsi="宋体" w:cs="宋体" w:eastAsia="宋体" w:hint="default"/>
                <w:sz w:val="18"/>
                <w:szCs w:val="18"/>
              </w:rPr>
            </w:pPr>
            <w:r>
              <w:rPr>
                <w:rFonts w:ascii="宋体" w:hAnsi="宋体" w:cs="宋体" w:eastAsia="宋体" w:hint="default"/>
                <w:b/>
                <w:bCs/>
                <w:sz w:val="18"/>
                <w:szCs w:val="18"/>
              </w:rPr>
              <w:t>商誉账面价值</w:t>
            </w:r>
            <w:r>
              <w:rPr>
                <w:rFonts w:ascii="宋体" w:hAnsi="宋体" w:cs="宋体" w:eastAsia="宋体" w:hint="default"/>
                <w:sz w:val="18"/>
                <w:szCs w:val="18"/>
              </w:rPr>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585" w:right="376" w:hanging="180"/>
              <w:jc w:val="left"/>
              <w:rPr>
                <w:rFonts w:ascii="宋体" w:hAnsi="宋体" w:cs="宋体" w:eastAsia="宋体" w:hint="default"/>
                <w:sz w:val="18"/>
                <w:szCs w:val="18"/>
              </w:rPr>
            </w:pPr>
            <w:r>
              <w:rPr>
                <w:rFonts w:ascii="宋体" w:hAnsi="宋体" w:cs="宋体" w:eastAsia="宋体" w:hint="default"/>
                <w:b/>
                <w:bCs/>
                <w:sz w:val="18"/>
                <w:szCs w:val="18"/>
              </w:rPr>
              <w:t>可收回金额的</w:t>
            </w:r>
            <w:r>
              <w:rPr>
                <w:rFonts w:ascii="宋体" w:hAnsi="宋体" w:cs="宋体" w:eastAsia="宋体" w:hint="default"/>
                <w:b/>
                <w:bCs/>
                <w:w w:val="99"/>
                <w:sz w:val="18"/>
                <w:szCs w:val="18"/>
              </w:rPr>
              <w:t> </w:t>
            </w:r>
            <w:r>
              <w:rPr>
                <w:rFonts w:ascii="宋体" w:hAnsi="宋体" w:cs="宋体" w:eastAsia="宋体" w:hint="default"/>
                <w:b/>
                <w:bCs/>
                <w:sz w:val="18"/>
                <w:szCs w:val="18"/>
              </w:rPr>
              <w:t>确定方法</w:t>
            </w:r>
            <w:r>
              <w:rPr>
                <w:rFonts w:ascii="宋体" w:hAnsi="宋体" w:cs="宋体" w:eastAsia="宋体" w:hint="default"/>
                <w:sz w:val="18"/>
                <w:szCs w:val="18"/>
              </w:rPr>
            </w:r>
          </w:p>
        </w:tc>
        <w:tc>
          <w:tcPr>
            <w:tcW w:w="282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z w:val="18"/>
                <w:szCs w:val="18"/>
              </w:rPr>
              <w:t>重要假设及其合理理由</w:t>
            </w:r>
            <w:r>
              <w:rPr>
                <w:rFonts w:ascii="宋体" w:hAnsi="宋体" w:cs="宋体" w:eastAsia="宋体" w:hint="default"/>
                <w:sz w:val="18"/>
                <w:szCs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z w:val="18"/>
                <w:szCs w:val="18"/>
              </w:rPr>
              <w:t>关键参数及其理由</w:t>
            </w:r>
            <w:r>
              <w:rPr>
                <w:rFonts w:ascii="宋体" w:hAnsi="宋体" w:cs="宋体" w:eastAsia="宋体" w:hint="default"/>
                <w:sz w:val="18"/>
                <w:szCs w:val="18"/>
              </w:rPr>
            </w:r>
          </w:p>
        </w:tc>
      </w:tr>
      <w:tr>
        <w:trPr>
          <w:trHeight w:val="330"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5" w:right="0"/>
              <w:jc w:val="left"/>
              <w:rPr>
                <w:rFonts w:ascii="Times New Roman" w:hAnsi="Times New Roman" w:cs="Times New Roman" w:eastAsia="Times New Roman" w:hint="default"/>
                <w:sz w:val="18"/>
                <w:szCs w:val="18"/>
              </w:rPr>
            </w:pPr>
            <w:r>
              <w:rPr>
                <w:rFonts w:ascii="Times New Roman"/>
                <w:sz w:val="18"/>
              </w:rPr>
              <w:t>102,294,256.35</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c>
          <w:tcPr>
            <w:tcW w:w="2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3</w:t>
            </w:r>
          </w:p>
        </w:tc>
      </w:tr>
    </w:tbl>
    <w:p>
      <w:pPr>
        <w:pStyle w:val="BodyText"/>
        <w:spacing w:line="235" w:lineRule="exact"/>
        <w:ind w:left="561" w:right="1100"/>
        <w:jc w:val="left"/>
      </w:pPr>
      <w:r>
        <w:rPr/>
        <w:t>注</w:t>
      </w:r>
      <w:r>
        <w:rPr>
          <w:rFonts w:ascii="宋体" w:hAnsi="宋体" w:cs="宋体" w:eastAsia="宋体" w:hint="default"/>
        </w:rPr>
        <w:t>1</w:t>
      </w:r>
      <w:r>
        <w:rPr/>
        <w:t>：上述商誉相关资产组其可收回金额按照预计未来现金流量的现值确定。</w:t>
      </w:r>
    </w:p>
    <w:p>
      <w:pPr>
        <w:spacing w:line="240" w:lineRule="auto" w:before="4"/>
        <w:rPr>
          <w:rFonts w:ascii="宋体" w:hAnsi="宋体" w:cs="宋体" w:eastAsia="宋体" w:hint="default"/>
          <w:sz w:val="15"/>
          <w:szCs w:val="15"/>
        </w:rPr>
      </w:pPr>
    </w:p>
    <w:p>
      <w:pPr>
        <w:pStyle w:val="BodyText"/>
        <w:spacing w:line="316" w:lineRule="auto"/>
        <w:ind w:right="1135" w:firstLine="420"/>
        <w:jc w:val="both"/>
      </w:pPr>
      <w:r>
        <w:rPr>
          <w:spacing w:val="-2"/>
        </w:rPr>
        <w:t>注</w:t>
      </w:r>
      <w:r>
        <w:rPr>
          <w:rFonts w:ascii="宋体" w:hAnsi="宋体" w:cs="宋体" w:eastAsia="宋体" w:hint="default"/>
          <w:spacing w:val="-2"/>
        </w:rPr>
        <w:t>2</w:t>
      </w:r>
      <w:r>
        <w:rPr>
          <w:spacing w:val="-2"/>
        </w:rPr>
        <w:t>：未来现金流量基于历史财务数据、未来估计增长率和折现率等因素为基准计算。其中，增长率基于相关行业的平</w:t>
      </w:r>
      <w:r>
        <w:rPr/>
        <w:t> </w:t>
      </w:r>
      <w:r>
        <w:rPr>
          <w:spacing w:val="-2"/>
        </w:rPr>
        <w:t>均增长率预测确定，并且不超过该行业的长期平均增长率；折现率基于相关行业平均净资产收益率确定，并且不低于该行业</w:t>
      </w:r>
      <w:r>
        <w:rPr>
          <w:spacing w:val="-75"/>
        </w:rPr>
        <w:t> </w:t>
      </w:r>
      <w:r>
        <w:rPr>
          <w:spacing w:val="-75"/>
        </w:rPr>
      </w:r>
      <w:r>
        <w:rPr>
          <w:spacing w:val="-2"/>
        </w:rPr>
        <w:t>的平均净资产收益率。在预计未来现金流量时使用的其他关键假设还有：基于预计销售额及毛利率估计的现金流入、流出金</w:t>
      </w:r>
      <w:r>
        <w:rPr>
          <w:spacing w:val="-75"/>
        </w:rPr>
        <w:t> </w:t>
      </w:r>
      <w:r>
        <w:rPr>
          <w:spacing w:val="-75"/>
        </w:rPr>
      </w:r>
      <w:r>
        <w:rPr/>
        <w:t>额，这些估计基于北京宏思产生现金的以往表现及对未来发展的规划。</w:t>
      </w:r>
    </w:p>
    <w:p>
      <w:pPr>
        <w:pStyle w:val="BodyText"/>
        <w:spacing w:line="316" w:lineRule="auto" w:before="142"/>
        <w:ind w:right="1125" w:firstLine="420"/>
        <w:jc w:val="both"/>
      </w:pPr>
      <w:r>
        <w:rPr>
          <w:spacing w:val="-2"/>
        </w:rPr>
        <w:t>注</w:t>
      </w:r>
      <w:r>
        <w:rPr>
          <w:rFonts w:ascii="宋体" w:hAnsi="宋体" w:cs="宋体" w:eastAsia="宋体" w:hint="default"/>
          <w:spacing w:val="-2"/>
        </w:rPr>
        <w:t>3</w:t>
      </w:r>
      <w:r>
        <w:rPr>
          <w:spacing w:val="-2"/>
        </w:rPr>
        <w:t>：通过资产组未来收益预测数据，分析企业经营情况及其提供的各项历史财务资料，结合企业的现状，考虑国家宏</w:t>
      </w:r>
      <w:r>
        <w:rPr/>
        <w:t> </w:t>
      </w:r>
      <w:r>
        <w:rPr>
          <w:spacing w:val="-2"/>
        </w:rPr>
        <w:t>观经济政策的影响和企业所处的内外部环境状况，分析相关经营风险，判断未来收益预测数据的可靠性，在持续经营和评估</w:t>
      </w:r>
      <w:r>
        <w:rPr>
          <w:spacing w:val="-75"/>
        </w:rPr>
        <w:t> </w:t>
      </w:r>
      <w:r>
        <w:rPr>
          <w:spacing w:val="-75"/>
        </w:rPr>
      </w:r>
      <w:r>
        <w:rPr/>
        <w:t>假设成立的前提下，采用预计未来现金流量现值，本公司收购时形成的商誉相关资产组的账面价值为</w:t>
      </w:r>
      <w:r>
        <w:rPr>
          <w:rFonts w:ascii="宋体" w:hAnsi="宋体" w:cs="宋体" w:eastAsia="宋体" w:hint="default"/>
        </w:rPr>
        <w:t>10,229.43</w:t>
      </w:r>
      <w:r>
        <w:rPr/>
        <w:t>万元，包含</w:t>
      </w:r>
      <w:r>
        <w:rPr>
          <w:spacing w:val="-79"/>
        </w:rPr>
        <w:t> </w:t>
      </w:r>
      <w:r>
        <w:rPr>
          <w:spacing w:val="-2"/>
        </w:rPr>
        <w:t>未确认归属于少数股东权益的商誉价值为</w:t>
      </w:r>
      <w:r>
        <w:rPr>
          <w:rFonts w:ascii="宋体" w:hAnsi="宋体" w:cs="宋体" w:eastAsia="宋体" w:hint="default"/>
          <w:spacing w:val="-2"/>
        </w:rPr>
        <w:t>951.49</w:t>
      </w:r>
      <w:r>
        <w:rPr>
          <w:spacing w:val="-2"/>
        </w:rPr>
        <w:t>万元，合计</w:t>
      </w:r>
      <w:r>
        <w:rPr>
          <w:rFonts w:ascii="宋体" w:hAnsi="宋体" w:cs="宋体" w:eastAsia="宋体" w:hint="default"/>
          <w:spacing w:val="-2"/>
        </w:rPr>
        <w:t>11,180.92</w:t>
      </w:r>
      <w:r>
        <w:rPr>
          <w:spacing w:val="-2"/>
        </w:rPr>
        <w:t>万元，商誉资产组可收回金额为</w:t>
      </w:r>
      <w:r>
        <w:rPr>
          <w:rFonts w:ascii="宋体" w:hAnsi="宋体" w:cs="宋体" w:eastAsia="宋体" w:hint="default"/>
          <w:spacing w:val="-2"/>
        </w:rPr>
        <w:t>14,020.00</w:t>
      </w:r>
      <w:r>
        <w:rPr>
          <w:spacing w:val="-2"/>
        </w:rPr>
        <w:t>万元。经测</w:t>
      </w:r>
      <w:r>
        <w:rPr>
          <w:spacing w:val="-43"/>
        </w:rPr>
        <w:t> </w:t>
      </w:r>
      <w:r>
        <w:rPr>
          <w:spacing w:val="-43"/>
        </w:rPr>
      </w:r>
      <w:r>
        <w:rPr/>
        <w:t>试，公司因收购北京宏思形成的商誉本期不存在减值。</w:t>
      </w:r>
    </w:p>
    <w:p>
      <w:pPr>
        <w:pStyle w:val="BodyText"/>
        <w:spacing w:line="240" w:lineRule="auto" w:before="142"/>
        <w:ind w:left="561" w:right="1100"/>
        <w:jc w:val="left"/>
      </w:pPr>
      <w:r>
        <w:rPr/>
        <w:t>商誉减值测试的影响</w:t>
      </w:r>
    </w:p>
    <w:p>
      <w:pPr>
        <w:pStyle w:val="BodyText"/>
        <w:spacing w:line="430" w:lineRule="atLeast" w:before="5"/>
        <w:ind w:left="561" w:right="1100"/>
        <w:jc w:val="left"/>
      </w:pPr>
      <w:r>
        <w:rPr/>
        <w:t>（</w:t>
      </w:r>
      <w:r>
        <w:rPr>
          <w:rFonts w:ascii="宋体" w:hAnsi="宋体" w:cs="宋体" w:eastAsia="宋体" w:hint="default"/>
        </w:rPr>
        <w:t>1</w:t>
      </w:r>
      <w:r>
        <w:rPr/>
        <w:t>）北京宏思电子技术有限责任公司业绩承诺完成情况 北京宏思业绩承诺的净利润以本公司指定的具有证券从业资格的审计机构审计后（合并）报表口径下扣除非经常性损</w:t>
      </w:r>
    </w:p>
    <w:p>
      <w:pPr>
        <w:pStyle w:val="BodyText"/>
        <w:spacing w:line="240" w:lineRule="auto" w:before="64"/>
        <w:ind w:right="1100"/>
        <w:jc w:val="left"/>
      </w:pPr>
      <w:r>
        <w:rPr/>
        <w:t>益的</w:t>
      </w:r>
      <w:r>
        <w:rPr>
          <w:rFonts w:ascii="宋体" w:hAnsi="宋体" w:cs="宋体" w:eastAsia="宋体" w:hint="default"/>
        </w:rPr>
        <w:t>70.00%</w:t>
      </w:r>
      <w:r>
        <w:rPr/>
        <w:t>后的归属于母公司股东的（合并）净利润中扣除标的公司与本公司之间的关联交易带来的净利润后的余额。</w:t>
      </w:r>
    </w:p>
    <w:p>
      <w:pPr>
        <w:spacing w:line="240" w:lineRule="auto" w:before="5"/>
        <w:rPr>
          <w:rFonts w:ascii="宋体" w:hAnsi="宋体" w:cs="宋体" w:eastAsia="宋体" w:hint="default"/>
          <w:sz w:val="16"/>
          <w:szCs w:val="16"/>
        </w:rPr>
      </w:pPr>
    </w:p>
    <w:p>
      <w:pPr>
        <w:pStyle w:val="BodyText"/>
        <w:spacing w:line="240" w:lineRule="auto"/>
        <w:ind w:left="0" w:right="1112"/>
        <w:jc w:val="right"/>
      </w:pPr>
      <w:r>
        <w:rPr/>
        <w:t>单位金额：万元</w:t>
      </w:r>
    </w:p>
    <w:p>
      <w:pPr>
        <w:spacing w:line="240" w:lineRule="auto" w:before="5"/>
        <w:rPr>
          <w:rFonts w:ascii="宋体" w:hAnsi="宋体" w:cs="宋体" w:eastAsia="宋体" w:hint="default"/>
          <w:sz w:val="16"/>
          <w:szCs w:val="16"/>
        </w:rPr>
      </w:pPr>
    </w:p>
    <w:tbl>
      <w:tblPr>
        <w:tblW w:w="0" w:type="auto"/>
        <w:jc w:val="left"/>
        <w:tblInd w:w="111" w:type="dxa"/>
        <w:tblLayout w:type="fixed"/>
        <w:tblCellMar>
          <w:top w:w="0" w:type="dxa"/>
          <w:left w:w="0" w:type="dxa"/>
          <w:bottom w:w="0" w:type="dxa"/>
          <w:right w:w="0" w:type="dxa"/>
        </w:tblCellMar>
        <w:tblLook w:val="01E0"/>
      </w:tblPr>
      <w:tblGrid>
        <w:gridCol w:w="2418"/>
        <w:gridCol w:w="2418"/>
        <w:gridCol w:w="2418"/>
        <w:gridCol w:w="2418"/>
      </w:tblGrid>
      <w:tr>
        <w:trPr>
          <w:trHeight w:val="345" w:hRule="exact"/>
        </w:trPr>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29"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年度</w:t>
            </w:r>
            <w:r>
              <w:rPr>
                <w:rFonts w:ascii="宋体" w:hAnsi="宋体" w:cs="宋体" w:eastAsia="宋体" w:hint="default"/>
                <w:sz w:val="18"/>
                <w:szCs w:val="18"/>
              </w:rPr>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年度</w:t>
            </w:r>
            <w:r>
              <w:rPr>
                <w:rFonts w:ascii="宋体" w:hAnsi="宋体" w:cs="宋体" w:eastAsia="宋体" w:hint="default"/>
                <w:sz w:val="18"/>
                <w:szCs w:val="18"/>
              </w:rPr>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46" w:hRule="exact"/>
        </w:trPr>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当年承诺业绩数</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1,000.00</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1,360.00</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1,800.00</w:t>
            </w:r>
          </w:p>
        </w:tc>
      </w:tr>
      <w:tr>
        <w:trPr>
          <w:trHeight w:val="345" w:hRule="exact"/>
        </w:trPr>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累计承诺业绩数</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5"/>
              <w:jc w:val="right"/>
              <w:rPr>
                <w:rFonts w:ascii="Times New Roman" w:hAnsi="Times New Roman" w:cs="Times New Roman" w:eastAsia="Times New Roman" w:hint="default"/>
                <w:sz w:val="18"/>
                <w:szCs w:val="18"/>
              </w:rPr>
            </w:pPr>
            <w:r>
              <w:rPr>
                <w:rFonts w:ascii="Times New Roman"/>
                <w:sz w:val="18"/>
              </w:rPr>
              <w:t>1,000.00</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2,360.00</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4,160.00</w:t>
            </w:r>
          </w:p>
        </w:tc>
      </w:tr>
      <w:tr>
        <w:trPr>
          <w:trHeight w:val="330" w:hRule="exact"/>
        </w:trPr>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当年实际完成业绩数</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5"/>
              <w:jc w:val="right"/>
              <w:rPr>
                <w:rFonts w:ascii="Times New Roman" w:hAnsi="Times New Roman" w:cs="Times New Roman" w:eastAsia="Times New Roman" w:hint="default"/>
                <w:sz w:val="18"/>
                <w:szCs w:val="18"/>
              </w:rPr>
            </w:pPr>
            <w:r>
              <w:rPr>
                <w:rFonts w:ascii="Times New Roman"/>
                <w:sz w:val="18"/>
              </w:rPr>
              <w:t>1,564.40</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2,715.86</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3,155.98</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11" w:type="dxa"/>
        <w:tblLayout w:type="fixed"/>
        <w:tblCellMar>
          <w:top w:w="0" w:type="dxa"/>
          <w:left w:w="0" w:type="dxa"/>
          <w:bottom w:w="0" w:type="dxa"/>
          <w:right w:w="0" w:type="dxa"/>
        </w:tblCellMar>
        <w:tblLook w:val="01E0"/>
      </w:tblPr>
      <w:tblGrid>
        <w:gridCol w:w="2418"/>
        <w:gridCol w:w="2418"/>
        <w:gridCol w:w="2418"/>
        <w:gridCol w:w="2418"/>
      </w:tblGrid>
      <w:tr>
        <w:trPr>
          <w:trHeight w:val="330" w:hRule="exact"/>
        </w:trPr>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实际累计完成业绩数</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5"/>
              <w:jc w:val="right"/>
              <w:rPr>
                <w:rFonts w:ascii="Times New Roman" w:hAnsi="Times New Roman" w:cs="Times New Roman" w:eastAsia="Times New Roman" w:hint="default"/>
                <w:sz w:val="18"/>
                <w:szCs w:val="18"/>
              </w:rPr>
            </w:pPr>
            <w:r>
              <w:rPr>
                <w:rFonts w:ascii="Times New Roman"/>
                <w:sz w:val="18"/>
              </w:rPr>
              <w:t>1,564.40</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4,280.26</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7,436.24</w:t>
            </w:r>
          </w:p>
        </w:tc>
      </w:tr>
    </w:tbl>
    <w:p>
      <w:pPr>
        <w:pStyle w:val="BodyText"/>
        <w:spacing w:line="319" w:lineRule="auto"/>
        <w:ind w:right="1095" w:firstLine="420"/>
        <w:jc w:val="both"/>
      </w:pPr>
      <w:r>
        <w:rPr>
          <w:spacing w:val="-5"/>
        </w:rPr>
        <w:t>公司收购北京宏思的对赌条件为</w:t>
      </w:r>
      <w:r>
        <w:rPr>
          <w:rFonts w:ascii="宋体" w:hAnsi="宋体" w:cs="宋体" w:eastAsia="宋体" w:hint="default"/>
          <w:spacing w:val="-5"/>
        </w:rPr>
        <w:t>2017</w:t>
      </w:r>
      <w:r>
        <w:rPr>
          <w:spacing w:val="-5"/>
        </w:rPr>
        <w:t>年、</w:t>
      </w:r>
      <w:r>
        <w:rPr>
          <w:rFonts w:ascii="宋体" w:hAnsi="宋体" w:cs="宋体" w:eastAsia="宋体" w:hint="default"/>
          <w:spacing w:val="-5"/>
        </w:rPr>
        <w:t>2018</w:t>
      </w:r>
      <w:r>
        <w:rPr>
          <w:spacing w:val="-5"/>
        </w:rPr>
        <w:t>年、</w:t>
      </w:r>
      <w:r>
        <w:rPr>
          <w:rFonts w:ascii="宋体" w:hAnsi="宋体" w:cs="宋体" w:eastAsia="宋体" w:hint="default"/>
          <w:spacing w:val="-5"/>
        </w:rPr>
        <w:t>2019</w:t>
      </w:r>
      <w:r>
        <w:rPr>
          <w:spacing w:val="-5"/>
        </w:rPr>
        <w:t>年的考核利润分别不低于</w:t>
      </w:r>
      <w:r>
        <w:rPr>
          <w:rFonts w:ascii="宋体" w:hAnsi="宋体" w:cs="宋体" w:eastAsia="宋体" w:hint="default"/>
          <w:spacing w:val="-5"/>
        </w:rPr>
        <w:t>1,000.00</w:t>
      </w:r>
      <w:r>
        <w:rPr>
          <w:spacing w:val="-5"/>
        </w:rPr>
        <w:t>万元、</w:t>
      </w:r>
      <w:r>
        <w:rPr>
          <w:rFonts w:ascii="宋体" w:hAnsi="宋体" w:cs="宋体" w:eastAsia="宋体" w:hint="default"/>
          <w:spacing w:val="-5"/>
        </w:rPr>
        <w:t>1,360.00</w:t>
      </w:r>
      <w:r>
        <w:rPr>
          <w:spacing w:val="-5"/>
        </w:rPr>
        <w:t>万元、</w:t>
      </w:r>
      <w:r>
        <w:rPr>
          <w:rFonts w:ascii="宋体" w:hAnsi="宋体" w:cs="宋体" w:eastAsia="宋体" w:hint="default"/>
          <w:spacing w:val="-5"/>
        </w:rPr>
        <w:t>1,800.00</w:t>
      </w:r>
      <w:r>
        <w:rPr>
          <w:rFonts w:ascii="宋体" w:hAnsi="宋体" w:cs="宋体" w:eastAsia="宋体" w:hint="default"/>
        </w:rPr>
        <w:t> </w:t>
      </w:r>
      <w:r>
        <w:rPr/>
        <w:t>万元</w:t>
      </w:r>
      <w:r>
        <w:rPr>
          <w:rFonts w:ascii="宋体" w:hAnsi="宋体" w:cs="宋体" w:eastAsia="宋体" w:hint="default"/>
        </w:rPr>
        <w:t>,</w:t>
      </w:r>
      <w:r>
        <w:rPr/>
        <w:t>或三年累计考核净利润不低于</w:t>
      </w:r>
      <w:r>
        <w:rPr>
          <w:rFonts w:ascii="宋体" w:hAnsi="宋体" w:cs="宋体" w:eastAsia="宋体" w:hint="default"/>
        </w:rPr>
        <w:t>4,160.00</w:t>
      </w:r>
      <w:r>
        <w:rPr/>
        <w:t>万元；若在业务承诺期内任意一个年度的考核净利润低于当年目标但</w:t>
      </w:r>
      <w:r>
        <w:rPr>
          <w:rFonts w:ascii="宋体" w:hAnsi="宋体" w:cs="宋体" w:eastAsia="宋体" w:hint="default"/>
        </w:rPr>
        <w:t>2017</w:t>
      </w:r>
      <w:r>
        <w:rPr/>
        <w:t>年、</w:t>
      </w:r>
      <w:r>
        <w:rPr>
          <w:spacing w:val="-80"/>
        </w:rPr>
        <w:t> </w:t>
      </w:r>
      <w:r>
        <w:rPr>
          <w:rFonts w:ascii="宋体" w:hAnsi="宋体" w:cs="宋体" w:eastAsia="宋体" w:hint="default"/>
        </w:rPr>
        <w:t>2018</w:t>
      </w:r>
      <w:r>
        <w:rPr/>
        <w:t>年、</w:t>
      </w:r>
      <w:r>
        <w:rPr>
          <w:rFonts w:ascii="宋体" w:hAnsi="宋体" w:cs="宋体" w:eastAsia="宋体" w:hint="default"/>
        </w:rPr>
        <w:t>2019</w:t>
      </w:r>
      <w:r>
        <w:rPr/>
        <w:t>年三年累计考核净利润不低于</w:t>
      </w:r>
      <w:r>
        <w:rPr>
          <w:rFonts w:ascii="宋体" w:hAnsi="宋体" w:cs="宋体" w:eastAsia="宋体" w:hint="default"/>
        </w:rPr>
        <w:t>4,160.00</w:t>
      </w:r>
      <w:r>
        <w:rPr/>
        <w:t>万元</w:t>
      </w:r>
      <w:r>
        <w:rPr>
          <w:rFonts w:ascii="宋体" w:hAnsi="宋体" w:cs="宋体" w:eastAsia="宋体" w:hint="default"/>
        </w:rPr>
        <w:t>,</w:t>
      </w:r>
      <w:r>
        <w:rPr/>
        <w:t>视为完成承诺业绩。股权转让款在北京宏思完成工商变更后本公</w:t>
      </w:r>
      <w:r>
        <w:rPr>
          <w:spacing w:val="-87"/>
        </w:rPr>
        <w:t> </w:t>
      </w:r>
      <w:r>
        <w:rPr>
          <w:spacing w:val="-2"/>
        </w:rPr>
        <w:t>司支付</w:t>
      </w:r>
      <w:r>
        <w:rPr>
          <w:rFonts w:ascii="宋体" w:hAnsi="宋体" w:cs="宋体" w:eastAsia="宋体" w:hint="default"/>
          <w:spacing w:val="-2"/>
        </w:rPr>
        <w:t>50.00%</w:t>
      </w:r>
      <w:r>
        <w:rPr>
          <w:spacing w:val="-2"/>
        </w:rPr>
        <w:t>，</w:t>
      </w:r>
      <w:r>
        <w:rPr>
          <w:rFonts w:ascii="宋体" w:hAnsi="宋体" w:cs="宋体" w:eastAsia="宋体" w:hint="default"/>
          <w:spacing w:val="-2"/>
        </w:rPr>
        <w:t>2017</w:t>
      </w:r>
      <w:r>
        <w:rPr>
          <w:spacing w:val="-2"/>
        </w:rPr>
        <w:t>年达成当年业绩承诺后支付</w:t>
      </w:r>
      <w:r>
        <w:rPr>
          <w:rFonts w:ascii="宋体" w:hAnsi="宋体" w:cs="宋体" w:eastAsia="宋体" w:hint="default"/>
          <w:spacing w:val="-2"/>
        </w:rPr>
        <w:t>10.00%</w:t>
      </w:r>
      <w:r>
        <w:rPr>
          <w:spacing w:val="-2"/>
        </w:rPr>
        <w:t>，</w:t>
      </w:r>
      <w:r>
        <w:rPr>
          <w:rFonts w:ascii="宋体" w:hAnsi="宋体" w:cs="宋体" w:eastAsia="宋体" w:hint="default"/>
          <w:spacing w:val="-2"/>
        </w:rPr>
        <w:t>2018</w:t>
      </w:r>
      <w:r>
        <w:rPr>
          <w:spacing w:val="-2"/>
        </w:rPr>
        <w:t>达成当年业绩承诺后支付</w:t>
      </w:r>
      <w:r>
        <w:rPr>
          <w:rFonts w:ascii="宋体" w:hAnsi="宋体" w:cs="宋体" w:eastAsia="宋体" w:hint="default"/>
          <w:spacing w:val="-2"/>
        </w:rPr>
        <w:t>20.00%</w:t>
      </w:r>
      <w:r>
        <w:rPr>
          <w:spacing w:val="-2"/>
        </w:rPr>
        <w:t>，</w:t>
      </w:r>
      <w:r>
        <w:rPr>
          <w:rFonts w:ascii="宋体" w:hAnsi="宋体" w:cs="宋体" w:eastAsia="宋体" w:hint="default"/>
          <w:spacing w:val="-2"/>
        </w:rPr>
        <w:t>2019</w:t>
      </w:r>
      <w:r>
        <w:rPr>
          <w:spacing w:val="-2"/>
        </w:rPr>
        <w:t>年达成当年业绩承诺后</w:t>
      </w:r>
      <w:r>
        <w:rPr>
          <w:spacing w:val="-37"/>
        </w:rPr>
        <w:t> </w:t>
      </w:r>
      <w:r>
        <w:rPr>
          <w:spacing w:val="-2"/>
        </w:rPr>
        <w:t>支付</w:t>
      </w:r>
      <w:r>
        <w:rPr>
          <w:rFonts w:ascii="宋体" w:hAnsi="宋体" w:cs="宋体" w:eastAsia="宋体" w:hint="default"/>
          <w:spacing w:val="-2"/>
        </w:rPr>
        <w:t>20.00%</w:t>
      </w:r>
      <w:r>
        <w:rPr>
          <w:spacing w:val="-2"/>
        </w:rPr>
        <w:t>，若业绩承诺期内北京宏思提前达到三年业绩承诺要求，可在次年审计机构出具审计报告之日起</w:t>
      </w:r>
      <w:r>
        <w:rPr>
          <w:rFonts w:ascii="宋体" w:hAnsi="宋体" w:cs="宋体" w:eastAsia="宋体" w:hint="default"/>
          <w:spacing w:val="-2"/>
        </w:rPr>
        <w:t>10</w:t>
      </w:r>
      <w:r>
        <w:rPr>
          <w:spacing w:val="-2"/>
        </w:rPr>
        <w:t>个工作日内支</w:t>
      </w:r>
      <w:r>
        <w:rPr>
          <w:spacing w:val="-55"/>
        </w:rPr>
        <w:t> </w:t>
      </w:r>
      <w:r>
        <w:rPr>
          <w:spacing w:val="-2"/>
        </w:rPr>
        <w:t>付剩余的股权转让款。北京宏思</w:t>
      </w:r>
      <w:r>
        <w:rPr>
          <w:rFonts w:ascii="宋体" w:hAnsi="宋体" w:cs="宋体" w:eastAsia="宋体" w:hint="default"/>
          <w:spacing w:val="-2"/>
        </w:rPr>
        <w:t>2017</w:t>
      </w:r>
      <w:r>
        <w:rPr>
          <w:spacing w:val="-2"/>
        </w:rPr>
        <w:t>年实现考核净利润</w:t>
      </w:r>
      <w:r>
        <w:rPr>
          <w:rFonts w:ascii="宋体" w:hAnsi="宋体" w:cs="宋体" w:eastAsia="宋体" w:hint="default"/>
          <w:spacing w:val="-2"/>
        </w:rPr>
        <w:t>1,564.40</w:t>
      </w:r>
      <w:r>
        <w:rPr>
          <w:spacing w:val="-2"/>
        </w:rPr>
        <w:t>万元，</w:t>
      </w:r>
      <w:r>
        <w:rPr>
          <w:rFonts w:ascii="宋体" w:hAnsi="宋体" w:cs="宋体" w:eastAsia="宋体" w:hint="default"/>
          <w:spacing w:val="-2"/>
        </w:rPr>
        <w:t>2018</w:t>
      </w:r>
      <w:r>
        <w:rPr>
          <w:spacing w:val="-2"/>
        </w:rPr>
        <w:t>年实现考核净利润</w:t>
      </w:r>
      <w:r>
        <w:rPr>
          <w:rFonts w:ascii="宋体" w:hAnsi="宋体" w:cs="宋体" w:eastAsia="宋体" w:hint="default"/>
          <w:spacing w:val="-2"/>
        </w:rPr>
        <w:t>2,715.86</w:t>
      </w:r>
      <w:r>
        <w:rPr>
          <w:spacing w:val="-2"/>
        </w:rPr>
        <w:t>万元，</w:t>
      </w:r>
      <w:r>
        <w:rPr>
          <w:rFonts w:ascii="宋体" w:hAnsi="宋体" w:cs="宋体" w:eastAsia="宋体" w:hint="default"/>
          <w:spacing w:val="-2"/>
        </w:rPr>
        <w:t>2019</w:t>
      </w:r>
      <w:r>
        <w:rPr>
          <w:spacing w:val="-2"/>
        </w:rPr>
        <w:t>年实现考</w:t>
      </w:r>
      <w:r>
        <w:rPr>
          <w:spacing w:val="-39"/>
        </w:rPr>
        <w:t> </w:t>
      </w:r>
      <w:r>
        <w:rPr>
          <w:spacing w:val="-2"/>
        </w:rPr>
        <w:t>核净利润</w:t>
      </w:r>
      <w:r>
        <w:rPr>
          <w:rFonts w:ascii="宋体" w:hAnsi="宋体" w:cs="宋体" w:eastAsia="宋体" w:hint="default"/>
          <w:spacing w:val="-2"/>
        </w:rPr>
        <w:t>3,155.98</w:t>
      </w:r>
      <w:r>
        <w:rPr>
          <w:spacing w:val="-2"/>
        </w:rPr>
        <w:t>万元，截至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日北京宏思累计完成考核净利润</w:t>
      </w:r>
      <w:r>
        <w:rPr>
          <w:rFonts w:ascii="宋体" w:hAnsi="宋体" w:cs="宋体" w:eastAsia="宋体" w:hint="default"/>
          <w:spacing w:val="-2"/>
        </w:rPr>
        <w:t>7,436.24</w:t>
      </w:r>
      <w:r>
        <w:rPr>
          <w:spacing w:val="-2"/>
        </w:rPr>
        <w:t>万元，三年业绩对赌已达成。根据公司</w:t>
      </w:r>
      <w:r>
        <w:rPr>
          <w:spacing w:val="-46"/>
        </w:rPr>
        <w:t> </w:t>
      </w:r>
      <w:r>
        <w:rPr>
          <w:spacing w:val="-46"/>
        </w:rPr>
      </w:r>
      <w:r>
        <w:rPr>
          <w:spacing w:val="-2"/>
        </w:rPr>
        <w:t>董事会基于公司并购后业绩完成情况，参考并购收益法评估结果，对形成的资产组预计未来可收回金额进行测算。截至</w:t>
      </w:r>
      <w:r>
        <w:rPr>
          <w:rFonts w:ascii="宋体" w:hAnsi="宋体" w:cs="宋体" w:eastAsia="宋体" w:hint="default"/>
          <w:spacing w:val="-2"/>
        </w:rPr>
        <w:t>2019</w:t>
      </w:r>
      <w:r>
        <w:rPr>
          <w:rFonts w:ascii="宋体" w:hAnsi="宋体" w:cs="宋体" w:eastAsia="宋体" w:hint="default"/>
          <w:spacing w:val="-60"/>
        </w:rPr>
        <w:t> </w:t>
      </w:r>
      <w:r>
        <w:rPr>
          <w:spacing w:val="10"/>
        </w:rPr>
        <w:t>年</w:t>
      </w:r>
      <w:r>
        <w:rPr>
          <w:rFonts w:ascii="宋体" w:hAnsi="宋体" w:cs="宋体" w:eastAsia="宋体" w:hint="default"/>
          <w:spacing w:val="10"/>
        </w:rPr>
        <w:t>12</w:t>
      </w:r>
      <w:r>
        <w:rPr>
          <w:spacing w:val="10"/>
        </w:rPr>
        <w:t>月</w:t>
      </w:r>
      <w:r>
        <w:rPr>
          <w:rFonts w:ascii="宋体" w:hAnsi="宋体" w:cs="宋体" w:eastAsia="宋体" w:hint="default"/>
          <w:spacing w:val="10"/>
        </w:rPr>
        <w:t>31</w:t>
      </w:r>
      <w:r>
        <w:rPr>
          <w:spacing w:val="10"/>
        </w:rPr>
        <w:t>日，收购北京宏思形成的商誉相关资产组的账面价值为</w:t>
      </w:r>
      <w:r>
        <w:rPr>
          <w:spacing w:val="-53"/>
        </w:rPr>
        <w:t> </w:t>
      </w:r>
      <w:r>
        <w:rPr>
          <w:rFonts w:ascii="宋体" w:hAnsi="宋体" w:cs="宋体" w:eastAsia="宋体" w:hint="default"/>
          <w:spacing w:val="7"/>
        </w:rPr>
        <w:t>13,303.77</w:t>
      </w:r>
      <w:r>
        <w:rPr>
          <w:spacing w:val="7"/>
        </w:rPr>
        <w:t>万元，商誉资产组预计未来可收回金额为</w:t>
      </w:r>
      <w:r>
        <w:rPr>
          <w:spacing w:val="-70"/>
        </w:rPr>
        <w:t> </w:t>
      </w:r>
      <w:r>
        <w:rPr>
          <w:spacing w:val="-70"/>
        </w:rPr>
      </w:r>
      <w:r>
        <w:rPr>
          <w:rFonts w:ascii="宋体" w:hAnsi="宋体" w:cs="宋体" w:eastAsia="宋体" w:hint="default"/>
        </w:rPr>
        <w:t>14,020.00</w:t>
      </w:r>
      <w:r>
        <w:rPr/>
        <w:t>万元。</w:t>
      </w:r>
    </w:p>
    <w:p>
      <w:pPr>
        <w:spacing w:line="240" w:lineRule="auto" w:before="0"/>
        <w:rPr>
          <w:rFonts w:ascii="宋体" w:hAnsi="宋体" w:cs="宋体" w:eastAsia="宋体" w:hint="default"/>
          <w:sz w:val="23"/>
          <w:szCs w:val="23"/>
        </w:rPr>
      </w:pPr>
    </w:p>
    <w:p>
      <w:pPr>
        <w:pStyle w:val="Heading4"/>
        <w:spacing w:line="240" w:lineRule="auto"/>
        <w:ind w:right="1100"/>
        <w:jc w:val="left"/>
        <w:rPr>
          <w:b w:val="0"/>
          <w:bCs w:val="0"/>
        </w:rPr>
      </w:pPr>
      <w:bookmarkStart w:name="16、长期待摊费用" w:id="253"/>
      <w:bookmarkEnd w:id="253"/>
      <w:r>
        <w:rPr>
          <w:b w:val="0"/>
          <w:bCs w:val="0"/>
        </w:rPr>
      </w:r>
      <w:r>
        <w:rPr>
          <w:rFonts w:ascii="Times New Roman" w:hAnsi="Times New Roman" w:cs="Times New Roman" w:eastAsia="Times New Roman" w:hint="default"/>
        </w:rPr>
        <w:t>16</w:t>
      </w:r>
      <w:r>
        <w:rPr/>
        <w:t>、长期待摊费用</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405"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3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40"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55"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3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0"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6,655,480.91</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1,245,775.05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z w:val="18"/>
              </w:rPr>
              <w:t>-230.28</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5,409,936.14</w:t>
            </w:r>
          </w:p>
        </w:tc>
      </w:tr>
      <w:tr>
        <w:trPr>
          <w:trHeight w:val="40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安防系统</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536,570.01</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172,123.68</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364,446.33</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授权服务费</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3,199,892.23</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2,302,397.50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2,574,682.51</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2,927,607.22</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信息服务费</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37,735.88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169,811.32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56,603.80</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150,943.40</w:t>
            </w:r>
          </w:p>
        </w:tc>
      </w:tr>
      <w:tr>
        <w:trPr>
          <w:trHeight w:val="390"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10,429,679.03</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2,472,208.82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4,049,185.04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z w:val="18"/>
              </w:rPr>
              <w:t>-230.28</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8,852,933.09</w:t>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17、递延所得税资产/递延所得税负债" w:id="254"/>
      <w:bookmarkEnd w:id="254"/>
      <w:r>
        <w:rPr>
          <w:b w:val="0"/>
          <w:bCs w:val="0"/>
        </w:rPr>
      </w:r>
      <w:r>
        <w:rPr>
          <w:rFonts w:ascii="Times New Roman" w:hAnsi="Times New Roman" w:cs="Times New Roman" w:eastAsia="Times New Roman" w:hint="default"/>
        </w:rPr>
        <w:t>17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1100"/>
        <w:jc w:val="left"/>
        <w:rPr>
          <w:b w:val="0"/>
          <w:bCs w:val="0"/>
        </w:rPr>
      </w:pPr>
      <w:bookmarkStart w:name="（1）未经抵销的递延所得税资产" w:id="255"/>
      <w:bookmarkEnd w:id="255"/>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15"/>
        <w:gridCol w:w="1915"/>
        <w:gridCol w:w="1923"/>
        <w:gridCol w:w="1907"/>
        <w:gridCol w:w="1922"/>
      </w:tblGrid>
      <w:tr>
        <w:trPr>
          <w:trHeight w:val="203" w:hRule="exact"/>
        </w:trPr>
        <w:tc>
          <w:tcPr>
            <w:tcW w:w="1915" w:type="dxa"/>
            <w:tcBorders>
              <w:top w:val="single" w:sz="6" w:space="0" w:color="000000"/>
              <w:left w:val="single" w:sz="6" w:space="0" w:color="000000"/>
              <w:bottom w:val="nil" w:sz="6" w:space="0" w:color="auto"/>
              <w:right w:val="single" w:sz="6" w:space="0" w:color="000000"/>
            </w:tcBorders>
            <w:shd w:val="clear" w:color="auto" w:fill="D2D2D2"/>
          </w:tcPr>
          <w:p>
            <w:pPr/>
          </w:p>
        </w:tc>
        <w:tc>
          <w:tcPr>
            <w:tcW w:w="3837"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88" w:hRule="exact"/>
        </w:trPr>
        <w:tc>
          <w:tcPr>
            <w:tcW w:w="191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837" w:type="dxa"/>
            <w:gridSpan w:val="2"/>
            <w:vMerge/>
            <w:tcBorders>
              <w:left w:val="single" w:sz="6" w:space="0" w:color="000000"/>
              <w:bottom w:val="single" w:sz="6" w:space="0" w:color="000000"/>
              <w:right w:val="single" w:sz="6" w:space="0" w:color="000000"/>
            </w:tcBorders>
            <w:shd w:val="clear" w:color="auto" w:fill="D2D2D2"/>
          </w:tcPr>
          <w:p>
            <w:pPr/>
          </w:p>
        </w:tc>
        <w:tc>
          <w:tcPr>
            <w:tcW w:w="3830" w:type="dxa"/>
            <w:gridSpan w:val="2"/>
            <w:vMerge/>
            <w:tcBorders>
              <w:left w:val="single" w:sz="6" w:space="0" w:color="000000"/>
              <w:bottom w:val="single" w:sz="6" w:space="0" w:color="000000"/>
              <w:right w:val="single" w:sz="6" w:space="0" w:color="000000"/>
            </w:tcBorders>
            <w:shd w:val="clear" w:color="auto" w:fill="D2D2D2"/>
          </w:tcPr>
          <w:p>
            <w:pPr/>
          </w:p>
        </w:tc>
      </w:tr>
      <w:tr>
        <w:trPr>
          <w:trHeight w:val="203" w:hRule="exact"/>
        </w:trPr>
        <w:tc>
          <w:tcPr>
            <w:tcW w:w="1915" w:type="dxa"/>
            <w:vMerge/>
            <w:tcBorders>
              <w:left w:val="single" w:sz="6" w:space="0" w:color="000000"/>
              <w:bottom w:val="nil" w:sz="6" w:space="0" w:color="auto"/>
              <w:right w:val="single" w:sz="6" w:space="0" w:color="000000"/>
            </w:tcBorders>
            <w:shd w:val="clear" w:color="auto" w:fill="D2D2D2"/>
          </w:tcPr>
          <w:p>
            <w:pPr/>
          </w:p>
        </w:tc>
        <w:tc>
          <w:tcPr>
            <w:tcW w:w="191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2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22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3" w:hRule="exact"/>
        </w:trPr>
        <w:tc>
          <w:tcPr>
            <w:tcW w:w="1915" w:type="dxa"/>
            <w:tcBorders>
              <w:top w:val="nil" w:sz="6" w:space="0" w:color="auto"/>
              <w:left w:val="single" w:sz="6" w:space="0" w:color="000000"/>
              <w:bottom w:val="single" w:sz="6" w:space="0" w:color="000000"/>
              <w:right w:val="single" w:sz="6" w:space="0" w:color="000000"/>
            </w:tcBorders>
            <w:shd w:val="clear" w:color="auto" w:fill="D2D2D2"/>
          </w:tcPr>
          <w:p>
            <w:pPr/>
          </w:p>
        </w:tc>
        <w:tc>
          <w:tcPr>
            <w:tcW w:w="1915" w:type="dxa"/>
            <w:vMerge/>
            <w:tcBorders>
              <w:left w:val="single" w:sz="6" w:space="0" w:color="000000"/>
              <w:bottom w:val="single" w:sz="6" w:space="0" w:color="000000"/>
              <w:right w:val="single" w:sz="6" w:space="0" w:color="000000"/>
            </w:tcBorders>
            <w:shd w:val="clear" w:color="auto" w:fill="D2D2D2"/>
          </w:tcPr>
          <w:p>
            <w:pPr/>
          </w:p>
        </w:tc>
        <w:tc>
          <w:tcPr>
            <w:tcW w:w="1923" w:type="dxa"/>
            <w:vMerge/>
            <w:tcBorders>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21,466,824.49</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3,072,673.63</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19,490,421.74</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2,817,490.32</w:t>
            </w:r>
          </w:p>
        </w:tc>
      </w:tr>
      <w:tr>
        <w:trPr>
          <w:trHeight w:val="405"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3,117,896.19</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467,684.42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2,919,620.84</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437,943.13</w:t>
            </w:r>
          </w:p>
        </w:tc>
      </w:tr>
      <w:tr>
        <w:trPr>
          <w:trHeight w:val="390"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24,584,720.68</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3,540,358.05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22,410,042.58</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3,255,433.45</w:t>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2）未经抵销的递延所得税负债" w:id="256"/>
      <w:bookmarkEnd w:id="256"/>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15"/>
        <w:gridCol w:w="1915"/>
        <w:gridCol w:w="1923"/>
        <w:gridCol w:w="1907"/>
        <w:gridCol w:w="1922"/>
      </w:tblGrid>
      <w:tr>
        <w:trPr>
          <w:trHeight w:val="203" w:hRule="exact"/>
        </w:trPr>
        <w:tc>
          <w:tcPr>
            <w:tcW w:w="1915" w:type="dxa"/>
            <w:tcBorders>
              <w:top w:val="single" w:sz="6" w:space="0" w:color="000000"/>
              <w:left w:val="single" w:sz="6" w:space="0" w:color="000000"/>
              <w:bottom w:val="nil" w:sz="6" w:space="0" w:color="auto"/>
              <w:right w:val="single" w:sz="6" w:space="0" w:color="000000"/>
            </w:tcBorders>
            <w:shd w:val="clear" w:color="auto" w:fill="D2D2D2"/>
          </w:tcPr>
          <w:p>
            <w:pPr/>
          </w:p>
        </w:tc>
        <w:tc>
          <w:tcPr>
            <w:tcW w:w="3837"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87" w:hRule="exact"/>
        </w:trPr>
        <w:tc>
          <w:tcPr>
            <w:tcW w:w="191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837" w:type="dxa"/>
            <w:gridSpan w:val="2"/>
            <w:vMerge/>
            <w:tcBorders>
              <w:left w:val="single" w:sz="6" w:space="0" w:color="000000"/>
              <w:bottom w:val="single" w:sz="6" w:space="0" w:color="000000"/>
              <w:right w:val="single" w:sz="6" w:space="0" w:color="000000"/>
            </w:tcBorders>
            <w:shd w:val="clear" w:color="auto" w:fill="D2D2D2"/>
          </w:tcPr>
          <w:p>
            <w:pPr/>
          </w:p>
        </w:tc>
        <w:tc>
          <w:tcPr>
            <w:tcW w:w="3830" w:type="dxa"/>
            <w:gridSpan w:val="2"/>
            <w:vMerge/>
            <w:tcBorders>
              <w:left w:val="single" w:sz="6" w:space="0" w:color="000000"/>
              <w:bottom w:val="single" w:sz="6" w:space="0" w:color="000000"/>
              <w:right w:val="single" w:sz="6" w:space="0" w:color="000000"/>
            </w:tcBorders>
            <w:shd w:val="clear" w:color="auto" w:fill="D2D2D2"/>
          </w:tcPr>
          <w:p>
            <w:pPr/>
          </w:p>
        </w:tc>
      </w:tr>
      <w:tr>
        <w:trPr>
          <w:trHeight w:val="203" w:hRule="exact"/>
        </w:trPr>
        <w:tc>
          <w:tcPr>
            <w:tcW w:w="1915" w:type="dxa"/>
            <w:vMerge/>
            <w:tcBorders>
              <w:left w:val="single" w:sz="6" w:space="0" w:color="000000"/>
              <w:bottom w:val="nil" w:sz="6" w:space="0" w:color="auto"/>
              <w:right w:val="single" w:sz="6" w:space="0" w:color="000000"/>
            </w:tcBorders>
            <w:shd w:val="clear" w:color="auto" w:fill="D2D2D2"/>
          </w:tcPr>
          <w:p>
            <w:pPr/>
          </w:p>
        </w:tc>
        <w:tc>
          <w:tcPr>
            <w:tcW w:w="191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2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22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3" w:hRule="exact"/>
        </w:trPr>
        <w:tc>
          <w:tcPr>
            <w:tcW w:w="1915" w:type="dxa"/>
            <w:tcBorders>
              <w:top w:val="nil" w:sz="6" w:space="0" w:color="auto"/>
              <w:left w:val="single" w:sz="6" w:space="0" w:color="000000"/>
              <w:bottom w:val="single" w:sz="6" w:space="0" w:color="000000"/>
              <w:right w:val="single" w:sz="6" w:space="0" w:color="000000"/>
            </w:tcBorders>
            <w:shd w:val="clear" w:color="auto" w:fill="D2D2D2"/>
          </w:tcPr>
          <w:p>
            <w:pPr/>
          </w:p>
        </w:tc>
        <w:tc>
          <w:tcPr>
            <w:tcW w:w="1915" w:type="dxa"/>
            <w:vMerge/>
            <w:tcBorders>
              <w:left w:val="single" w:sz="6" w:space="0" w:color="000000"/>
              <w:bottom w:val="single" w:sz="6" w:space="0" w:color="000000"/>
              <w:right w:val="single" w:sz="6" w:space="0" w:color="000000"/>
            </w:tcBorders>
            <w:shd w:val="clear" w:color="auto" w:fill="D2D2D2"/>
          </w:tcPr>
          <w:p>
            <w:pPr/>
          </w:p>
        </w:tc>
        <w:tc>
          <w:tcPr>
            <w:tcW w:w="1923" w:type="dxa"/>
            <w:vMerge/>
            <w:tcBorders>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705"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84"/>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13,277,541.97</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46" w:right="0"/>
              <w:jc w:val="left"/>
              <w:rPr>
                <w:rFonts w:ascii="Times New Roman" w:hAnsi="Times New Roman" w:cs="Times New Roman" w:eastAsia="Times New Roman" w:hint="default"/>
                <w:sz w:val="18"/>
                <w:szCs w:val="18"/>
              </w:rPr>
            </w:pPr>
            <w:r>
              <w:rPr>
                <w:rFonts w:ascii="Times New Roman"/>
                <w:sz w:val="18"/>
              </w:rPr>
              <w:t>1,327,754.20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24,644,349.75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46" w:right="0"/>
              <w:jc w:val="left"/>
              <w:rPr>
                <w:rFonts w:ascii="Times New Roman" w:hAnsi="Times New Roman" w:cs="Times New Roman" w:eastAsia="Times New Roman" w:hint="default"/>
                <w:sz w:val="18"/>
                <w:szCs w:val="18"/>
              </w:rPr>
            </w:pPr>
            <w:r>
              <w:rPr>
                <w:rFonts w:ascii="Times New Roman"/>
                <w:sz w:val="18"/>
              </w:rPr>
              <w:t>2,464,137.98</w:t>
            </w:r>
          </w:p>
        </w:tc>
      </w:tr>
    </w:tbl>
    <w:p>
      <w:pPr>
        <w:spacing w:after="0" w:line="240" w:lineRule="auto"/>
        <w:jc w:val="lef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720"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5"/>
              <w:jc w:val="left"/>
              <w:rPr>
                <w:rFonts w:ascii="宋体" w:hAnsi="宋体" w:cs="宋体" w:eastAsia="宋体" w:hint="default"/>
                <w:sz w:val="18"/>
                <w:szCs w:val="18"/>
              </w:rPr>
            </w:pPr>
            <w:r>
              <w:rPr>
                <w:rFonts w:ascii="宋体" w:hAnsi="宋体" w:cs="宋体" w:eastAsia="宋体" w:hint="default"/>
                <w:sz w:val="18"/>
                <w:szCs w:val="18"/>
              </w:rPr>
              <w:t>交易性金融资产公允价 值变动</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3,272,637.59</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490,308.28</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3,976,057.27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596,408.59</w:t>
            </w: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固定资产折旧政策差异</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262,072.57</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55,035.24</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225,407.11</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63,113.99</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16,812,252.13</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1,873,097.72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28,845,814.13</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3,123,660.56</w:t>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3）以抵销后净额列示的递延所得税资产或负债" w:id="257"/>
      <w:bookmarkEnd w:id="257"/>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15"/>
        <w:gridCol w:w="1915"/>
        <w:gridCol w:w="1923"/>
        <w:gridCol w:w="1907"/>
        <w:gridCol w:w="1922"/>
      </w:tblGrid>
      <w:tr>
        <w:trPr>
          <w:trHeight w:val="158" w:hRule="exact"/>
        </w:trPr>
        <w:tc>
          <w:tcPr>
            <w:tcW w:w="1915" w:type="dxa"/>
            <w:tcBorders>
              <w:top w:val="single" w:sz="6" w:space="0" w:color="000000"/>
              <w:left w:val="single" w:sz="6" w:space="0" w:color="000000"/>
              <w:bottom w:val="nil" w:sz="6" w:space="0" w:color="auto"/>
              <w:right w:val="single" w:sz="6" w:space="0" w:color="000000"/>
            </w:tcBorders>
            <w:shd w:val="clear" w:color="auto" w:fill="D2D2D2"/>
          </w:tcPr>
          <w:p>
            <w:pPr/>
          </w:p>
        </w:tc>
        <w:tc>
          <w:tcPr>
            <w:tcW w:w="1915"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5"/>
              <w:ind w:left="413" w:right="46" w:hanging="361"/>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23"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5"/>
              <w:ind w:left="330" w:right="46"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5"/>
              <w:ind w:left="405" w:right="45" w:hanging="361"/>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5"/>
              <w:ind w:left="330" w:right="45" w:hanging="271"/>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0" w:hRule="exact"/>
        </w:trPr>
        <w:tc>
          <w:tcPr>
            <w:tcW w:w="1915"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vMerge/>
            <w:tcBorders>
              <w:left w:val="single" w:sz="6" w:space="0" w:color="000000"/>
              <w:right w:val="single" w:sz="6" w:space="0" w:color="000000"/>
            </w:tcBorders>
            <w:shd w:val="clear" w:color="auto" w:fill="D2D2D2"/>
          </w:tcPr>
          <w:p>
            <w:pPr/>
          </w:p>
        </w:tc>
        <w:tc>
          <w:tcPr>
            <w:tcW w:w="1923" w:type="dxa"/>
            <w:vMerge/>
            <w:tcBorders>
              <w:left w:val="single" w:sz="6" w:space="0" w:color="000000"/>
              <w:right w:val="single" w:sz="6" w:space="0" w:color="000000"/>
            </w:tcBorders>
            <w:shd w:val="clear" w:color="auto" w:fill="D2D2D2"/>
          </w:tcPr>
          <w:p>
            <w:pPr/>
          </w:p>
        </w:tc>
        <w:tc>
          <w:tcPr>
            <w:tcW w:w="1907" w:type="dxa"/>
            <w:vMerge/>
            <w:tcBorders>
              <w:left w:val="single" w:sz="6" w:space="0" w:color="000000"/>
              <w:right w:val="single" w:sz="6" w:space="0" w:color="000000"/>
            </w:tcBorders>
            <w:shd w:val="clear" w:color="auto" w:fill="D2D2D2"/>
          </w:tcPr>
          <w:p>
            <w:pPr/>
          </w:p>
        </w:tc>
        <w:tc>
          <w:tcPr>
            <w:tcW w:w="1922" w:type="dxa"/>
            <w:vMerge/>
            <w:tcBorders>
              <w:left w:val="single" w:sz="6" w:space="0" w:color="000000"/>
              <w:right w:val="single" w:sz="6" w:space="0" w:color="000000"/>
            </w:tcBorders>
            <w:shd w:val="clear" w:color="auto" w:fill="D2D2D2"/>
          </w:tcPr>
          <w:p>
            <w:pPr/>
          </w:p>
        </w:tc>
      </w:tr>
      <w:tr>
        <w:trPr>
          <w:trHeight w:val="173" w:hRule="exact"/>
        </w:trPr>
        <w:tc>
          <w:tcPr>
            <w:tcW w:w="1915" w:type="dxa"/>
            <w:tcBorders>
              <w:top w:val="nil" w:sz="6" w:space="0" w:color="auto"/>
              <w:left w:val="single" w:sz="6" w:space="0" w:color="000000"/>
              <w:bottom w:val="single" w:sz="6" w:space="0" w:color="000000"/>
              <w:right w:val="single" w:sz="6" w:space="0" w:color="000000"/>
            </w:tcBorders>
            <w:shd w:val="clear" w:color="auto" w:fill="D2D2D2"/>
          </w:tcPr>
          <w:p>
            <w:pPr/>
          </w:p>
        </w:tc>
        <w:tc>
          <w:tcPr>
            <w:tcW w:w="1915" w:type="dxa"/>
            <w:vMerge/>
            <w:tcBorders>
              <w:left w:val="single" w:sz="6" w:space="0" w:color="000000"/>
              <w:bottom w:val="single" w:sz="6" w:space="0" w:color="000000"/>
              <w:right w:val="single" w:sz="6" w:space="0" w:color="000000"/>
            </w:tcBorders>
            <w:shd w:val="clear" w:color="auto" w:fill="D2D2D2"/>
          </w:tcPr>
          <w:p>
            <w:pPr/>
          </w:p>
        </w:tc>
        <w:tc>
          <w:tcPr>
            <w:tcW w:w="1923" w:type="dxa"/>
            <w:vMerge/>
            <w:tcBorders>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5"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3,540,358.05</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3,255,433.45</w:t>
            </w:r>
          </w:p>
        </w:tc>
      </w:tr>
      <w:tr>
        <w:trPr>
          <w:trHeight w:val="391"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5"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1,873,097.72</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3,123,660.56</w:t>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4）未确认递延所得税资产明细" w:id="258"/>
      <w:bookmarkEnd w:id="258"/>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433,350.00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433,350.00</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433,350.00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433,350.00</w:t>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18、其他非流动资产" w:id="259"/>
      <w:bookmarkEnd w:id="259"/>
      <w:r>
        <w:rPr>
          <w:b w:val="0"/>
          <w:bCs w:val="0"/>
        </w:rPr>
      </w:r>
      <w:r>
        <w:rPr>
          <w:rFonts w:ascii="Times New Roman" w:hAnsi="Times New Roman" w:cs="Times New Roman" w:eastAsia="Times New Roman" w:hint="default"/>
        </w:rPr>
        <w:t>18</w:t>
      </w:r>
      <w:r>
        <w:rPr/>
        <w:t>、其他非流动资产</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1100"/>
        <w:jc w:val="left"/>
      </w:pPr>
      <w:r>
        <w:rPr/>
        <w:t>是否已执行新收入准则</w:t>
      </w:r>
    </w:p>
    <w:p>
      <w:pPr>
        <w:pStyle w:val="BodyText"/>
        <w:spacing w:line="240" w:lineRule="auto" w:before="140"/>
        <w:ind w:right="110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pStyle w:val="BodyText"/>
        <w:spacing w:line="240" w:lineRule="auto" w:before="81"/>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68,400.00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1,952,748.68</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68,400.00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1,952,748.68</w:t>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19、应付账款" w:id="260"/>
      <w:bookmarkEnd w:id="260"/>
      <w:r>
        <w:rPr>
          <w:b w:val="0"/>
          <w:bCs w:val="0"/>
        </w:rPr>
      </w:r>
      <w:r>
        <w:rPr>
          <w:rFonts w:ascii="Times New Roman" w:hAnsi="Times New Roman" w:cs="Times New Roman" w:eastAsia="Times New Roman" w:hint="default"/>
        </w:rPr>
        <w:t>19</w:t>
      </w:r>
      <w:r>
        <w:rPr/>
        <w:t>、应付账款</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1100"/>
        <w:jc w:val="left"/>
        <w:rPr>
          <w:b w:val="0"/>
          <w:bCs w:val="0"/>
        </w:rPr>
      </w:pPr>
      <w:bookmarkStart w:name="（1）应付账款列示" w:id="261"/>
      <w:bookmarkEnd w:id="261"/>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采购加工费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60,502,553.05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80,726,418.08</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2,932,317.33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1,836,888.82</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63,434,870.38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82,563,306.90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4"/>
        <w:spacing w:line="240" w:lineRule="auto" w:before="35"/>
        <w:ind w:right="1100"/>
        <w:jc w:val="left"/>
        <w:rPr>
          <w:b w:val="0"/>
          <w:bCs w:val="0"/>
        </w:rPr>
      </w:pPr>
      <w:bookmarkStart w:name="20、预收款项" w:id="262"/>
      <w:bookmarkEnd w:id="262"/>
      <w:r>
        <w:rPr>
          <w:b w:val="0"/>
          <w:bCs w:val="0"/>
        </w:rPr>
      </w:r>
      <w:r>
        <w:rPr>
          <w:rFonts w:ascii="Times New Roman" w:hAnsi="Times New Roman" w:cs="Times New Roman" w:eastAsia="Times New Roman" w:hint="default"/>
        </w:rPr>
        <w:t>20</w:t>
      </w:r>
      <w:r>
        <w:rPr/>
        <w:t>、预收款项</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1100"/>
        <w:jc w:val="left"/>
      </w:pPr>
      <w:r>
        <w:rPr/>
        <w:t>是否已执行新收入准则</w:t>
      </w:r>
    </w:p>
    <w:p>
      <w:pPr>
        <w:pStyle w:val="BodyText"/>
        <w:spacing w:line="240" w:lineRule="auto" w:before="125"/>
        <w:ind w:right="110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p>
    <w:p>
      <w:pPr>
        <w:pStyle w:val="Heading4"/>
        <w:spacing w:line="240" w:lineRule="auto" w:before="126"/>
        <w:ind w:right="1100"/>
        <w:jc w:val="left"/>
        <w:rPr>
          <w:b w:val="0"/>
          <w:bCs w:val="0"/>
        </w:rPr>
      </w:pPr>
      <w:bookmarkStart w:name="（1）预收款项列示" w:id="263"/>
      <w:bookmarkEnd w:id="263"/>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38,308,124.45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32,903,648.71</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预收股权回购款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5,000,000.00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43,308,124.45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32,903,648.71</w:t>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2）账龄超过1年的重要预收款项" w:id="264"/>
      <w:bookmarkEnd w:id="264"/>
      <w:r>
        <w:rPr>
          <w:b w:val="0"/>
          <w:bCs w:val="0"/>
        </w:rPr>
      </w:r>
      <w:r>
        <w:rPr/>
        <w:t>（</w:t>
      </w:r>
      <w:r>
        <w:rPr>
          <w:rFonts w:ascii="Times New Roman" w:hAnsi="Times New Roman" w:cs="Times New Roman" w:eastAsia="Times New Roman" w:hint="default"/>
        </w:rPr>
        <w:t>2</w:t>
      </w:r>
      <w:r>
        <w:rPr/>
        <w:t>）账龄超过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年的重要预收款项</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北京密刻技术有限公司</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938,000.00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项目未结束</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938,000.00</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21、应付职工薪酬" w:id="265"/>
      <w:bookmarkEnd w:id="265"/>
      <w:r>
        <w:rPr>
          <w:b w:val="0"/>
          <w:bCs w:val="0"/>
        </w:rPr>
      </w:r>
      <w:r>
        <w:rPr>
          <w:rFonts w:ascii="Times New Roman" w:hAnsi="Times New Roman" w:cs="Times New Roman" w:eastAsia="Times New Roman" w:hint="default"/>
        </w:rPr>
        <w:t>21</w:t>
      </w:r>
      <w:r>
        <w:rPr/>
        <w:t>、应付职工薪酬</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1100"/>
        <w:jc w:val="left"/>
        <w:rPr>
          <w:b w:val="0"/>
          <w:bCs w:val="0"/>
        </w:rPr>
      </w:pPr>
      <w:bookmarkStart w:name="（1）应付职工薪酬列示" w:id="266"/>
      <w:bookmarkEnd w:id="266"/>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19,404,039.56</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202,918,918.52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200,229,036.57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22,093,921.51</w:t>
            </w:r>
          </w:p>
        </w:tc>
      </w:tr>
      <w:tr>
        <w:trPr>
          <w:trHeight w:val="7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7" w:right="6"/>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1,237,162.14</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16,226,334.57</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16,296,940.92</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1,166,555.79</w:t>
            </w: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38,400.00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38,400.00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20,641,201.70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219,183,653.09</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216,564,377.49</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23,260,477.30</w:t>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2）短期薪酬列示" w:id="267"/>
      <w:bookmarkEnd w:id="267"/>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7"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、工资、奖金、津贴和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补贴</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18,605,316.58</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179,480,165.61</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176,794,692.64</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21,290,789.55</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68,180.82</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2,928,720.40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2,996,901.22</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726,522.16</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10,318,392.31</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10,234,567.47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810,347.00</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7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637,666.76</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9,054,906.67</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8,981,454.31</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z w:val="18"/>
              </w:rPr>
              <w:t>711,119.12</w:t>
            </w: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74"/>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38,932.09</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521,954.11</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518,100.73</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42,785.47</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74"/>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49,923.31</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741,531.53</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735,012.43</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56,442.41</w:t>
            </w: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-1,980.00</w:t>
            </w:r>
            <w:r>
              <w:rPr>
                <w:rFonts w:ascii="Times New Roman"/>
                <w:sz w:val="18"/>
              </w:rPr>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10,171,640.20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10,176,875.24</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-7,215.04</w:t>
            </w:r>
            <w:r>
              <w:rPr>
                <w:rFonts w:ascii="Times New Roman"/>
                <w:sz w:val="18"/>
              </w:rPr>
            </w:r>
          </w:p>
        </w:tc>
      </w:tr>
      <w:tr>
        <w:trPr>
          <w:trHeight w:val="72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15"/>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经费</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20,000.00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20,000.00</w:t>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、其他短期薪酬</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6,000.00</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6,000.00</w:t>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19,404,039.56</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202,918,918.52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200,229,036.57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22,093,921.51</w:t>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3）设定提存计划列示" w:id="268"/>
      <w:bookmarkEnd w:id="268"/>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907"/>
        <w:gridCol w:w="1915"/>
        <w:gridCol w:w="1923"/>
        <w:gridCol w:w="1907"/>
        <w:gridCol w:w="1922"/>
      </w:tblGrid>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1,168,390.36</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15,500,176.90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15,566,929.29</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1,101,637.97</w:t>
            </w: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68,771.78</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726,157.67</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730,011.63</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64,917.82</w:t>
            </w: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1,237,162.14</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16,226,334.57</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16,296,940.92</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1,166,555.79</w:t>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22、应交税费" w:id="269"/>
      <w:bookmarkEnd w:id="269"/>
      <w:r>
        <w:rPr>
          <w:b w:val="0"/>
          <w:bCs w:val="0"/>
        </w:rPr>
      </w:r>
      <w:r>
        <w:rPr>
          <w:rFonts w:ascii="Times New Roman" w:hAnsi="Times New Roman" w:cs="Times New Roman" w:eastAsia="Times New Roman" w:hint="default"/>
        </w:rPr>
        <w:t>22</w:t>
      </w:r>
      <w:r>
        <w:rPr/>
        <w:t>、应交税费</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77"/>
        <w:gridCol w:w="3199"/>
        <w:gridCol w:w="3199"/>
      </w:tblGrid>
      <w:tr>
        <w:trPr>
          <w:trHeight w:val="406"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5,235,965.28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3,438,887.00</w:t>
            </w: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6,613,717.14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10,953,398.20</w:t>
            </w:r>
          </w:p>
        </w:tc>
      </w:tr>
      <w:tr>
        <w:trPr>
          <w:trHeight w:val="406"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948,683.92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122,259.99</w:t>
            </w:r>
          </w:p>
        </w:tc>
      </w:tr>
      <w:tr>
        <w:trPr>
          <w:trHeight w:val="390"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604,622.97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sz w:val="18"/>
              </w:rPr>
              <w:t>630,160.71</w:t>
            </w: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431,873.53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450,114.80</w:t>
            </w:r>
          </w:p>
        </w:tc>
      </w:tr>
      <w:tr>
        <w:trPr>
          <w:trHeight w:val="406" w:hRule="exact"/>
        </w:trPr>
        <w:tc>
          <w:tcPr>
            <w:tcW w:w="3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1,448.60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1,448.60</w:t>
            </w: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483,759.31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522,689.37</w:t>
            </w:r>
          </w:p>
        </w:tc>
      </w:tr>
      <w:tr>
        <w:trPr>
          <w:trHeight w:val="390"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14,320,070.75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16,118,958.67</w:t>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23、其他应付款" w:id="270"/>
      <w:bookmarkEnd w:id="270"/>
      <w:r>
        <w:rPr>
          <w:b w:val="0"/>
          <w:bCs w:val="0"/>
        </w:rPr>
      </w:r>
      <w:r>
        <w:rPr>
          <w:rFonts w:ascii="Times New Roman" w:hAnsi="Times New Roman" w:cs="Times New Roman" w:eastAsia="Times New Roman" w:hint="default"/>
        </w:rPr>
        <w:t>23</w:t>
      </w:r>
      <w:r>
        <w:rPr/>
        <w:t>、其他应付款</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3,222,167.38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6,094,845.83</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3,222,167.38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6,094,845.83</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4"/>
        <w:spacing w:line="508" w:lineRule="auto" w:before="35"/>
        <w:ind w:right="7903"/>
        <w:jc w:val="left"/>
        <w:rPr>
          <w:b w:val="0"/>
          <w:bCs w:val="0"/>
        </w:rPr>
      </w:pPr>
      <w:bookmarkStart w:name="（1）其他应付款" w:id="271"/>
      <w:bookmarkEnd w:id="271"/>
      <w:r>
        <w:rPr>
          <w:b w:val="0"/>
          <w:bCs w:val="0"/>
        </w:rPr>
      </w:r>
      <w:r>
        <w:rPr/>
        <w:t>（</w:t>
      </w:r>
      <w:r>
        <w:rPr>
          <w:rFonts w:ascii="Times New Roman" w:hAnsi="Times New Roman" w:cs="Times New Roman" w:eastAsia="Times New Roman" w:hint="default"/>
        </w:rPr>
        <w:t>1</w:t>
      </w:r>
      <w:r>
        <w:rPr/>
        <w:t>）其他应付款</w:t>
      </w:r>
      <w:r>
        <w:rPr>
          <w:w w:val="99"/>
        </w:rPr>
        <w:t> </w:t>
      </w:r>
      <w:bookmarkStart w:name="1）按款项性质列示其他应付款" w:id="272"/>
      <w:bookmarkEnd w:id="272"/>
      <w:r>
        <w:rPr>
          <w:w w:val="99"/>
        </w:rPr>
      </w:r>
      <w:r>
        <w:rPr>
          <w:rFonts w:ascii="Times New Roman" w:hAnsi="Times New Roman" w:cs="Times New Roman" w:eastAsia="Times New Roman" w:hint="default"/>
        </w:rPr>
        <w:t>1</w:t>
      </w:r>
      <w:r>
        <w:rPr/>
        <w:t>）按款项性质列示其他应付款</w:t>
      </w:r>
      <w:r>
        <w:rPr>
          <w:b w:val="0"/>
          <w:bCs w:val="0"/>
        </w:rPr>
      </w:r>
    </w:p>
    <w:p>
      <w:pPr>
        <w:pStyle w:val="BodyText"/>
        <w:spacing w:line="240" w:lineRule="auto" w:before="69"/>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应付备用金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2,982,079.10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2,399,966.74</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34,923.72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34,922.56</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股权收购款</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3,215,936.39</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50,000.00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205,164.56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394,020.14</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3,222,167.38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6,094,845.83</w:t>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24、一年内到期的非流动负债" w:id="273"/>
      <w:bookmarkEnd w:id="273"/>
      <w:r>
        <w:rPr>
          <w:b w:val="0"/>
          <w:bCs w:val="0"/>
        </w:rPr>
      </w:r>
      <w:r>
        <w:rPr>
          <w:rFonts w:ascii="Times New Roman" w:hAnsi="Times New Roman" w:cs="Times New Roman" w:eastAsia="Times New Roman" w:hint="default"/>
        </w:rPr>
        <w:t>24</w:t>
      </w:r>
      <w:r>
        <w:rPr/>
        <w:t>、一年内到期的非流动负债</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年内到期的其他长期负债</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80,514,840.00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80,514,840.00</w:t>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25、其他流动负债" w:id="274"/>
      <w:bookmarkEnd w:id="274"/>
      <w:r>
        <w:rPr>
          <w:b w:val="0"/>
          <w:bCs w:val="0"/>
        </w:rPr>
      </w:r>
      <w:r>
        <w:rPr>
          <w:rFonts w:ascii="Times New Roman" w:hAnsi="Times New Roman" w:cs="Times New Roman" w:eastAsia="Times New Roman" w:hint="default"/>
        </w:rPr>
        <w:t>25</w:t>
      </w:r>
      <w:r>
        <w:rPr/>
        <w:t>、其他流动负债</w:t>
      </w:r>
      <w:r>
        <w:rPr>
          <w:b w:val="0"/>
          <w:bCs w:val="0"/>
        </w:rPr>
      </w:r>
    </w:p>
    <w:p>
      <w:pPr>
        <w:spacing w:line="240" w:lineRule="auto" w:before="10"/>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50"/>
          <w:pgMar w:header="731" w:footer="981" w:top="1040" w:bottom="1180" w:left="1000" w:right="0"/>
        </w:sectPr>
      </w:pPr>
    </w:p>
    <w:p>
      <w:pPr>
        <w:pStyle w:val="BodyText"/>
        <w:spacing w:line="240" w:lineRule="auto" w:before="44"/>
        <w:ind w:right="-20"/>
        <w:jc w:val="left"/>
      </w:pPr>
      <w:r>
        <w:rPr/>
        <w:t>是否已执行新收入准则</w:t>
      </w:r>
    </w:p>
    <w:p>
      <w:pPr>
        <w:pStyle w:val="BodyText"/>
        <w:spacing w:line="240" w:lineRule="auto" w:before="124"/>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50"/>
          <w:pgMar w:top="1040" w:bottom="1180" w:left="1000" w:right="0"/>
          <w:cols w:num="2" w:equalWidth="0">
            <w:col w:w="1942" w:space="6904"/>
            <w:col w:w="2064"/>
          </w:cols>
        </w:sectPr>
      </w:pP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未终止确认的应收票据</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2,204,121.74</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2,204,121.74</w:t>
            </w:r>
          </w:p>
        </w:tc>
        <w:tc>
          <w:tcPr>
            <w:tcW w:w="319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26、递延收益" w:id="275"/>
      <w:bookmarkEnd w:id="275"/>
      <w:r>
        <w:rPr>
          <w:b w:val="0"/>
          <w:bCs w:val="0"/>
        </w:rPr>
      </w:r>
      <w:r>
        <w:rPr>
          <w:rFonts w:ascii="Times New Roman" w:hAnsi="Times New Roman" w:cs="Times New Roman" w:eastAsia="Times New Roman" w:hint="default"/>
        </w:rPr>
        <w:t>26</w:t>
      </w:r>
      <w:r>
        <w:rPr/>
        <w:t>、递延收益</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390"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2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3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35"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103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120"/>
              <w:jc w:val="both"/>
              <w:rPr>
                <w:rFonts w:ascii="宋体" w:hAnsi="宋体" w:cs="宋体" w:eastAsia="宋体" w:hint="default"/>
                <w:sz w:val="18"/>
                <w:szCs w:val="18"/>
              </w:rPr>
            </w:pPr>
            <w:r>
              <w:rPr>
                <w:rFonts w:ascii="宋体" w:hAnsi="宋体" w:cs="宋体" w:eastAsia="宋体" w:hint="default"/>
                <w:sz w:val="18"/>
                <w:szCs w:val="18"/>
              </w:rPr>
              <w:t>智能网络身份认证 系统工程实验室项 目</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3,108,000.00</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1,332,000.00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1,776,000.00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70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双界面多用途安全</w:t>
            </w:r>
          </w:p>
          <w:p>
            <w:pPr>
              <w:pStyle w:val="TableParagraph"/>
              <w:spacing w:line="240" w:lineRule="auto" w:before="95"/>
              <w:ind w:left="15"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POS</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机项目</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2,669,181.94</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686,366.64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1,982,815.30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政府补助</w:t>
            </w:r>
          </w:p>
        </w:tc>
      </w:tr>
    </w:tbl>
    <w:p>
      <w:pPr>
        <w:spacing w:after="0" w:line="240" w:lineRule="auto"/>
        <w:jc w:val="left"/>
        <w:rPr>
          <w:rFonts w:ascii="宋体" w:hAnsi="宋体" w:cs="宋体" w:eastAsia="宋体" w:hint="default"/>
          <w:sz w:val="18"/>
          <w:szCs w:val="18"/>
        </w:rPr>
        <w:sectPr>
          <w:type w:val="continuous"/>
          <w:pgSz w:w="11910" w:h="16850"/>
          <w:pgMar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720"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59"/>
              <w:ind w:left="15" w:right="73"/>
              <w:jc w:val="left"/>
              <w:rPr>
                <w:rFonts w:ascii="宋体" w:hAnsi="宋体" w:cs="宋体" w:eastAsia="宋体" w:hint="default"/>
                <w:sz w:val="18"/>
                <w:szCs w:val="18"/>
              </w:rPr>
            </w:pPr>
            <w:r>
              <w:rPr>
                <w:rFonts w:ascii="宋体" w:hAnsi="宋体" w:cs="宋体" w:eastAsia="宋体" w:hint="default"/>
                <w:sz w:val="18"/>
                <w:szCs w:val="18"/>
              </w:rPr>
              <w:t>国家发改委</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SM</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 </w:t>
            </w:r>
            <w:r>
              <w:rPr>
                <w:rFonts w:ascii="Times New Roman" w:hAnsi="Times New Roman" w:cs="Times New Roman" w:eastAsia="Times New Roman" w:hint="default"/>
                <w:spacing w:val="-6"/>
                <w:sz w:val="18"/>
                <w:szCs w:val="18"/>
              </w:rPr>
              <w:t>SM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专项基金</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3,621,909.11</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1,483,851.84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2,138,057.27</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390"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9,399,091.05</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3,502,218.48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5,896,872.57</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4"/>
        <w:ind w:right="1100"/>
        <w:jc w:val="left"/>
      </w:pPr>
      <w:r>
        <w:rPr/>
        <w:t>涉及政府补助的项目：</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006"/>
        <w:gridCol w:w="1262"/>
        <w:gridCol w:w="1006"/>
        <w:gridCol w:w="1006"/>
        <w:gridCol w:w="1021"/>
        <w:gridCol w:w="1007"/>
        <w:gridCol w:w="1006"/>
        <w:gridCol w:w="1262"/>
        <w:gridCol w:w="1006"/>
      </w:tblGrid>
      <w:tr>
        <w:trPr>
          <w:trHeight w:val="1021" w:hRule="exact"/>
        </w:trPr>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225" w:right="45"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59" w:right="29"/>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60" w:right="45"/>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45" w:right="44"/>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73" w:lineRule="auto"/>
              <w:ind w:left="45" w:right="24" w:hanging="3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36"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73"/>
              <w:jc w:val="both"/>
              <w:rPr>
                <w:rFonts w:ascii="宋体" w:hAnsi="宋体" w:cs="宋体" w:eastAsia="宋体" w:hint="default"/>
                <w:sz w:val="18"/>
                <w:szCs w:val="18"/>
              </w:rPr>
            </w:pPr>
            <w:r>
              <w:rPr>
                <w:rFonts w:ascii="宋体" w:hAnsi="宋体" w:cs="宋体" w:eastAsia="宋体" w:hint="default"/>
                <w:sz w:val="18"/>
                <w:szCs w:val="18"/>
              </w:rPr>
              <w:t>智能网络身 份认证系统 工程实验室 项目</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3,108,000.00</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1,332,000.00</w:t>
            </w:r>
          </w:p>
        </w:tc>
        <w:tc>
          <w:tcPr>
            <w:tcW w:w="1021" w:type="dxa"/>
            <w:tcBorders>
              <w:top w:val="single" w:sz="6" w:space="0" w:color="000000"/>
              <w:left w:val="single" w:sz="6" w:space="0" w:color="000000"/>
              <w:bottom w:val="single" w:sz="6" w:space="0" w:color="000000"/>
              <w:right w:val="single" w:sz="6" w:space="0" w:color="000000"/>
            </w:tcBorders>
          </w:tcPr>
          <w:p>
            <w:pPr/>
          </w:p>
        </w:tc>
        <w:tc>
          <w:tcPr>
            <w:tcW w:w="1007"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70" w:right="0"/>
              <w:jc w:val="left"/>
              <w:rPr>
                <w:rFonts w:ascii="Times New Roman" w:hAnsi="Times New Roman" w:cs="Times New Roman" w:eastAsia="Times New Roman" w:hint="default"/>
                <w:sz w:val="18"/>
                <w:szCs w:val="18"/>
              </w:rPr>
            </w:pPr>
            <w:r>
              <w:rPr>
                <w:rFonts w:ascii="Times New Roman"/>
                <w:sz w:val="18"/>
              </w:rPr>
              <w:t>1,776,000.00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59"/>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36"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43"/>
              <w:jc w:val="both"/>
              <w:rPr>
                <w:rFonts w:ascii="宋体" w:hAnsi="宋体" w:cs="宋体" w:eastAsia="宋体" w:hint="default"/>
                <w:sz w:val="18"/>
                <w:szCs w:val="18"/>
              </w:rPr>
            </w:pPr>
            <w:r>
              <w:rPr>
                <w:rFonts w:ascii="宋体" w:hAnsi="宋体" w:cs="宋体" w:eastAsia="宋体" w:hint="default"/>
                <w:sz w:val="18"/>
                <w:szCs w:val="18"/>
              </w:rPr>
              <w:t>双界面多用 途安全</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POS</w:t>
            </w:r>
            <w:r>
              <w:rPr>
                <w:rFonts w:ascii="Times New Roman" w:hAnsi="Times New Roman" w:cs="Times New Roman" w:eastAsia="Times New Roman" w:hint="default"/>
                <w:spacing w:val="4"/>
                <w:w w:val="99"/>
                <w:sz w:val="18"/>
                <w:szCs w:val="18"/>
              </w:rPr>
              <w:t> </w:t>
            </w:r>
            <w:r>
              <w:rPr>
                <w:rFonts w:ascii="宋体" w:hAnsi="宋体" w:cs="宋体" w:eastAsia="宋体" w:hint="default"/>
                <w:sz w:val="18"/>
                <w:szCs w:val="18"/>
              </w:rPr>
              <w:t>机项目</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2,669,181.94</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686,366.64</w:t>
            </w:r>
          </w:p>
        </w:tc>
        <w:tc>
          <w:tcPr>
            <w:tcW w:w="1021" w:type="dxa"/>
            <w:tcBorders>
              <w:top w:val="single" w:sz="6" w:space="0" w:color="000000"/>
              <w:left w:val="single" w:sz="6" w:space="0" w:color="000000"/>
              <w:bottom w:val="single" w:sz="6" w:space="0" w:color="000000"/>
              <w:right w:val="single" w:sz="6" w:space="0" w:color="000000"/>
            </w:tcBorders>
          </w:tcPr>
          <w:p>
            <w:pPr/>
          </w:p>
        </w:tc>
        <w:tc>
          <w:tcPr>
            <w:tcW w:w="1007"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70" w:right="0"/>
              <w:jc w:val="left"/>
              <w:rPr>
                <w:rFonts w:ascii="Times New Roman" w:hAnsi="Times New Roman" w:cs="Times New Roman" w:eastAsia="Times New Roman" w:hint="default"/>
                <w:sz w:val="18"/>
                <w:szCs w:val="18"/>
              </w:rPr>
            </w:pPr>
            <w:r>
              <w:rPr>
                <w:rFonts w:ascii="Times New Roman"/>
                <w:sz w:val="18"/>
              </w:rPr>
              <w:t>1,982,815.30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9"/>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1"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国家发改委</w:t>
            </w:r>
          </w:p>
          <w:p>
            <w:pPr>
              <w:pStyle w:val="TableParagraph"/>
              <w:spacing w:line="240" w:lineRule="auto" w:before="95"/>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6"/>
                <w:sz w:val="18"/>
                <w:szCs w:val="18"/>
              </w:rPr>
              <w:t>SM</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SM</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z w:val="18"/>
                <w:szCs w:val="18"/>
              </w:rPr>
              <w:t>4</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专项基金</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3,621,909.11</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1,483,851.84</w:t>
            </w:r>
          </w:p>
        </w:tc>
        <w:tc>
          <w:tcPr>
            <w:tcW w:w="1021" w:type="dxa"/>
            <w:tcBorders>
              <w:top w:val="single" w:sz="6" w:space="0" w:color="000000"/>
              <w:left w:val="single" w:sz="6" w:space="0" w:color="000000"/>
              <w:bottom w:val="single" w:sz="6" w:space="0" w:color="000000"/>
              <w:right w:val="single" w:sz="6" w:space="0" w:color="000000"/>
            </w:tcBorders>
          </w:tcPr>
          <w:p>
            <w:pPr/>
          </w:p>
        </w:tc>
        <w:tc>
          <w:tcPr>
            <w:tcW w:w="1007"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70" w:right="0"/>
              <w:jc w:val="left"/>
              <w:rPr>
                <w:rFonts w:ascii="Times New Roman" w:hAnsi="Times New Roman" w:cs="Times New Roman" w:eastAsia="Times New Roman" w:hint="default"/>
                <w:sz w:val="18"/>
                <w:szCs w:val="18"/>
              </w:rPr>
            </w:pPr>
            <w:r>
              <w:rPr>
                <w:rFonts w:ascii="Times New Roman"/>
                <w:sz w:val="18"/>
              </w:rPr>
              <w:t>2,138,057.27</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59"/>
              <w:jc w:val="center"/>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27、股本" w:id="276"/>
      <w:bookmarkEnd w:id="276"/>
      <w:r>
        <w:rPr>
          <w:b w:val="0"/>
          <w:bCs w:val="0"/>
        </w:rPr>
      </w:r>
      <w:r>
        <w:rPr>
          <w:rFonts w:ascii="Times New Roman" w:hAnsi="Times New Roman" w:cs="Times New Roman" w:eastAsia="Times New Roman" w:hint="default"/>
        </w:rPr>
        <w:t>27</w:t>
      </w:r>
      <w:r>
        <w:rPr/>
        <w:t>、股本</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194"/>
        <w:gridCol w:w="1194"/>
        <w:gridCol w:w="1194"/>
        <w:gridCol w:w="1202"/>
        <w:gridCol w:w="1201"/>
        <w:gridCol w:w="1186"/>
        <w:gridCol w:w="1194"/>
        <w:gridCol w:w="1209"/>
      </w:tblGrid>
      <w:tr>
        <w:trPr>
          <w:trHeight w:val="202" w:hRule="exact"/>
        </w:trPr>
        <w:tc>
          <w:tcPr>
            <w:tcW w:w="1194" w:type="dxa"/>
            <w:tcBorders>
              <w:top w:val="single" w:sz="6" w:space="0" w:color="000000"/>
              <w:left w:val="single" w:sz="6" w:space="0" w:color="000000"/>
              <w:bottom w:val="nil" w:sz="6" w:space="0" w:color="auto"/>
              <w:right w:val="single" w:sz="6" w:space="0" w:color="000000"/>
            </w:tcBorders>
            <w:shd w:val="clear" w:color="auto" w:fill="D2D2D2"/>
          </w:tcPr>
          <w:p>
            <w:pPr/>
          </w:p>
        </w:tc>
        <w:tc>
          <w:tcPr>
            <w:tcW w:w="1194" w:type="dxa"/>
            <w:tcBorders>
              <w:top w:val="single" w:sz="6" w:space="0" w:color="000000"/>
              <w:left w:val="single" w:sz="6" w:space="0" w:color="000000"/>
              <w:bottom w:val="nil" w:sz="6" w:space="0" w:color="auto"/>
              <w:right w:val="single" w:sz="6" w:space="0" w:color="000000"/>
            </w:tcBorders>
            <w:shd w:val="clear" w:color="auto" w:fill="D2D2D2"/>
          </w:tcPr>
          <w:p>
            <w:pPr/>
          </w:p>
        </w:tc>
        <w:tc>
          <w:tcPr>
            <w:tcW w:w="5977" w:type="dxa"/>
            <w:gridSpan w:val="5"/>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9"/>
              <w:ind w:left="14"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9"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203" w:hRule="exact"/>
        </w:trPr>
        <w:tc>
          <w:tcPr>
            <w:tcW w:w="1194" w:type="dxa"/>
            <w:vMerge w:val="restart"/>
            <w:tcBorders>
              <w:top w:val="nil" w:sz="6" w:space="0" w:color="auto"/>
              <w:left w:val="single" w:sz="6" w:space="0" w:color="000000"/>
              <w:right w:val="single" w:sz="6" w:space="0" w:color="000000"/>
            </w:tcBorders>
            <w:shd w:val="clear" w:color="auto" w:fill="D2D2D2"/>
          </w:tcPr>
          <w:p>
            <w:pPr/>
          </w:p>
        </w:tc>
        <w:tc>
          <w:tcPr>
            <w:tcW w:w="119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2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77" w:type="dxa"/>
            <w:gridSpan w:val="5"/>
            <w:vMerge/>
            <w:tcBorders>
              <w:left w:val="single" w:sz="6" w:space="0" w:color="000000"/>
              <w:bottom w:val="single" w:sz="6" w:space="0" w:color="000000"/>
              <w:right w:val="single" w:sz="6" w:space="0" w:color="000000"/>
            </w:tcBorders>
            <w:shd w:val="clear" w:color="auto" w:fill="D2D2D2"/>
          </w:tcPr>
          <w:p>
            <w:pPr/>
          </w:p>
        </w:tc>
        <w:tc>
          <w:tcPr>
            <w:tcW w:w="120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24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88" w:hRule="exact"/>
        </w:trPr>
        <w:tc>
          <w:tcPr>
            <w:tcW w:w="1194" w:type="dxa"/>
            <w:vMerge/>
            <w:tcBorders>
              <w:left w:val="single" w:sz="6" w:space="0" w:color="000000"/>
              <w:bottom w:val="nil" w:sz="6" w:space="0" w:color="auto"/>
              <w:right w:val="single" w:sz="6" w:space="0" w:color="000000"/>
            </w:tcBorders>
            <w:shd w:val="clear" w:color="auto" w:fill="D2D2D2"/>
          </w:tcPr>
          <w:p>
            <w:pPr/>
          </w:p>
        </w:tc>
        <w:tc>
          <w:tcPr>
            <w:tcW w:w="1194" w:type="dxa"/>
            <w:vMerge/>
            <w:tcBorders>
              <w:left w:val="single" w:sz="6" w:space="0" w:color="000000"/>
              <w:bottom w:val="nil" w:sz="6" w:space="0" w:color="auto"/>
              <w:right w:val="single" w:sz="6" w:space="0" w:color="000000"/>
            </w:tcBorders>
            <w:shd w:val="clear" w:color="auto" w:fill="D2D2D2"/>
          </w:tcPr>
          <w:p>
            <w:pPr/>
          </w:p>
        </w:tc>
        <w:tc>
          <w:tcPr>
            <w:tcW w:w="119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2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20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35"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8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22"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9" w:type="dxa"/>
            <w:vMerge/>
            <w:tcBorders>
              <w:left w:val="single" w:sz="6" w:space="0" w:color="000000"/>
              <w:bottom w:val="nil" w:sz="6" w:space="0" w:color="auto"/>
              <w:right w:val="single" w:sz="6" w:space="0" w:color="000000"/>
            </w:tcBorders>
            <w:shd w:val="clear" w:color="auto" w:fill="D2D2D2"/>
          </w:tcPr>
          <w:p>
            <w:pPr/>
          </w:p>
        </w:tc>
      </w:tr>
      <w:tr>
        <w:trPr>
          <w:trHeight w:val="218" w:hRule="exact"/>
        </w:trPr>
        <w:tc>
          <w:tcPr>
            <w:tcW w:w="1194" w:type="dxa"/>
            <w:tcBorders>
              <w:top w:val="nil" w:sz="6" w:space="0" w:color="auto"/>
              <w:left w:val="single" w:sz="6" w:space="0" w:color="000000"/>
              <w:bottom w:val="single" w:sz="6" w:space="0" w:color="000000"/>
              <w:right w:val="single" w:sz="6" w:space="0" w:color="000000"/>
            </w:tcBorders>
            <w:shd w:val="clear" w:color="auto" w:fill="D2D2D2"/>
          </w:tcPr>
          <w:p>
            <w:pPr/>
          </w:p>
        </w:tc>
        <w:tc>
          <w:tcPr>
            <w:tcW w:w="1194" w:type="dxa"/>
            <w:tcBorders>
              <w:top w:val="nil" w:sz="6" w:space="0" w:color="auto"/>
              <w:left w:val="single" w:sz="6" w:space="0" w:color="000000"/>
              <w:bottom w:val="single" w:sz="6" w:space="0" w:color="000000"/>
              <w:right w:val="single" w:sz="6" w:space="0" w:color="000000"/>
            </w:tcBorders>
            <w:shd w:val="clear" w:color="auto" w:fill="D2D2D2"/>
          </w:tcPr>
          <w:p>
            <w:pPr/>
          </w:p>
        </w:tc>
        <w:tc>
          <w:tcPr>
            <w:tcW w:w="1194" w:type="dxa"/>
            <w:vMerge/>
            <w:tcBorders>
              <w:left w:val="single" w:sz="6" w:space="0" w:color="000000"/>
              <w:bottom w:val="single" w:sz="6" w:space="0" w:color="000000"/>
              <w:right w:val="single" w:sz="6" w:space="0" w:color="000000"/>
            </w:tcBorders>
            <w:shd w:val="clear" w:color="auto" w:fill="D2D2D2"/>
          </w:tcPr>
          <w:p>
            <w:pPr/>
          </w:p>
        </w:tc>
        <w:tc>
          <w:tcPr>
            <w:tcW w:w="1202" w:type="dxa"/>
            <w:vMerge/>
            <w:tcBorders>
              <w:left w:val="single" w:sz="6" w:space="0" w:color="000000"/>
              <w:bottom w:val="single" w:sz="6" w:space="0" w:color="000000"/>
              <w:right w:val="single" w:sz="6" w:space="0" w:color="000000"/>
            </w:tcBorders>
            <w:shd w:val="clear" w:color="auto" w:fill="D2D2D2"/>
          </w:tcPr>
          <w:p>
            <w:pPr/>
          </w:p>
        </w:tc>
        <w:tc>
          <w:tcPr>
            <w:tcW w:w="1201" w:type="dxa"/>
            <w:vMerge/>
            <w:tcBorders>
              <w:left w:val="single" w:sz="6" w:space="0" w:color="000000"/>
              <w:bottom w:val="single" w:sz="6" w:space="0" w:color="000000"/>
              <w:right w:val="single" w:sz="6" w:space="0" w:color="000000"/>
            </w:tcBorders>
            <w:shd w:val="clear" w:color="auto" w:fill="D2D2D2"/>
          </w:tcPr>
          <w:p>
            <w:pPr/>
          </w:p>
        </w:tc>
        <w:tc>
          <w:tcPr>
            <w:tcW w:w="1186" w:type="dxa"/>
            <w:vMerge/>
            <w:tcBorders>
              <w:left w:val="single" w:sz="6" w:space="0" w:color="000000"/>
              <w:bottom w:val="single" w:sz="6" w:space="0" w:color="000000"/>
              <w:right w:val="single" w:sz="6" w:space="0" w:color="000000"/>
            </w:tcBorders>
            <w:shd w:val="clear" w:color="auto" w:fill="D2D2D2"/>
          </w:tcPr>
          <w:p>
            <w:pPr/>
          </w:p>
        </w:tc>
        <w:tc>
          <w:tcPr>
            <w:tcW w:w="1194" w:type="dxa"/>
            <w:vMerge/>
            <w:tcBorders>
              <w:left w:val="single" w:sz="6" w:space="0" w:color="000000"/>
              <w:bottom w:val="single" w:sz="6" w:space="0" w:color="000000"/>
              <w:right w:val="single" w:sz="6" w:space="0" w:color="000000"/>
            </w:tcBorders>
            <w:shd w:val="clear" w:color="auto" w:fill="D2D2D2"/>
          </w:tcPr>
          <w:p>
            <w:pPr/>
          </w:p>
        </w:tc>
        <w:tc>
          <w:tcPr>
            <w:tcW w:w="1209"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390" w:hRule="exact"/>
        </w:trPr>
        <w:tc>
          <w:tcPr>
            <w:tcW w:w="11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418,044,000.00</w:t>
            </w:r>
          </w:p>
        </w:tc>
        <w:tc>
          <w:tcPr>
            <w:tcW w:w="1194"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194" w:type="dxa"/>
            <w:tcBorders>
              <w:top w:val="single" w:sz="6" w:space="0" w:color="000000"/>
              <w:left w:val="single" w:sz="6" w:space="0" w:color="000000"/>
              <w:bottom w:val="single" w:sz="6" w:space="0" w:color="000000"/>
              <w:right w:val="single" w:sz="6" w:space="0" w:color="000000"/>
            </w:tcBorders>
          </w:tcPr>
          <w:p>
            <w:pPr/>
          </w:p>
        </w:tc>
        <w:tc>
          <w:tcPr>
            <w:tcW w:w="1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2" w:right="0"/>
              <w:jc w:val="left"/>
              <w:rPr>
                <w:rFonts w:ascii="Times New Roman" w:hAnsi="Times New Roman" w:cs="Times New Roman" w:eastAsia="Times New Roman" w:hint="default"/>
                <w:sz w:val="18"/>
                <w:szCs w:val="18"/>
              </w:rPr>
            </w:pPr>
            <w:r>
              <w:rPr>
                <w:rFonts w:ascii="Times New Roman"/>
                <w:sz w:val="18"/>
              </w:rPr>
              <w:t>418,044,000.00</w:t>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28、资本公积" w:id="277"/>
      <w:bookmarkEnd w:id="277"/>
      <w:r>
        <w:rPr>
          <w:b w:val="0"/>
          <w:bCs w:val="0"/>
        </w:rPr>
      </w:r>
      <w:r>
        <w:rPr>
          <w:rFonts w:ascii="Times New Roman" w:hAnsi="Times New Roman" w:cs="Times New Roman" w:eastAsia="Times New Roman" w:hint="default"/>
        </w:rPr>
        <w:t>28</w:t>
      </w:r>
      <w:r>
        <w:rPr/>
        <w:t>、资本公积</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391"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345,687,008.56</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345,687,008.56</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345,687,008.56</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345,687,008.56</w:t>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29、其他综合收益" w:id="278"/>
      <w:bookmarkEnd w:id="278"/>
      <w:r>
        <w:rPr>
          <w:b w:val="0"/>
          <w:bCs w:val="0"/>
        </w:rPr>
      </w:r>
      <w:r>
        <w:rPr>
          <w:rFonts w:ascii="Times New Roman" w:hAnsi="Times New Roman" w:cs="Times New Roman" w:eastAsia="Times New Roman" w:hint="default"/>
        </w:rPr>
        <w:t>29</w:t>
      </w:r>
      <w:r>
        <w:rPr/>
        <w:t>、其他综合收益</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pict>
          <v:group style="position:absolute;margin-left:57.075001pt;margin-top:20.241713pt;width:479.15pt;height:21pt;mso-position-horizontal-relative:page;mso-position-vertical-relative:paragraph;z-index:-1120312" coordorigin="1142,405" coordsize="9583,420">
            <v:group style="position:absolute;left:1149;top:420;width:2;height:390" coordorigin="1149,420" coordsize="2,390">
              <v:shape style="position:absolute;left:1149;top:420;width:2;height:390" coordorigin="1149,420" coordsize="0,390" path="m1149,420l1149,810e" filled="false" stroked="true" strokeweight=".75pt" strokecolor="#d2d2d2">
                <v:path arrowok="t"/>
              </v:shape>
            </v:group>
            <v:group style="position:absolute;left:3665;top:420;width:30;height:390" coordorigin="3665,420" coordsize="30,390">
              <v:shape style="position:absolute;left:3665;top:420;width:30;height:390" coordorigin="3665,420" coordsize="30,390" path="m3665,810l3695,810,3695,420,3665,420,3665,810xe" filled="true" fillcolor="#d2d2d2" stroked="false">
                <v:path arrowok="t"/>
                <v:fill type="solid"/>
              </v:shape>
            </v:group>
            <v:group style="position:absolute;left:1157;top:420;width:2508;height:390" coordorigin="1157,420" coordsize="2508,390">
              <v:shape style="position:absolute;left:1157;top:420;width:2508;height:390" coordorigin="1157,420" coordsize="2508,390" path="m1157,810l3665,810,3665,420,1157,420,1157,810xe" filled="true" fillcolor="#d2d2d2" stroked="false">
                <v:path arrowok="t"/>
                <v:fill type="solid"/>
              </v:shape>
            </v:group>
            <v:group style="position:absolute;left:3695;top:420;width:30;height:390" coordorigin="3695,420" coordsize="30,390">
              <v:shape style="position:absolute;left:3695;top:420;width:30;height:390" coordorigin="3695,420" coordsize="30,390" path="m3695,810l3725,810,3725,420,3695,420,3695,810xe" filled="true" fillcolor="#d2d2d2" stroked="false">
                <v:path arrowok="t"/>
                <v:fill type="solid"/>
              </v:shape>
            </v:group>
            <v:group style="position:absolute;left:4641;top:420;width:30;height:390" coordorigin="4641,420" coordsize="30,390">
              <v:shape style="position:absolute;left:4641;top:420;width:30;height:390" coordorigin="4641,420" coordsize="30,390" path="m4641,810l4671,810,4671,420,4641,420,4641,810xe" filled="true" fillcolor="#d2d2d2" stroked="false">
                <v:path arrowok="t"/>
                <v:fill type="solid"/>
              </v:shape>
            </v:group>
            <v:group style="position:absolute;left:3725;top:420;width:917;height:390" coordorigin="3725,420" coordsize="917,390">
              <v:shape style="position:absolute;left:3725;top:420;width:917;height:390" coordorigin="3725,420" coordsize="917,390" path="m3725,810l4641,810,4641,420,3725,420,3725,810xe" filled="true" fillcolor="#d2d2d2" stroked="false">
                <v:path arrowok="t"/>
                <v:fill type="solid"/>
              </v:shape>
            </v:group>
            <v:group style="position:absolute;left:4671;top:420;width:30;height:390" coordorigin="4671,420" coordsize="30,390">
              <v:shape style="position:absolute;left:4671;top:420;width:30;height:390" coordorigin="4671,420" coordsize="30,390" path="m4671,810l4701,810,4701,420,4671,420,4671,810xe" filled="true" fillcolor="#d2d2d2" stroked="false">
                <v:path arrowok="t"/>
                <v:fill type="solid"/>
              </v:shape>
            </v:group>
            <v:group style="position:absolute;left:9973;top:420;width:2;height:390" coordorigin="9973,420" coordsize="2,390">
              <v:shape style="position:absolute;left:9973;top:420;width:2;height:390" coordorigin="9973,420" coordsize="0,390" path="m9973,420l9973,810e" filled="false" stroked="true" strokeweight="1.5pt" strokecolor="#d2d2d2">
                <v:path arrowok="t"/>
              </v:shape>
            </v:group>
            <v:group style="position:absolute;left:4701;top:420;width:5257;height:390" coordorigin="4701,420" coordsize="5257,390">
              <v:shape style="position:absolute;left:4701;top:420;width:5257;height:390" coordorigin="4701,420" coordsize="5257,390" path="m4701,810l9958,810,9958,420,4701,420,4701,810xe" filled="true" fillcolor="#d2d2d2" stroked="false">
                <v:path arrowok="t"/>
                <v:fill type="solid"/>
              </v:shape>
            </v:group>
            <v:group style="position:absolute;left:10003;top:435;width:2;height:345" coordorigin="10003,435" coordsize="2,345">
              <v:shape style="position:absolute;left:10003;top:435;width:2;height:345" coordorigin="10003,435" coordsize="0,345" path="m10003,435l10003,780e" filled="false" stroked="true" strokeweight="1.5pt" strokecolor="#d2d2d2">
                <v:path arrowok="t"/>
              </v:shape>
            </v:group>
            <v:group style="position:absolute;left:10701;top:435;width:2;height:345" coordorigin="10701,435" coordsize="2,345">
              <v:shape style="position:absolute;left:10701;top:435;width:2;height:345" coordorigin="10701,435" coordsize="0,345" path="m10701,435l10701,780e" filled="false" stroked="true" strokeweight=".75pt" strokecolor="#d2d2d2">
                <v:path arrowok="t"/>
              </v:shape>
            </v:group>
            <v:group style="position:absolute;left:9988;top:795;width:721;height:2" coordorigin="9988,795" coordsize="721,2">
              <v:shape style="position:absolute;left:9988;top:795;width:721;height:2" coordorigin="9988,795" coordsize="721,0" path="m9988,795l10709,795e" filled="false" stroked="true" strokeweight="1.5pt" strokecolor="#d2d2d2">
                <v:path arrowok="t"/>
              </v:shape>
            </v:group>
            <v:group style="position:absolute;left:10018;top:435;width:676;height:345" coordorigin="10018,435" coordsize="676,345">
              <v:shape style="position:absolute;left:10018;top:435;width:676;height:345" coordorigin="10018,435" coordsize="676,345" path="m10018,780l10694,780,10694,435,10018,435,10018,780xe" filled="true" fillcolor="#d2d2d2" stroked="false">
                <v:path arrowok="t"/>
                <v:fill type="solid"/>
              </v:shape>
            </v:group>
            <w10:wrap type="none"/>
          </v:group>
        </w:pict>
      </w: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553"/>
        <w:gridCol w:w="976"/>
        <w:gridCol w:w="5317"/>
        <w:gridCol w:w="736"/>
      </w:tblGrid>
      <w:tr>
        <w:trPr>
          <w:trHeight w:val="390" w:hRule="exact"/>
        </w:trPr>
        <w:tc>
          <w:tcPr>
            <w:tcW w:w="25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9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 w:right="0"/>
              <w:jc w:val="left"/>
              <w:rPr>
                <w:rFonts w:ascii="宋体" w:hAnsi="宋体" w:cs="宋体" w:eastAsia="宋体" w:hint="default"/>
                <w:sz w:val="18"/>
                <w:szCs w:val="18"/>
              </w:rPr>
            </w:pPr>
            <w:r>
              <w:rPr>
                <w:rFonts w:ascii="宋体" w:hAnsi="宋体" w:cs="宋体" w:eastAsia="宋体" w:hint="default"/>
                <w:sz w:val="18"/>
                <w:szCs w:val="18"/>
              </w:rPr>
              <w:t>期末余</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33" w:type="dxa"/>
        <w:tblLayout w:type="fixed"/>
        <w:tblCellMar>
          <w:top w:w="0" w:type="dxa"/>
          <w:left w:w="0" w:type="dxa"/>
          <w:bottom w:w="0" w:type="dxa"/>
          <w:right w:w="0" w:type="dxa"/>
        </w:tblCellMar>
        <w:tblLook w:val="01E0"/>
      </w:tblPr>
      <w:tblGrid>
        <w:gridCol w:w="2538"/>
        <w:gridCol w:w="984"/>
        <w:gridCol w:w="856"/>
        <w:gridCol w:w="1051"/>
        <w:gridCol w:w="857"/>
        <w:gridCol w:w="856"/>
        <w:gridCol w:w="856"/>
        <w:gridCol w:w="841"/>
        <w:gridCol w:w="736"/>
      </w:tblGrid>
      <w:tr>
        <w:trPr>
          <w:trHeight w:val="158" w:hRule="exact"/>
        </w:trPr>
        <w:tc>
          <w:tcPr>
            <w:tcW w:w="2538" w:type="dxa"/>
            <w:vMerge w:val="restart"/>
            <w:tcBorders>
              <w:top w:val="single" w:sz="6" w:space="0" w:color="000000"/>
              <w:left w:val="single" w:sz="6" w:space="0" w:color="000000"/>
              <w:right w:val="single" w:sz="6" w:space="0" w:color="000000"/>
            </w:tcBorders>
            <w:shd w:val="clear" w:color="auto" w:fill="D2D2D2"/>
          </w:tcPr>
          <w:p>
            <w:pPr/>
          </w:p>
        </w:tc>
        <w:tc>
          <w:tcPr>
            <w:tcW w:w="984" w:type="dxa"/>
            <w:vMerge w:val="restart"/>
            <w:tcBorders>
              <w:top w:val="single" w:sz="6" w:space="0" w:color="000000"/>
              <w:left w:val="single" w:sz="6" w:space="0" w:color="000000"/>
              <w:right w:val="single" w:sz="6" w:space="0" w:color="000000"/>
            </w:tcBorders>
            <w:shd w:val="clear" w:color="auto" w:fill="D2D2D2"/>
          </w:tcPr>
          <w:p>
            <w:pPr/>
          </w:p>
        </w:tc>
        <w:tc>
          <w:tcPr>
            <w:tcW w:w="856" w:type="dxa"/>
            <w:vMerge w:val="restart"/>
            <w:tcBorders>
              <w:top w:val="single" w:sz="6" w:space="0" w:color="000000"/>
              <w:left w:val="single" w:sz="6" w:space="0" w:color="000000"/>
              <w:right w:val="single" w:sz="6" w:space="0" w:color="000000"/>
            </w:tcBorders>
            <w:shd w:val="clear" w:color="auto" w:fill="D2D2D2"/>
          </w:tcPr>
          <w:p>
            <w:pPr/>
          </w:p>
        </w:tc>
        <w:tc>
          <w:tcPr>
            <w:tcW w:w="1051" w:type="dxa"/>
            <w:tcBorders>
              <w:top w:val="single" w:sz="6" w:space="0" w:color="000000"/>
              <w:left w:val="single" w:sz="6" w:space="0" w:color="000000"/>
              <w:bottom w:val="nil" w:sz="6" w:space="0" w:color="auto"/>
              <w:right w:val="single" w:sz="6" w:space="0" w:color="000000"/>
            </w:tcBorders>
            <w:shd w:val="clear" w:color="auto" w:fill="D2D2D2"/>
          </w:tcPr>
          <w:p>
            <w:pPr/>
          </w:p>
        </w:tc>
        <w:tc>
          <w:tcPr>
            <w:tcW w:w="857"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44"/>
              <w:ind w:left="60" w:right="59"/>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85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04" w:lineRule="auto"/>
              <w:ind w:left="135" w:right="73" w:hanging="90"/>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04" w:lineRule="auto"/>
              <w:ind w:left="45" w:right="74"/>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4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45" w:right="60"/>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36" w:type="dxa"/>
            <w:vMerge w:val="restart"/>
            <w:tcBorders>
              <w:top w:val="single" w:sz="6" w:space="0" w:color="000000"/>
              <w:left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150" w:hRule="exact"/>
        </w:trPr>
        <w:tc>
          <w:tcPr>
            <w:tcW w:w="2538" w:type="dxa"/>
            <w:vMerge/>
            <w:tcBorders>
              <w:left w:val="single" w:sz="6" w:space="0" w:color="000000"/>
              <w:right w:val="single" w:sz="6" w:space="0" w:color="000000"/>
            </w:tcBorders>
            <w:shd w:val="clear" w:color="auto" w:fill="D2D2D2"/>
          </w:tcPr>
          <w:p>
            <w:pPr/>
          </w:p>
        </w:tc>
        <w:tc>
          <w:tcPr>
            <w:tcW w:w="984" w:type="dxa"/>
            <w:vMerge/>
            <w:tcBorders>
              <w:left w:val="single" w:sz="6" w:space="0" w:color="000000"/>
              <w:right w:val="single" w:sz="6" w:space="0" w:color="000000"/>
            </w:tcBorders>
            <w:shd w:val="clear" w:color="auto" w:fill="D2D2D2"/>
          </w:tcPr>
          <w:p>
            <w:pPr/>
          </w:p>
        </w:tc>
        <w:tc>
          <w:tcPr>
            <w:tcW w:w="856" w:type="dxa"/>
            <w:vMerge/>
            <w:tcBorders>
              <w:left w:val="single" w:sz="6" w:space="0" w:color="000000"/>
              <w:bottom w:val="nil" w:sz="6" w:space="0" w:color="auto"/>
              <w:right w:val="single" w:sz="6" w:space="0" w:color="000000"/>
            </w:tcBorders>
            <w:shd w:val="clear" w:color="auto" w:fill="D2D2D2"/>
          </w:tcPr>
          <w:p>
            <w:pPr/>
          </w:p>
        </w:tc>
        <w:tc>
          <w:tcPr>
            <w:tcW w:w="1051"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4"/>
              <w:ind w:left="30" w:right="15"/>
              <w:jc w:val="center"/>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p>
        </w:tc>
        <w:tc>
          <w:tcPr>
            <w:tcW w:w="857"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4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tcPr>
          <w:p>
            <w:pPr/>
          </w:p>
        </w:tc>
      </w:tr>
      <w:tr>
        <w:trPr>
          <w:trHeight w:val="1021" w:hRule="exact"/>
        </w:trPr>
        <w:tc>
          <w:tcPr>
            <w:tcW w:w="2538" w:type="dxa"/>
            <w:vMerge/>
            <w:tcBorders>
              <w:left w:val="single" w:sz="6" w:space="0" w:color="000000"/>
              <w:right w:val="single" w:sz="6" w:space="0" w:color="000000"/>
            </w:tcBorders>
            <w:shd w:val="clear" w:color="auto" w:fill="D2D2D2"/>
          </w:tcPr>
          <w:p>
            <w:pPr/>
          </w:p>
        </w:tc>
        <w:tc>
          <w:tcPr>
            <w:tcW w:w="984" w:type="dxa"/>
            <w:vMerge/>
            <w:tcBorders>
              <w:left w:val="single" w:sz="6" w:space="0" w:color="000000"/>
              <w:right w:val="single" w:sz="6" w:space="0" w:color="000000"/>
            </w:tcBorders>
            <w:shd w:val="clear" w:color="auto" w:fill="D2D2D2"/>
          </w:tcPr>
          <w:p>
            <w:pPr/>
          </w:p>
        </w:tc>
        <w:tc>
          <w:tcPr>
            <w:tcW w:w="85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21" w:lineRule="auto" w:before="45"/>
              <w:ind w:left="60" w:right="60"/>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51" w:type="dxa"/>
            <w:vMerge/>
            <w:tcBorders>
              <w:left w:val="single" w:sz="6" w:space="0" w:color="000000"/>
              <w:right w:val="single" w:sz="6" w:space="0" w:color="000000"/>
            </w:tcBorders>
            <w:shd w:val="clear" w:color="auto" w:fill="D2D2D2"/>
          </w:tcPr>
          <w:p>
            <w:pPr/>
          </w:p>
        </w:tc>
        <w:tc>
          <w:tcPr>
            <w:tcW w:w="857"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4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tcPr>
          <w:p>
            <w:pPr/>
          </w:p>
        </w:tc>
      </w:tr>
      <w:tr>
        <w:trPr>
          <w:trHeight w:val="165" w:hRule="exact"/>
        </w:trPr>
        <w:tc>
          <w:tcPr>
            <w:tcW w:w="2538" w:type="dxa"/>
            <w:vMerge/>
            <w:tcBorders>
              <w:left w:val="single" w:sz="6" w:space="0" w:color="000000"/>
              <w:right w:val="single" w:sz="6" w:space="0" w:color="000000"/>
            </w:tcBorders>
            <w:shd w:val="clear" w:color="auto" w:fill="D2D2D2"/>
          </w:tcPr>
          <w:p>
            <w:pPr/>
          </w:p>
        </w:tc>
        <w:tc>
          <w:tcPr>
            <w:tcW w:w="984" w:type="dxa"/>
            <w:vMerge/>
            <w:tcBorders>
              <w:left w:val="single" w:sz="6" w:space="0" w:color="000000"/>
              <w:right w:val="single" w:sz="6" w:space="0" w:color="000000"/>
            </w:tcBorders>
            <w:shd w:val="clear" w:color="auto" w:fill="D2D2D2"/>
          </w:tcPr>
          <w:p>
            <w:pPr/>
          </w:p>
        </w:tc>
        <w:tc>
          <w:tcPr>
            <w:tcW w:w="856" w:type="dxa"/>
            <w:vMerge w:val="restart"/>
            <w:tcBorders>
              <w:top w:val="nil" w:sz="6" w:space="0" w:color="auto"/>
              <w:left w:val="single" w:sz="6" w:space="0" w:color="000000"/>
              <w:right w:val="single" w:sz="6" w:space="0" w:color="000000"/>
            </w:tcBorders>
            <w:shd w:val="clear" w:color="auto" w:fill="D2D2D2"/>
          </w:tcPr>
          <w:p>
            <w:pPr/>
          </w:p>
        </w:tc>
        <w:tc>
          <w:tcPr>
            <w:tcW w:w="1051" w:type="dxa"/>
            <w:vMerge/>
            <w:tcBorders>
              <w:left w:val="single" w:sz="6" w:space="0" w:color="000000"/>
              <w:bottom w:val="nil" w:sz="6" w:space="0" w:color="auto"/>
              <w:right w:val="single" w:sz="6" w:space="0" w:color="000000"/>
            </w:tcBorders>
            <w:shd w:val="clear" w:color="auto" w:fill="D2D2D2"/>
          </w:tcPr>
          <w:p>
            <w:pPr/>
          </w:p>
        </w:tc>
        <w:tc>
          <w:tcPr>
            <w:tcW w:w="857"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4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tcPr>
          <w:p>
            <w:pPr/>
          </w:p>
        </w:tc>
      </w:tr>
      <w:tr>
        <w:trPr>
          <w:trHeight w:val="157" w:hRule="exact"/>
        </w:trPr>
        <w:tc>
          <w:tcPr>
            <w:tcW w:w="2538" w:type="dxa"/>
            <w:vMerge/>
            <w:tcBorders>
              <w:left w:val="single" w:sz="6" w:space="0" w:color="000000"/>
              <w:bottom w:val="single" w:sz="6" w:space="0" w:color="000000"/>
              <w:right w:val="single" w:sz="6" w:space="0" w:color="000000"/>
            </w:tcBorders>
            <w:shd w:val="clear" w:color="auto" w:fill="D2D2D2"/>
          </w:tcPr>
          <w:p>
            <w:pPr/>
          </w:p>
        </w:tc>
        <w:tc>
          <w:tcPr>
            <w:tcW w:w="984" w:type="dxa"/>
            <w:vMerge/>
            <w:tcBorders>
              <w:left w:val="single" w:sz="6" w:space="0" w:color="000000"/>
              <w:bottom w:val="single" w:sz="6" w:space="0" w:color="000000"/>
              <w:right w:val="single" w:sz="6" w:space="0" w:color="000000"/>
            </w:tcBorders>
            <w:shd w:val="clear" w:color="auto" w:fill="D2D2D2"/>
          </w:tcPr>
          <w:p>
            <w:pPr/>
          </w:p>
        </w:tc>
        <w:tc>
          <w:tcPr>
            <w:tcW w:w="856" w:type="dxa"/>
            <w:vMerge/>
            <w:tcBorders>
              <w:left w:val="single" w:sz="6" w:space="0" w:color="000000"/>
              <w:bottom w:val="single" w:sz="6" w:space="0" w:color="000000"/>
              <w:right w:val="single" w:sz="6" w:space="0" w:color="000000"/>
            </w:tcBorders>
            <w:shd w:val="clear" w:color="auto" w:fill="D2D2D2"/>
          </w:tcPr>
          <w:p>
            <w:pPr/>
          </w:p>
        </w:tc>
        <w:tc>
          <w:tcPr>
            <w:tcW w:w="1051" w:type="dxa"/>
            <w:tcBorders>
              <w:top w:val="nil" w:sz="6" w:space="0" w:color="auto"/>
              <w:left w:val="single" w:sz="6" w:space="0" w:color="000000"/>
              <w:bottom w:val="single" w:sz="6" w:space="0" w:color="000000"/>
              <w:right w:val="single" w:sz="6" w:space="0" w:color="000000"/>
            </w:tcBorders>
            <w:shd w:val="clear" w:color="auto" w:fill="D2D2D2"/>
          </w:tcPr>
          <w:p>
            <w:pPr/>
          </w:p>
        </w:tc>
        <w:tc>
          <w:tcPr>
            <w:tcW w:w="857" w:type="dxa"/>
            <w:vMerge/>
            <w:tcBorders>
              <w:left w:val="single" w:sz="6" w:space="0" w:color="000000"/>
              <w:bottom w:val="single" w:sz="6" w:space="0" w:color="000000"/>
              <w:right w:val="single" w:sz="6" w:space="0" w:color="000000"/>
            </w:tcBorders>
            <w:shd w:val="clear" w:color="auto" w:fill="D2D2D2"/>
          </w:tcPr>
          <w:p>
            <w:pPr/>
          </w:p>
        </w:tc>
        <w:tc>
          <w:tcPr>
            <w:tcW w:w="856" w:type="dxa"/>
            <w:vMerge/>
            <w:tcBorders>
              <w:left w:val="single" w:sz="6" w:space="0" w:color="000000"/>
              <w:bottom w:val="single" w:sz="6" w:space="0" w:color="000000"/>
              <w:right w:val="single" w:sz="6" w:space="0" w:color="000000"/>
            </w:tcBorders>
            <w:shd w:val="clear" w:color="auto" w:fill="D2D2D2"/>
          </w:tcPr>
          <w:p>
            <w:pPr/>
          </w:p>
        </w:tc>
        <w:tc>
          <w:tcPr>
            <w:tcW w:w="856" w:type="dxa"/>
            <w:vMerge/>
            <w:tcBorders>
              <w:left w:val="single" w:sz="6" w:space="0" w:color="000000"/>
              <w:bottom w:val="single" w:sz="6" w:space="0" w:color="000000"/>
              <w:right w:val="single" w:sz="6" w:space="0" w:color="000000"/>
            </w:tcBorders>
            <w:shd w:val="clear" w:color="auto" w:fill="D2D2D2"/>
          </w:tcPr>
          <w:p>
            <w:pPr/>
          </w:p>
        </w:tc>
        <w:tc>
          <w:tcPr>
            <w:tcW w:w="841" w:type="dxa"/>
            <w:vMerge/>
            <w:tcBorders>
              <w:left w:val="single" w:sz="6" w:space="0" w:color="000000"/>
              <w:bottom w:val="single" w:sz="6" w:space="0" w:color="000000"/>
              <w:right w:val="single" w:sz="6" w:space="0" w:color="000000"/>
            </w:tcBorders>
            <w:shd w:val="clear" w:color="auto" w:fill="D2D2D2"/>
          </w:tcPr>
          <w:p>
            <w:pPr/>
          </w:p>
        </w:tc>
        <w:tc>
          <w:tcPr>
            <w:tcW w:w="736" w:type="dxa"/>
            <w:vMerge/>
            <w:tcBorders>
              <w:left w:val="single" w:sz="6" w:space="0" w:color="000000"/>
              <w:bottom w:val="single" w:sz="6" w:space="0" w:color="000000"/>
              <w:right w:val="single" w:sz="6" w:space="0" w:color="000000"/>
            </w:tcBorders>
          </w:tcPr>
          <w:p>
            <w:pPr/>
          </w:p>
        </w:tc>
      </w:tr>
      <w:tr>
        <w:trPr>
          <w:trHeight w:val="721" w:hRule="exact"/>
        </w:trPr>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8"/>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合收益</w:t>
            </w:r>
          </w:p>
        </w:tc>
        <w:tc>
          <w:tcPr>
            <w:tcW w:w="98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-3,636,364.0</w:t>
            </w:r>
            <w:r>
              <w:rPr>
                <w:rFonts w:ascii="Times New Roman"/>
                <w:sz w:val="18"/>
              </w:rPr>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8,933,692.</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57</w:t>
            </w:r>
          </w:p>
        </w:tc>
        <w:tc>
          <w:tcPr>
            <w:tcW w:w="1051"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1,360,797.</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06</w:t>
            </w:r>
          </w:p>
        </w:tc>
        <w:tc>
          <w:tcPr>
            <w:tcW w:w="85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7,572,895.</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51</w:t>
            </w:r>
          </w:p>
        </w:tc>
        <w:tc>
          <w:tcPr>
            <w:tcW w:w="84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3,936,53</w:t>
            </w:r>
          </w:p>
          <w:p>
            <w:pPr>
              <w:pStyle w:val="TableParagraph"/>
              <w:spacing w:line="240" w:lineRule="auto" w:before="93"/>
              <w:ind w:left="390" w:right="0"/>
              <w:jc w:val="left"/>
              <w:rPr>
                <w:rFonts w:ascii="Times New Roman" w:hAnsi="Times New Roman" w:cs="Times New Roman" w:eastAsia="Times New Roman" w:hint="default"/>
                <w:sz w:val="18"/>
                <w:szCs w:val="18"/>
              </w:rPr>
            </w:pPr>
            <w:r>
              <w:rPr>
                <w:rFonts w:ascii="Times New Roman"/>
                <w:sz w:val="18"/>
              </w:rPr>
              <w:t>1.51</w:t>
            </w:r>
          </w:p>
        </w:tc>
      </w:tr>
      <w:tr>
        <w:trPr>
          <w:trHeight w:val="706" w:hRule="exact"/>
        </w:trPr>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173" w:firstLine="540"/>
              <w:jc w:val="left"/>
              <w:rPr>
                <w:rFonts w:ascii="宋体" w:hAnsi="宋体" w:cs="宋体" w:eastAsia="宋体" w:hint="default"/>
                <w:sz w:val="18"/>
                <w:szCs w:val="18"/>
              </w:rPr>
            </w:pPr>
            <w:r>
              <w:rPr>
                <w:rFonts w:ascii="宋体" w:hAnsi="宋体" w:cs="宋体" w:eastAsia="宋体" w:hint="default"/>
                <w:sz w:val="18"/>
                <w:szCs w:val="18"/>
              </w:rPr>
              <w:t>其他权益工具投资公允 价值变动</w:t>
            </w:r>
          </w:p>
        </w:tc>
        <w:tc>
          <w:tcPr>
            <w:tcW w:w="98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-3,636,364.0</w:t>
            </w:r>
            <w:r>
              <w:rPr>
                <w:rFonts w:ascii="Times New Roman"/>
                <w:sz w:val="18"/>
              </w:rPr>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8,933,692.</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57</w:t>
            </w:r>
          </w:p>
        </w:tc>
        <w:tc>
          <w:tcPr>
            <w:tcW w:w="1051"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1,360,797.</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06</w:t>
            </w:r>
          </w:p>
        </w:tc>
        <w:tc>
          <w:tcPr>
            <w:tcW w:w="85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7,572,895.</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51</w:t>
            </w:r>
          </w:p>
        </w:tc>
        <w:tc>
          <w:tcPr>
            <w:tcW w:w="84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3,936,53</w:t>
            </w:r>
          </w:p>
          <w:p>
            <w:pPr>
              <w:pStyle w:val="TableParagraph"/>
              <w:spacing w:line="240" w:lineRule="auto" w:before="108"/>
              <w:ind w:left="390" w:right="0"/>
              <w:jc w:val="left"/>
              <w:rPr>
                <w:rFonts w:ascii="Times New Roman" w:hAnsi="Times New Roman" w:cs="Times New Roman" w:eastAsia="Times New Roman" w:hint="default"/>
                <w:sz w:val="18"/>
                <w:szCs w:val="18"/>
              </w:rPr>
            </w:pPr>
            <w:r>
              <w:rPr>
                <w:rFonts w:ascii="Times New Roman"/>
                <w:sz w:val="18"/>
              </w:rPr>
              <w:t>1.51</w:t>
            </w:r>
          </w:p>
        </w:tc>
      </w:tr>
      <w:tr>
        <w:trPr>
          <w:trHeight w:val="720" w:hRule="exact"/>
        </w:trPr>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8"/>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收益</w:t>
            </w:r>
          </w:p>
        </w:tc>
        <w:tc>
          <w:tcPr>
            <w:tcW w:w="98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2,840,303.2</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7</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1,233,881.</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56</w:t>
            </w:r>
          </w:p>
        </w:tc>
        <w:tc>
          <w:tcPr>
            <w:tcW w:w="1051"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1,233,881.</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56</w:t>
            </w:r>
          </w:p>
        </w:tc>
        <w:tc>
          <w:tcPr>
            <w:tcW w:w="84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4,074,18</w:t>
            </w:r>
          </w:p>
          <w:p>
            <w:pPr>
              <w:pStyle w:val="TableParagraph"/>
              <w:spacing w:line="240" w:lineRule="auto" w:before="93"/>
              <w:ind w:left="390" w:right="0"/>
              <w:jc w:val="left"/>
              <w:rPr>
                <w:rFonts w:ascii="Times New Roman" w:hAnsi="Times New Roman" w:cs="Times New Roman" w:eastAsia="Times New Roman" w:hint="default"/>
                <w:sz w:val="18"/>
                <w:szCs w:val="18"/>
              </w:rPr>
            </w:pPr>
            <w:r>
              <w:rPr>
                <w:rFonts w:ascii="Times New Roman"/>
                <w:sz w:val="18"/>
              </w:rPr>
              <w:t>4.83</w:t>
            </w:r>
          </w:p>
        </w:tc>
      </w:tr>
      <w:tr>
        <w:trPr>
          <w:trHeight w:val="706" w:hRule="exact"/>
        </w:trPr>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8"/>
              <w:jc w:val="left"/>
              <w:rPr>
                <w:rFonts w:ascii="宋体" w:hAnsi="宋体" w:cs="宋体" w:eastAsia="宋体" w:hint="default"/>
                <w:sz w:val="18"/>
                <w:szCs w:val="18"/>
              </w:rPr>
            </w:pPr>
            <w:r>
              <w:rPr>
                <w:rFonts w:ascii="宋体" w:hAnsi="宋体" w:cs="宋体" w:eastAsia="宋体" w:hint="default"/>
                <w:spacing w:val="-2"/>
                <w:sz w:val="18"/>
                <w:szCs w:val="18"/>
              </w:rPr>
              <w:t>其中：权益法下可转损益的其他</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综合收益</w:t>
            </w:r>
          </w:p>
        </w:tc>
        <w:tc>
          <w:tcPr>
            <w:tcW w:w="98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67,590.64</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133,731.8</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9</w:t>
            </w:r>
          </w:p>
        </w:tc>
        <w:tc>
          <w:tcPr>
            <w:tcW w:w="1051"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133,731.8</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9</w:t>
            </w:r>
          </w:p>
        </w:tc>
        <w:tc>
          <w:tcPr>
            <w:tcW w:w="84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201,322.</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53</w:t>
            </w:r>
          </w:p>
        </w:tc>
      </w:tr>
      <w:tr>
        <w:trPr>
          <w:trHeight w:val="158" w:hRule="exact"/>
        </w:trPr>
        <w:tc>
          <w:tcPr>
            <w:tcW w:w="2538" w:type="dxa"/>
            <w:tcBorders>
              <w:top w:val="single" w:sz="6" w:space="0" w:color="000000"/>
              <w:left w:val="single" w:sz="6" w:space="0" w:color="000000"/>
              <w:bottom w:val="nil" w:sz="6" w:space="0" w:color="auto"/>
              <w:right w:val="single" w:sz="6" w:space="0" w:color="000000"/>
            </w:tcBorders>
            <w:shd w:val="clear" w:color="auto" w:fill="D2D2D2"/>
          </w:tcPr>
          <w:p>
            <w:pPr/>
          </w:p>
        </w:tc>
        <w:tc>
          <w:tcPr>
            <w:tcW w:w="984" w:type="dxa"/>
            <w:vMerge w:val="restart"/>
            <w:tcBorders>
              <w:top w:val="single" w:sz="6" w:space="0" w:color="000000"/>
              <w:left w:val="single" w:sz="12" w:space="0" w:color="D2D2D2"/>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2,772,712.6</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3</w:t>
            </w:r>
          </w:p>
        </w:tc>
        <w:tc>
          <w:tcPr>
            <w:tcW w:w="856" w:type="dxa"/>
            <w:vMerge w:val="restart"/>
            <w:tcBorders>
              <w:top w:val="single" w:sz="6" w:space="0" w:color="000000"/>
              <w:left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1,100,149.</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67</w:t>
            </w:r>
          </w:p>
        </w:tc>
        <w:tc>
          <w:tcPr>
            <w:tcW w:w="1051" w:type="dxa"/>
            <w:vMerge w:val="restart"/>
            <w:tcBorders>
              <w:top w:val="single" w:sz="6" w:space="0" w:color="000000"/>
              <w:left w:val="single" w:sz="6" w:space="0" w:color="000000"/>
              <w:right w:val="single" w:sz="6" w:space="0" w:color="000000"/>
            </w:tcBorders>
          </w:tcPr>
          <w:p>
            <w:pPr/>
          </w:p>
        </w:tc>
        <w:tc>
          <w:tcPr>
            <w:tcW w:w="857" w:type="dxa"/>
            <w:vMerge w:val="restart"/>
            <w:tcBorders>
              <w:top w:val="single" w:sz="6" w:space="0" w:color="000000"/>
              <w:left w:val="single" w:sz="6" w:space="0" w:color="000000"/>
              <w:right w:val="single" w:sz="6" w:space="0" w:color="000000"/>
            </w:tcBorders>
          </w:tcPr>
          <w:p>
            <w:pPr/>
          </w:p>
        </w:tc>
        <w:tc>
          <w:tcPr>
            <w:tcW w:w="856" w:type="dxa"/>
            <w:vMerge w:val="restart"/>
            <w:tcBorders>
              <w:top w:val="single" w:sz="6" w:space="0" w:color="000000"/>
              <w:left w:val="single" w:sz="6" w:space="0" w:color="000000"/>
              <w:right w:val="single" w:sz="6" w:space="0" w:color="000000"/>
            </w:tcBorders>
          </w:tcPr>
          <w:p>
            <w:pPr/>
          </w:p>
        </w:tc>
        <w:tc>
          <w:tcPr>
            <w:tcW w:w="856" w:type="dxa"/>
            <w:vMerge w:val="restart"/>
            <w:tcBorders>
              <w:top w:val="single" w:sz="6" w:space="0" w:color="000000"/>
              <w:left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1,100,149.</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67</w:t>
            </w:r>
          </w:p>
        </w:tc>
        <w:tc>
          <w:tcPr>
            <w:tcW w:w="841" w:type="dxa"/>
            <w:vMerge w:val="restart"/>
            <w:tcBorders>
              <w:top w:val="single" w:sz="6" w:space="0" w:color="000000"/>
              <w:left w:val="single" w:sz="6" w:space="0" w:color="000000"/>
              <w:right w:val="single" w:sz="6" w:space="0" w:color="000000"/>
            </w:tcBorders>
          </w:tcPr>
          <w:p>
            <w:pPr/>
          </w:p>
        </w:tc>
        <w:tc>
          <w:tcPr>
            <w:tcW w:w="736" w:type="dxa"/>
            <w:vMerge w:val="restart"/>
            <w:tcBorders>
              <w:top w:val="single" w:sz="6" w:space="0" w:color="000000"/>
              <w:left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3,872,86</w:t>
            </w:r>
          </w:p>
          <w:p>
            <w:pPr>
              <w:pStyle w:val="TableParagraph"/>
              <w:spacing w:line="240" w:lineRule="auto" w:before="108"/>
              <w:ind w:left="390" w:right="0"/>
              <w:jc w:val="left"/>
              <w:rPr>
                <w:rFonts w:ascii="Times New Roman" w:hAnsi="Times New Roman" w:cs="Times New Roman" w:eastAsia="Times New Roman" w:hint="default"/>
                <w:sz w:val="18"/>
                <w:szCs w:val="18"/>
              </w:rPr>
            </w:pPr>
            <w:r>
              <w:rPr>
                <w:rFonts w:ascii="Times New Roman"/>
                <w:sz w:val="18"/>
              </w:rPr>
              <w:t>2.30</w:t>
            </w:r>
          </w:p>
        </w:tc>
      </w:tr>
      <w:tr>
        <w:trPr>
          <w:trHeight w:val="405" w:hRule="exact"/>
        </w:trPr>
        <w:tc>
          <w:tcPr>
            <w:tcW w:w="253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984" w:type="dxa"/>
            <w:vMerge/>
            <w:tcBorders>
              <w:left w:val="single" w:sz="12" w:space="0" w:color="D2D2D2"/>
              <w:right w:val="single" w:sz="6" w:space="0" w:color="000000"/>
            </w:tcBorders>
          </w:tcPr>
          <w:p>
            <w:pPr/>
          </w:p>
        </w:tc>
        <w:tc>
          <w:tcPr>
            <w:tcW w:w="856" w:type="dxa"/>
            <w:vMerge/>
            <w:tcBorders>
              <w:left w:val="single" w:sz="6" w:space="0" w:color="000000"/>
              <w:right w:val="single" w:sz="6" w:space="0" w:color="000000"/>
            </w:tcBorders>
          </w:tcPr>
          <w:p>
            <w:pPr/>
          </w:p>
        </w:tc>
        <w:tc>
          <w:tcPr>
            <w:tcW w:w="1051" w:type="dxa"/>
            <w:vMerge/>
            <w:tcBorders>
              <w:left w:val="single" w:sz="6" w:space="0" w:color="000000"/>
              <w:right w:val="single" w:sz="6" w:space="0" w:color="000000"/>
            </w:tcBorders>
          </w:tcPr>
          <w:p>
            <w:pPr/>
          </w:p>
        </w:tc>
        <w:tc>
          <w:tcPr>
            <w:tcW w:w="857" w:type="dxa"/>
            <w:vMerge/>
            <w:tcBorders>
              <w:left w:val="single" w:sz="6" w:space="0" w:color="000000"/>
              <w:right w:val="single" w:sz="6" w:space="0" w:color="000000"/>
            </w:tcBorders>
          </w:tcPr>
          <w:p>
            <w:pPr/>
          </w:p>
        </w:tc>
        <w:tc>
          <w:tcPr>
            <w:tcW w:w="856" w:type="dxa"/>
            <w:vMerge/>
            <w:tcBorders>
              <w:left w:val="single" w:sz="6" w:space="0" w:color="000000"/>
              <w:right w:val="single" w:sz="6" w:space="0" w:color="000000"/>
            </w:tcBorders>
          </w:tcPr>
          <w:p>
            <w:pPr/>
          </w:p>
        </w:tc>
        <w:tc>
          <w:tcPr>
            <w:tcW w:w="856" w:type="dxa"/>
            <w:vMerge/>
            <w:tcBorders>
              <w:left w:val="single" w:sz="6" w:space="0" w:color="000000"/>
              <w:right w:val="single" w:sz="6" w:space="0" w:color="000000"/>
            </w:tcBorders>
          </w:tcPr>
          <w:p>
            <w:pPr/>
          </w:p>
        </w:tc>
        <w:tc>
          <w:tcPr>
            <w:tcW w:w="841" w:type="dxa"/>
            <w:vMerge/>
            <w:tcBorders>
              <w:left w:val="single" w:sz="6" w:space="0" w:color="000000"/>
              <w:right w:val="single" w:sz="6" w:space="0" w:color="000000"/>
            </w:tcBorders>
          </w:tcPr>
          <w:p>
            <w:pPr/>
          </w:p>
        </w:tc>
        <w:tc>
          <w:tcPr>
            <w:tcW w:w="736" w:type="dxa"/>
            <w:vMerge/>
            <w:tcBorders>
              <w:left w:val="single" w:sz="6" w:space="0" w:color="000000"/>
              <w:right w:val="single" w:sz="6" w:space="0" w:color="000000"/>
            </w:tcBorders>
          </w:tcPr>
          <w:p>
            <w:pPr/>
          </w:p>
        </w:tc>
      </w:tr>
      <w:tr>
        <w:trPr>
          <w:trHeight w:val="158" w:hRule="exact"/>
        </w:trPr>
        <w:tc>
          <w:tcPr>
            <w:tcW w:w="2538" w:type="dxa"/>
            <w:tcBorders>
              <w:top w:val="nil" w:sz="6" w:space="0" w:color="auto"/>
              <w:left w:val="single" w:sz="6" w:space="0" w:color="000000"/>
              <w:bottom w:val="single" w:sz="6" w:space="0" w:color="000000"/>
              <w:right w:val="single" w:sz="6" w:space="0" w:color="000000"/>
            </w:tcBorders>
            <w:shd w:val="clear" w:color="auto" w:fill="D2D2D2"/>
          </w:tcPr>
          <w:p>
            <w:pPr/>
          </w:p>
        </w:tc>
        <w:tc>
          <w:tcPr>
            <w:tcW w:w="984" w:type="dxa"/>
            <w:vMerge/>
            <w:tcBorders>
              <w:left w:val="single" w:sz="12" w:space="0" w:color="D2D2D2"/>
              <w:bottom w:val="single" w:sz="6" w:space="0" w:color="000000"/>
              <w:right w:val="single" w:sz="6" w:space="0" w:color="000000"/>
            </w:tcBorders>
          </w:tcPr>
          <w:p>
            <w:pPr/>
          </w:p>
        </w:tc>
        <w:tc>
          <w:tcPr>
            <w:tcW w:w="856" w:type="dxa"/>
            <w:vMerge/>
            <w:tcBorders>
              <w:left w:val="single" w:sz="6" w:space="0" w:color="000000"/>
              <w:bottom w:val="single" w:sz="6" w:space="0" w:color="000000"/>
              <w:right w:val="single" w:sz="6" w:space="0" w:color="000000"/>
            </w:tcBorders>
          </w:tcPr>
          <w:p>
            <w:pPr/>
          </w:p>
        </w:tc>
        <w:tc>
          <w:tcPr>
            <w:tcW w:w="1051" w:type="dxa"/>
            <w:vMerge/>
            <w:tcBorders>
              <w:left w:val="single" w:sz="6" w:space="0" w:color="000000"/>
              <w:bottom w:val="single" w:sz="6" w:space="0" w:color="000000"/>
              <w:right w:val="single" w:sz="6" w:space="0" w:color="000000"/>
            </w:tcBorders>
          </w:tcPr>
          <w:p>
            <w:pPr/>
          </w:p>
        </w:tc>
        <w:tc>
          <w:tcPr>
            <w:tcW w:w="857" w:type="dxa"/>
            <w:vMerge/>
            <w:tcBorders>
              <w:left w:val="single" w:sz="6" w:space="0" w:color="000000"/>
              <w:bottom w:val="single" w:sz="6" w:space="0" w:color="000000"/>
              <w:right w:val="single" w:sz="6" w:space="0" w:color="000000"/>
            </w:tcBorders>
          </w:tcPr>
          <w:p>
            <w:pPr/>
          </w:p>
        </w:tc>
        <w:tc>
          <w:tcPr>
            <w:tcW w:w="856" w:type="dxa"/>
            <w:vMerge/>
            <w:tcBorders>
              <w:left w:val="single" w:sz="6" w:space="0" w:color="000000"/>
              <w:bottom w:val="single" w:sz="6" w:space="0" w:color="000000"/>
              <w:right w:val="single" w:sz="6" w:space="0" w:color="000000"/>
            </w:tcBorders>
          </w:tcPr>
          <w:p>
            <w:pPr/>
          </w:p>
        </w:tc>
        <w:tc>
          <w:tcPr>
            <w:tcW w:w="856" w:type="dxa"/>
            <w:vMerge/>
            <w:tcBorders>
              <w:left w:val="single" w:sz="6" w:space="0" w:color="000000"/>
              <w:bottom w:val="single" w:sz="6" w:space="0" w:color="000000"/>
              <w:right w:val="single" w:sz="6" w:space="0" w:color="000000"/>
            </w:tcBorders>
          </w:tcPr>
          <w:p>
            <w:pPr/>
          </w:p>
        </w:tc>
        <w:tc>
          <w:tcPr>
            <w:tcW w:w="841" w:type="dxa"/>
            <w:vMerge/>
            <w:tcBorders>
              <w:left w:val="single" w:sz="6" w:space="0" w:color="000000"/>
              <w:bottom w:val="single" w:sz="6" w:space="0" w:color="000000"/>
              <w:right w:val="single" w:sz="6" w:space="0" w:color="000000"/>
            </w:tcBorders>
          </w:tcPr>
          <w:p>
            <w:pPr/>
          </w:p>
        </w:tc>
        <w:tc>
          <w:tcPr>
            <w:tcW w:w="736" w:type="dxa"/>
            <w:vMerge/>
            <w:tcBorders>
              <w:left w:val="single" w:sz="6" w:space="0" w:color="000000"/>
              <w:bottom w:val="single" w:sz="6" w:space="0" w:color="000000"/>
              <w:right w:val="single" w:sz="6" w:space="0" w:color="000000"/>
            </w:tcBorders>
          </w:tcPr>
          <w:p>
            <w:pPr/>
          </w:p>
        </w:tc>
      </w:tr>
      <w:tr>
        <w:trPr>
          <w:trHeight w:val="158" w:hRule="exact"/>
        </w:trPr>
        <w:tc>
          <w:tcPr>
            <w:tcW w:w="2538" w:type="dxa"/>
            <w:tcBorders>
              <w:top w:val="single" w:sz="6" w:space="0" w:color="000000"/>
              <w:left w:val="single" w:sz="6" w:space="0" w:color="000000"/>
              <w:bottom w:val="nil" w:sz="6" w:space="0" w:color="auto"/>
              <w:right w:val="single" w:sz="6" w:space="0" w:color="000000"/>
            </w:tcBorders>
            <w:shd w:val="clear" w:color="auto" w:fill="D2D2D2"/>
          </w:tcPr>
          <w:p>
            <w:pPr/>
          </w:p>
        </w:tc>
        <w:tc>
          <w:tcPr>
            <w:tcW w:w="984" w:type="dxa"/>
            <w:vMerge w:val="restart"/>
            <w:tcBorders>
              <w:top w:val="single" w:sz="6" w:space="0" w:color="000000"/>
              <w:left w:val="single" w:sz="12" w:space="0" w:color="D2D2D2"/>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-796,060.73</w:t>
            </w:r>
          </w:p>
        </w:tc>
        <w:tc>
          <w:tcPr>
            <w:tcW w:w="856" w:type="dxa"/>
            <w:vMerge w:val="restart"/>
            <w:tcBorders>
              <w:top w:val="single" w:sz="6" w:space="0" w:color="000000"/>
              <w:left w:val="single" w:sz="6" w:space="0" w:color="000000"/>
              <w:right w:val="single" w:sz="6" w:space="0" w:color="000000"/>
            </w:tcBorders>
          </w:tcPr>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10,167,57</w:t>
            </w:r>
          </w:p>
          <w:p>
            <w:pPr>
              <w:pStyle w:val="TableParagraph"/>
              <w:spacing w:line="240" w:lineRule="auto" w:before="93"/>
              <w:ind w:left="510" w:right="0"/>
              <w:jc w:val="left"/>
              <w:rPr>
                <w:rFonts w:ascii="Times New Roman" w:hAnsi="Times New Roman" w:cs="Times New Roman" w:eastAsia="Times New Roman" w:hint="default"/>
                <w:sz w:val="18"/>
                <w:szCs w:val="18"/>
              </w:rPr>
            </w:pPr>
            <w:r>
              <w:rPr>
                <w:rFonts w:ascii="Times New Roman"/>
                <w:sz w:val="18"/>
              </w:rPr>
              <w:t>4.13</w:t>
            </w:r>
          </w:p>
        </w:tc>
        <w:tc>
          <w:tcPr>
            <w:tcW w:w="1051" w:type="dxa"/>
            <w:vMerge w:val="restart"/>
            <w:tcBorders>
              <w:top w:val="single" w:sz="6" w:space="0" w:color="000000"/>
              <w:left w:val="single" w:sz="6" w:space="0" w:color="000000"/>
              <w:right w:val="single" w:sz="6" w:space="0" w:color="000000"/>
            </w:tcBorders>
          </w:tcPr>
          <w:p>
            <w:pPr/>
          </w:p>
        </w:tc>
        <w:tc>
          <w:tcPr>
            <w:tcW w:w="857" w:type="dxa"/>
            <w:vMerge w:val="restart"/>
            <w:tcBorders>
              <w:top w:val="single" w:sz="6" w:space="0" w:color="000000"/>
              <w:left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1,360,797.</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06</w:t>
            </w:r>
          </w:p>
        </w:tc>
        <w:tc>
          <w:tcPr>
            <w:tcW w:w="856" w:type="dxa"/>
            <w:vMerge w:val="restart"/>
            <w:tcBorders>
              <w:top w:val="single" w:sz="6" w:space="0" w:color="000000"/>
              <w:left w:val="single" w:sz="6" w:space="0" w:color="000000"/>
              <w:right w:val="single" w:sz="6" w:space="0" w:color="000000"/>
            </w:tcBorders>
          </w:tcPr>
          <w:p>
            <w:pPr/>
          </w:p>
        </w:tc>
        <w:tc>
          <w:tcPr>
            <w:tcW w:w="856" w:type="dxa"/>
            <w:vMerge w:val="restart"/>
            <w:tcBorders>
              <w:top w:val="single" w:sz="6" w:space="0" w:color="000000"/>
              <w:left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8,806,777.</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07</w:t>
            </w:r>
          </w:p>
        </w:tc>
        <w:tc>
          <w:tcPr>
            <w:tcW w:w="841" w:type="dxa"/>
            <w:vMerge w:val="restart"/>
            <w:tcBorders>
              <w:top w:val="single" w:sz="6" w:space="0" w:color="000000"/>
              <w:left w:val="single" w:sz="6" w:space="0" w:color="000000"/>
              <w:right w:val="single" w:sz="6" w:space="0" w:color="000000"/>
            </w:tcBorders>
          </w:tcPr>
          <w:p>
            <w:pPr/>
          </w:p>
        </w:tc>
        <w:tc>
          <w:tcPr>
            <w:tcW w:w="736" w:type="dxa"/>
            <w:vMerge w:val="restart"/>
            <w:tcBorders>
              <w:top w:val="single" w:sz="6" w:space="0" w:color="000000"/>
              <w:left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8,010,71</w:t>
            </w:r>
          </w:p>
          <w:p>
            <w:pPr>
              <w:pStyle w:val="TableParagraph"/>
              <w:spacing w:line="240" w:lineRule="auto" w:before="93"/>
              <w:ind w:left="390" w:right="0"/>
              <w:jc w:val="left"/>
              <w:rPr>
                <w:rFonts w:ascii="Times New Roman" w:hAnsi="Times New Roman" w:cs="Times New Roman" w:eastAsia="Times New Roman" w:hint="default"/>
                <w:sz w:val="18"/>
                <w:szCs w:val="18"/>
              </w:rPr>
            </w:pPr>
            <w:r>
              <w:rPr>
                <w:rFonts w:ascii="Times New Roman"/>
                <w:sz w:val="18"/>
              </w:rPr>
              <w:t>6.34</w:t>
            </w:r>
          </w:p>
        </w:tc>
      </w:tr>
      <w:tr>
        <w:trPr>
          <w:trHeight w:val="391" w:hRule="exact"/>
        </w:trPr>
        <w:tc>
          <w:tcPr>
            <w:tcW w:w="253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84" w:type="dxa"/>
            <w:vMerge/>
            <w:tcBorders>
              <w:left w:val="single" w:sz="12" w:space="0" w:color="D2D2D2"/>
              <w:right w:val="single" w:sz="6" w:space="0" w:color="000000"/>
            </w:tcBorders>
          </w:tcPr>
          <w:p>
            <w:pPr/>
          </w:p>
        </w:tc>
        <w:tc>
          <w:tcPr>
            <w:tcW w:w="856" w:type="dxa"/>
            <w:vMerge/>
            <w:tcBorders>
              <w:left w:val="single" w:sz="6" w:space="0" w:color="000000"/>
              <w:right w:val="single" w:sz="6" w:space="0" w:color="000000"/>
            </w:tcBorders>
          </w:tcPr>
          <w:p>
            <w:pPr/>
          </w:p>
        </w:tc>
        <w:tc>
          <w:tcPr>
            <w:tcW w:w="1051" w:type="dxa"/>
            <w:vMerge/>
            <w:tcBorders>
              <w:left w:val="single" w:sz="6" w:space="0" w:color="000000"/>
              <w:right w:val="single" w:sz="6" w:space="0" w:color="000000"/>
            </w:tcBorders>
          </w:tcPr>
          <w:p>
            <w:pPr/>
          </w:p>
        </w:tc>
        <w:tc>
          <w:tcPr>
            <w:tcW w:w="857" w:type="dxa"/>
            <w:vMerge/>
            <w:tcBorders>
              <w:left w:val="single" w:sz="6" w:space="0" w:color="000000"/>
              <w:right w:val="single" w:sz="6" w:space="0" w:color="000000"/>
            </w:tcBorders>
          </w:tcPr>
          <w:p>
            <w:pPr/>
          </w:p>
        </w:tc>
        <w:tc>
          <w:tcPr>
            <w:tcW w:w="856" w:type="dxa"/>
            <w:vMerge/>
            <w:tcBorders>
              <w:left w:val="single" w:sz="6" w:space="0" w:color="000000"/>
              <w:right w:val="single" w:sz="6" w:space="0" w:color="000000"/>
            </w:tcBorders>
          </w:tcPr>
          <w:p>
            <w:pPr/>
          </w:p>
        </w:tc>
        <w:tc>
          <w:tcPr>
            <w:tcW w:w="856" w:type="dxa"/>
            <w:vMerge/>
            <w:tcBorders>
              <w:left w:val="single" w:sz="6" w:space="0" w:color="000000"/>
              <w:right w:val="single" w:sz="6" w:space="0" w:color="000000"/>
            </w:tcBorders>
          </w:tcPr>
          <w:p>
            <w:pPr/>
          </w:p>
        </w:tc>
        <w:tc>
          <w:tcPr>
            <w:tcW w:w="841" w:type="dxa"/>
            <w:vMerge/>
            <w:tcBorders>
              <w:left w:val="single" w:sz="6" w:space="0" w:color="000000"/>
              <w:right w:val="single" w:sz="6" w:space="0" w:color="000000"/>
            </w:tcBorders>
          </w:tcPr>
          <w:p>
            <w:pPr/>
          </w:p>
        </w:tc>
        <w:tc>
          <w:tcPr>
            <w:tcW w:w="736" w:type="dxa"/>
            <w:vMerge/>
            <w:tcBorders>
              <w:left w:val="single" w:sz="6" w:space="0" w:color="000000"/>
              <w:right w:val="single" w:sz="6" w:space="0" w:color="000000"/>
            </w:tcBorders>
          </w:tcPr>
          <w:p>
            <w:pPr/>
          </w:p>
        </w:tc>
      </w:tr>
      <w:tr>
        <w:trPr>
          <w:trHeight w:val="158" w:hRule="exact"/>
        </w:trPr>
        <w:tc>
          <w:tcPr>
            <w:tcW w:w="2538" w:type="dxa"/>
            <w:tcBorders>
              <w:top w:val="nil" w:sz="6" w:space="0" w:color="auto"/>
              <w:left w:val="single" w:sz="6" w:space="0" w:color="000000"/>
              <w:bottom w:val="single" w:sz="6" w:space="0" w:color="000000"/>
              <w:right w:val="single" w:sz="6" w:space="0" w:color="000000"/>
            </w:tcBorders>
            <w:shd w:val="clear" w:color="auto" w:fill="D2D2D2"/>
          </w:tcPr>
          <w:p>
            <w:pPr/>
          </w:p>
        </w:tc>
        <w:tc>
          <w:tcPr>
            <w:tcW w:w="984" w:type="dxa"/>
            <w:vMerge/>
            <w:tcBorders>
              <w:left w:val="single" w:sz="12" w:space="0" w:color="D2D2D2"/>
              <w:bottom w:val="single" w:sz="6" w:space="0" w:color="000000"/>
              <w:right w:val="single" w:sz="6" w:space="0" w:color="000000"/>
            </w:tcBorders>
          </w:tcPr>
          <w:p>
            <w:pPr/>
          </w:p>
        </w:tc>
        <w:tc>
          <w:tcPr>
            <w:tcW w:w="856" w:type="dxa"/>
            <w:vMerge/>
            <w:tcBorders>
              <w:left w:val="single" w:sz="6" w:space="0" w:color="000000"/>
              <w:bottom w:val="single" w:sz="6" w:space="0" w:color="000000"/>
              <w:right w:val="single" w:sz="6" w:space="0" w:color="000000"/>
            </w:tcBorders>
          </w:tcPr>
          <w:p>
            <w:pPr/>
          </w:p>
        </w:tc>
        <w:tc>
          <w:tcPr>
            <w:tcW w:w="1051" w:type="dxa"/>
            <w:vMerge/>
            <w:tcBorders>
              <w:left w:val="single" w:sz="6" w:space="0" w:color="000000"/>
              <w:bottom w:val="single" w:sz="6" w:space="0" w:color="000000"/>
              <w:right w:val="single" w:sz="6" w:space="0" w:color="000000"/>
            </w:tcBorders>
          </w:tcPr>
          <w:p>
            <w:pPr/>
          </w:p>
        </w:tc>
        <w:tc>
          <w:tcPr>
            <w:tcW w:w="857" w:type="dxa"/>
            <w:vMerge/>
            <w:tcBorders>
              <w:left w:val="single" w:sz="6" w:space="0" w:color="000000"/>
              <w:bottom w:val="single" w:sz="6" w:space="0" w:color="000000"/>
              <w:right w:val="single" w:sz="6" w:space="0" w:color="000000"/>
            </w:tcBorders>
          </w:tcPr>
          <w:p>
            <w:pPr/>
          </w:p>
        </w:tc>
        <w:tc>
          <w:tcPr>
            <w:tcW w:w="856" w:type="dxa"/>
            <w:vMerge/>
            <w:tcBorders>
              <w:left w:val="single" w:sz="6" w:space="0" w:color="000000"/>
              <w:bottom w:val="single" w:sz="6" w:space="0" w:color="000000"/>
              <w:right w:val="single" w:sz="6" w:space="0" w:color="000000"/>
            </w:tcBorders>
          </w:tcPr>
          <w:p>
            <w:pPr/>
          </w:p>
        </w:tc>
        <w:tc>
          <w:tcPr>
            <w:tcW w:w="856" w:type="dxa"/>
            <w:vMerge/>
            <w:tcBorders>
              <w:left w:val="single" w:sz="6" w:space="0" w:color="000000"/>
              <w:bottom w:val="single" w:sz="6" w:space="0" w:color="000000"/>
              <w:right w:val="single" w:sz="6" w:space="0" w:color="000000"/>
            </w:tcBorders>
          </w:tcPr>
          <w:p>
            <w:pPr/>
          </w:p>
        </w:tc>
        <w:tc>
          <w:tcPr>
            <w:tcW w:w="841" w:type="dxa"/>
            <w:vMerge/>
            <w:tcBorders>
              <w:left w:val="single" w:sz="6" w:space="0" w:color="000000"/>
              <w:bottom w:val="single" w:sz="6" w:space="0" w:color="000000"/>
              <w:right w:val="single" w:sz="6" w:space="0" w:color="000000"/>
            </w:tcBorders>
          </w:tcPr>
          <w:p>
            <w:pPr/>
          </w:p>
        </w:tc>
        <w:tc>
          <w:tcPr>
            <w:tcW w:w="736" w:type="dxa"/>
            <w:vMerge/>
            <w:tcBorders>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30、盈余公积" w:id="279"/>
      <w:bookmarkEnd w:id="279"/>
      <w:r>
        <w:rPr>
          <w:b w:val="0"/>
          <w:bCs w:val="0"/>
        </w:rPr>
      </w:r>
      <w:r>
        <w:rPr>
          <w:rFonts w:ascii="Times New Roman" w:hAnsi="Times New Roman" w:cs="Times New Roman" w:eastAsia="Times New Roman" w:hint="default"/>
        </w:rPr>
        <w:t>30</w:t>
      </w:r>
      <w:r>
        <w:rPr/>
        <w:t>、盈余公积</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391"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111,465,334.08</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3,446,451.04</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114,911,785.12</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16,228.40</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16,228.40</w:t>
            </w:r>
          </w:p>
        </w:tc>
      </w:tr>
      <w:tr>
        <w:trPr>
          <w:trHeight w:val="390"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111,481,562.48</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3,446,451.04</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114,928,013.52</w:t>
            </w:r>
          </w:p>
        </w:tc>
      </w:tr>
    </w:tbl>
    <w:p>
      <w:pPr>
        <w:pStyle w:val="BodyText"/>
        <w:spacing w:line="504" w:lineRule="auto" w:before="45"/>
        <w:ind w:right="6249"/>
        <w:jc w:val="left"/>
      </w:pPr>
      <w:r>
        <w:rPr/>
        <w:t>盈余公积说明，包括本期增减变动情况、变动原因说明： 注：本期按照净利润的</w:t>
      </w:r>
      <w:r>
        <w:rPr>
          <w:rFonts w:ascii="Times New Roman" w:hAnsi="Times New Roman" w:cs="Times New Roman" w:eastAsia="Times New Roman" w:hint="default"/>
        </w:rPr>
        <w:t>10%</w:t>
      </w:r>
      <w:r>
        <w:rPr/>
        <w:t>计提法定盈余公积。</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pStyle w:val="Heading4"/>
        <w:spacing w:line="240" w:lineRule="auto"/>
        <w:ind w:right="1100"/>
        <w:jc w:val="left"/>
        <w:rPr>
          <w:b w:val="0"/>
          <w:bCs w:val="0"/>
        </w:rPr>
      </w:pPr>
      <w:bookmarkStart w:name="31、未分配利润" w:id="280"/>
      <w:bookmarkEnd w:id="280"/>
      <w:r>
        <w:rPr>
          <w:b w:val="0"/>
          <w:bCs w:val="0"/>
        </w:rPr>
      </w:r>
      <w:r>
        <w:rPr>
          <w:rFonts w:ascii="Times New Roman" w:hAnsi="Times New Roman" w:cs="Times New Roman" w:eastAsia="Times New Roman" w:hint="default"/>
        </w:rPr>
        <w:t>31</w:t>
      </w:r>
      <w:r>
        <w:rPr/>
        <w:t>、未分配利润</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710"/>
        <w:gridCol w:w="2936"/>
        <w:gridCol w:w="2929"/>
      </w:tblGrid>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90"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873,209,831.44</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770,675,231.61</w:t>
            </w:r>
          </w:p>
        </w:tc>
      </w:tr>
      <w:tr>
        <w:trPr>
          <w:trHeight w:val="406"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7,016,012.68</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880,225,844.12</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770,675,231.61</w:t>
            </w: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90,234,261.13</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133,273,482.46</w:t>
            </w:r>
          </w:p>
        </w:tc>
      </w:tr>
      <w:tr>
        <w:trPr>
          <w:trHeight w:val="390"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3,446,451.04</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9,836,682.63</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725"/>
        <w:gridCol w:w="2929"/>
        <w:gridCol w:w="2929"/>
      </w:tblGrid>
      <w:tr>
        <w:trPr>
          <w:trHeight w:val="405" w:hRule="exact"/>
        </w:trPr>
        <w:tc>
          <w:tcPr>
            <w:tcW w:w="37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20,902,200.00</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20,902,200.00</w:t>
            </w:r>
          </w:p>
        </w:tc>
      </w:tr>
      <w:tr>
        <w:trPr>
          <w:trHeight w:val="405" w:hRule="exact"/>
        </w:trPr>
        <w:tc>
          <w:tcPr>
            <w:tcW w:w="3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其他综合收益结转留存收益</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1,360,797.06</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7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947,472,251.27</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873,209,831.44</w:t>
            </w:r>
          </w:p>
        </w:tc>
      </w:tr>
    </w:tbl>
    <w:p>
      <w:pPr>
        <w:pStyle w:val="BodyText"/>
        <w:spacing w:line="240" w:lineRule="auto" w:before="44"/>
        <w:ind w:right="1100"/>
        <w:jc w:val="left"/>
      </w:pPr>
      <w:r>
        <w:rPr/>
        <w:t>调整期初未分配利润明细：</w:t>
      </w:r>
    </w:p>
    <w:p>
      <w:pPr>
        <w:pStyle w:val="BodyText"/>
        <w:spacing w:line="240" w:lineRule="auto" w:before="125"/>
        <w:ind w:right="1100"/>
        <w:jc w:val="left"/>
      </w:pPr>
      <w:r>
        <w:rPr>
          <w:rFonts w:ascii="Times New Roman" w:hAnsi="Times New Roman" w:cs="Times New Roman" w:eastAsia="Times New Roman" w:hint="default"/>
        </w:rPr>
        <w:t>1)</w:t>
      </w:r>
      <w:r>
        <w:rPr/>
        <w:t>、由于《企业会计准则》及其相关新规定进行追溯调整，影响期初未分配利润</w:t>
      </w:r>
      <w:r>
        <w:rPr>
          <w:spacing w:val="-38"/>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11"/>
        <w:ind w:right="1100"/>
        <w:jc w:val="left"/>
      </w:pPr>
      <w:r>
        <w:rPr>
          <w:rFonts w:ascii="Times New Roman" w:hAnsi="Times New Roman" w:cs="Times New Roman" w:eastAsia="Times New Roman" w:hint="default"/>
        </w:rPr>
        <w:t>2)</w:t>
      </w:r>
      <w:r>
        <w:rPr/>
        <w:t>、由于会计政策变更，影响期初未分配利润</w:t>
      </w:r>
      <w:r>
        <w:rPr>
          <w:spacing w:val="-42"/>
        </w:rPr>
        <w:t> </w:t>
      </w:r>
      <w:r>
        <w:rPr>
          <w:rFonts w:ascii="Times New Roman" w:hAnsi="Times New Roman" w:cs="Times New Roman" w:eastAsia="Times New Roman" w:hint="default"/>
        </w:rPr>
        <w:t>7,016,012.68 </w:t>
      </w:r>
      <w:r>
        <w:rPr/>
        <w:t>元。</w:t>
      </w:r>
    </w:p>
    <w:p>
      <w:pPr>
        <w:pStyle w:val="BodyText"/>
        <w:spacing w:line="240" w:lineRule="auto" w:before="96"/>
        <w:ind w:right="1100"/>
        <w:jc w:val="left"/>
      </w:pPr>
      <w:r>
        <w:rPr>
          <w:rFonts w:ascii="Times New Roman" w:hAnsi="Times New Roman" w:cs="Times New Roman" w:eastAsia="Times New Roman" w:hint="default"/>
        </w:rPr>
        <w:t>3)</w:t>
      </w:r>
      <w:r>
        <w:rPr/>
        <w:t>、由于重大会计差错更正，影响期初未分配利润</w:t>
      </w:r>
      <w:r>
        <w:rPr>
          <w:spacing w:val="-41"/>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11"/>
        <w:ind w:right="1100"/>
        <w:jc w:val="left"/>
      </w:pPr>
      <w:r>
        <w:rPr>
          <w:rFonts w:ascii="Times New Roman" w:hAnsi="Times New Roman" w:cs="Times New Roman" w:eastAsia="Times New Roman" w:hint="default"/>
        </w:rPr>
        <w:t>4)</w:t>
      </w:r>
      <w:r>
        <w:rPr/>
        <w:t>、由于同一控制导致的合并范围变更，影响期初未分配利润</w:t>
      </w:r>
      <w:r>
        <w:rPr>
          <w:spacing w:val="-39"/>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96"/>
        <w:ind w:right="1100"/>
        <w:jc w:val="left"/>
      </w:pPr>
      <w:r>
        <w:rPr>
          <w:rFonts w:ascii="Times New Roman" w:hAnsi="Times New Roman" w:cs="Times New Roman" w:eastAsia="Times New Roman" w:hint="default"/>
        </w:rPr>
        <w:t>5)</w:t>
      </w:r>
      <w:r>
        <w:rPr/>
        <w:t>、其他调整合计影响期初未分配利润</w:t>
      </w:r>
      <w:r>
        <w:rPr>
          <w:spacing w:val="-42"/>
        </w:rPr>
        <w:t> </w:t>
      </w:r>
      <w:r>
        <w:rPr>
          <w:rFonts w:ascii="Times New Roman" w:hAnsi="Times New Roman" w:cs="Times New Roman" w:eastAsia="Times New Roman" w:hint="default"/>
        </w:rPr>
        <w:t>0.00 </w:t>
      </w:r>
      <w:r>
        <w:rPr/>
        <w:t>元。</w:t>
      </w:r>
    </w:p>
    <w:p>
      <w:pPr>
        <w:spacing w:line="240" w:lineRule="auto" w:before="0"/>
        <w:rPr>
          <w:rFonts w:ascii="宋体" w:hAnsi="宋体" w:cs="宋体" w:eastAsia="宋体" w:hint="default"/>
          <w:sz w:val="18"/>
          <w:szCs w:val="18"/>
        </w:rPr>
      </w:pPr>
    </w:p>
    <w:p>
      <w:pPr>
        <w:pStyle w:val="Heading4"/>
        <w:spacing w:line="240" w:lineRule="auto" w:before="125"/>
        <w:ind w:right="1100"/>
        <w:jc w:val="left"/>
        <w:rPr>
          <w:b w:val="0"/>
          <w:bCs w:val="0"/>
        </w:rPr>
      </w:pPr>
      <w:bookmarkStart w:name="32、营业收入和营业成本" w:id="281"/>
      <w:bookmarkEnd w:id="281"/>
      <w:r>
        <w:rPr>
          <w:b w:val="0"/>
          <w:bCs w:val="0"/>
        </w:rPr>
      </w:r>
      <w:r>
        <w:rPr>
          <w:rFonts w:ascii="Times New Roman" w:hAnsi="Times New Roman" w:cs="Times New Roman" w:eastAsia="Times New Roman" w:hint="default"/>
        </w:rPr>
        <w:t>32</w:t>
      </w:r>
      <w:r>
        <w:rPr/>
        <w:t>、营业收入和营业成本</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15"/>
        <w:gridCol w:w="1915"/>
        <w:gridCol w:w="1923"/>
        <w:gridCol w:w="1907"/>
        <w:gridCol w:w="1922"/>
      </w:tblGrid>
      <w:tr>
        <w:trPr>
          <w:trHeight w:val="202" w:hRule="exact"/>
        </w:trPr>
        <w:tc>
          <w:tcPr>
            <w:tcW w:w="1915" w:type="dxa"/>
            <w:tcBorders>
              <w:top w:val="single" w:sz="6" w:space="0" w:color="000000"/>
              <w:left w:val="single" w:sz="6" w:space="0" w:color="000000"/>
              <w:bottom w:val="nil" w:sz="6" w:space="0" w:color="auto"/>
              <w:right w:val="single" w:sz="6" w:space="0" w:color="000000"/>
            </w:tcBorders>
            <w:shd w:val="clear" w:color="auto" w:fill="D2D2D2"/>
          </w:tcPr>
          <w:p>
            <w:pPr/>
          </w:p>
        </w:tc>
        <w:tc>
          <w:tcPr>
            <w:tcW w:w="3837"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0"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03" w:hRule="exact"/>
        </w:trPr>
        <w:tc>
          <w:tcPr>
            <w:tcW w:w="191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837" w:type="dxa"/>
            <w:gridSpan w:val="2"/>
            <w:vMerge/>
            <w:tcBorders>
              <w:left w:val="single" w:sz="6" w:space="0" w:color="000000"/>
              <w:bottom w:val="single" w:sz="6" w:space="0" w:color="000000"/>
              <w:right w:val="single" w:sz="6" w:space="0" w:color="000000"/>
            </w:tcBorders>
            <w:shd w:val="clear" w:color="auto" w:fill="D2D2D2"/>
          </w:tcPr>
          <w:p>
            <w:pPr/>
          </w:p>
        </w:tc>
        <w:tc>
          <w:tcPr>
            <w:tcW w:w="3830" w:type="dxa"/>
            <w:gridSpan w:val="2"/>
            <w:vMerge/>
            <w:tcBorders>
              <w:left w:val="single" w:sz="6" w:space="0" w:color="000000"/>
              <w:bottom w:val="single" w:sz="6" w:space="0" w:color="000000"/>
              <w:right w:val="single" w:sz="6" w:space="0" w:color="000000"/>
            </w:tcBorders>
            <w:shd w:val="clear" w:color="auto" w:fill="D2D2D2"/>
          </w:tcPr>
          <w:p>
            <w:pPr/>
          </w:p>
        </w:tc>
      </w:tr>
      <w:tr>
        <w:trPr>
          <w:trHeight w:val="188" w:hRule="exact"/>
        </w:trPr>
        <w:tc>
          <w:tcPr>
            <w:tcW w:w="1915" w:type="dxa"/>
            <w:vMerge/>
            <w:tcBorders>
              <w:left w:val="single" w:sz="6" w:space="0" w:color="000000"/>
              <w:bottom w:val="nil" w:sz="6" w:space="0" w:color="auto"/>
              <w:right w:val="single" w:sz="6" w:space="0" w:color="000000"/>
            </w:tcBorders>
            <w:shd w:val="clear" w:color="auto" w:fill="D2D2D2"/>
          </w:tcPr>
          <w:p>
            <w:pPr/>
          </w:p>
        </w:tc>
        <w:tc>
          <w:tcPr>
            <w:tcW w:w="191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7"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2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17" w:hRule="exact"/>
        </w:trPr>
        <w:tc>
          <w:tcPr>
            <w:tcW w:w="1915" w:type="dxa"/>
            <w:tcBorders>
              <w:top w:val="nil" w:sz="6" w:space="0" w:color="auto"/>
              <w:left w:val="single" w:sz="6" w:space="0" w:color="000000"/>
              <w:bottom w:val="single" w:sz="6" w:space="0" w:color="000000"/>
              <w:right w:val="single" w:sz="6" w:space="0" w:color="000000"/>
            </w:tcBorders>
            <w:shd w:val="clear" w:color="auto" w:fill="D2D2D2"/>
          </w:tcPr>
          <w:p>
            <w:pPr/>
          </w:p>
        </w:tc>
        <w:tc>
          <w:tcPr>
            <w:tcW w:w="1915" w:type="dxa"/>
            <w:vMerge/>
            <w:tcBorders>
              <w:left w:val="single" w:sz="6" w:space="0" w:color="000000"/>
              <w:bottom w:val="single" w:sz="6" w:space="0" w:color="000000"/>
              <w:right w:val="single" w:sz="6" w:space="0" w:color="000000"/>
            </w:tcBorders>
            <w:shd w:val="clear" w:color="auto" w:fill="D2D2D2"/>
          </w:tcPr>
          <w:p>
            <w:pPr/>
          </w:p>
        </w:tc>
        <w:tc>
          <w:tcPr>
            <w:tcW w:w="1923" w:type="dxa"/>
            <w:vMerge/>
            <w:tcBorders>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932,289,456.87</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570,637,441.82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1,068,386,944.60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665,191,128.62</w:t>
            </w:r>
          </w:p>
        </w:tc>
      </w:tr>
      <w:tr>
        <w:trPr>
          <w:trHeight w:val="390"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7,330,997.61</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8,435,417.75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3,395,460.36</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3,466,297.54</w:t>
            </w:r>
          </w:p>
        </w:tc>
      </w:tr>
      <w:tr>
        <w:trPr>
          <w:trHeight w:val="405"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939,620,454.48</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579,072,859.57</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1,071,782,404.96</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668,657,426.16</w:t>
            </w:r>
          </w:p>
        </w:tc>
      </w:tr>
    </w:tbl>
    <w:p>
      <w:pPr>
        <w:pStyle w:val="BodyText"/>
        <w:spacing w:line="240" w:lineRule="auto" w:before="45"/>
        <w:ind w:right="1100"/>
        <w:jc w:val="left"/>
      </w:pPr>
      <w:r>
        <w:rPr/>
        <w:t>是否已执行新收入准则</w:t>
      </w:r>
    </w:p>
    <w:p>
      <w:pPr>
        <w:pStyle w:val="BodyText"/>
        <w:spacing w:line="240" w:lineRule="auto" w:before="124"/>
        <w:ind w:right="110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6"/>
        <w:rPr>
          <w:rFonts w:ascii="宋体" w:hAnsi="宋体" w:cs="宋体" w:eastAsia="宋体" w:hint="default"/>
          <w:sz w:val="26"/>
          <w:szCs w:val="26"/>
        </w:rPr>
      </w:pPr>
    </w:p>
    <w:p>
      <w:pPr>
        <w:pStyle w:val="Heading4"/>
        <w:spacing w:line="240" w:lineRule="auto"/>
        <w:ind w:right="1100"/>
        <w:jc w:val="left"/>
        <w:rPr>
          <w:b w:val="0"/>
          <w:bCs w:val="0"/>
        </w:rPr>
      </w:pPr>
      <w:bookmarkStart w:name="33、税金及附加" w:id="282"/>
      <w:bookmarkEnd w:id="282"/>
      <w:r>
        <w:rPr>
          <w:b w:val="0"/>
          <w:bCs w:val="0"/>
        </w:rPr>
      </w:r>
      <w:r>
        <w:rPr>
          <w:rFonts w:ascii="Times New Roman" w:hAnsi="Times New Roman" w:cs="Times New Roman" w:eastAsia="Times New Roman" w:hint="default"/>
        </w:rPr>
        <w:t>33</w:t>
      </w:r>
      <w:r>
        <w:rPr/>
        <w:t>、税金及附加</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77"/>
        <w:gridCol w:w="3199"/>
        <w:gridCol w:w="3199"/>
      </w:tblGrid>
      <w:tr>
        <w:trPr>
          <w:trHeight w:val="405"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4,043,613.24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4,071,821.91</w:t>
            </w: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1,732,977.10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1,439,669.77</w:t>
            </w:r>
          </w:p>
        </w:tc>
      </w:tr>
      <w:tr>
        <w:trPr>
          <w:trHeight w:val="390" w:hRule="exact"/>
        </w:trPr>
        <w:tc>
          <w:tcPr>
            <w:tcW w:w="3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1,155,318.06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862,969.53</w:t>
            </w: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印花税、残保金等</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374,662.18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648,701.66</w:t>
            </w: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7,306,570.58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7,023,162.87</w:t>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34、销售费用" w:id="283"/>
      <w:bookmarkEnd w:id="283"/>
      <w:r>
        <w:rPr>
          <w:b w:val="0"/>
          <w:bCs w:val="0"/>
        </w:rPr>
      </w:r>
      <w:r>
        <w:rPr>
          <w:rFonts w:ascii="Times New Roman" w:hAnsi="Times New Roman" w:cs="Times New Roman" w:eastAsia="Times New Roman" w:hint="default"/>
        </w:rPr>
        <w:t>34</w:t>
      </w:r>
      <w:r>
        <w:rPr/>
        <w:t>、销售费用</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58,493,485.41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53,514,989.97</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24,085,224.63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25,532,926.92</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邮寄费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11,312,468.73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12,303,688.53</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9,410,871.19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6,032,526.77</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4,675,207.18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4,788,406.42</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2,811,494.84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2,595,232.69</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110,788,751.98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104,767,771.30</w:t>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35、管理费用" w:id="284"/>
      <w:bookmarkEnd w:id="284"/>
      <w:r>
        <w:rPr>
          <w:b w:val="0"/>
          <w:bCs w:val="0"/>
        </w:rPr>
      </w:r>
      <w:r>
        <w:rPr>
          <w:rFonts w:ascii="Times New Roman" w:hAnsi="Times New Roman" w:cs="Times New Roman" w:eastAsia="Times New Roman" w:hint="default"/>
        </w:rPr>
        <w:t>35</w:t>
      </w:r>
      <w:r>
        <w:rPr/>
        <w:t>、管理费用</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62,628,219.01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28,988,854.11</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16,514,774.48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14,844,756.87</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9,307,869.77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8,143,570.95</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7,269,609.75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8,734,125.07</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无形资产、长期待摊费用摊销</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5,691,255.67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3,495,361.83</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专利费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4,729,106.98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5,400,690.37</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4,607,922.18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5,398,737.04</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2,358,134.33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2,201,811.29</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鉴证费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905,946.95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1,441,665.16</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诉讼费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408,526.25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2,343,311.95</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认证费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328,608.25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1,603,102.06</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4,003,080.78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3,749,825.44</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118,753,054.40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86,345,812.14</w:t>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36、研发费用" w:id="285"/>
      <w:bookmarkEnd w:id="285"/>
      <w:r>
        <w:rPr>
          <w:b w:val="0"/>
          <w:bCs w:val="0"/>
        </w:rPr>
      </w:r>
      <w:r>
        <w:rPr>
          <w:rFonts w:ascii="Times New Roman" w:hAnsi="Times New Roman" w:cs="Times New Roman" w:eastAsia="Times New Roman" w:hint="default"/>
        </w:rPr>
        <w:t>36</w:t>
      </w:r>
      <w:r>
        <w:rPr/>
        <w:t>、研发费用</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70,216,128.91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92,414,753.72</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5,086,449.93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5,844,536.66</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检测、测试服务费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4,106,738.90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7,604,064.54</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材料、物料消耗</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3,500,323.99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2,420,356.73</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2,734,082.55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5,857,322.94</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折旧和摊销</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1,971,683.63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1,309,102.51</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资质及认证</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974,718.53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992,699.99</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2,789,621.59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1,900,661.90</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91,379,748.03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118,343,498.99</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4"/>
        <w:spacing w:line="240" w:lineRule="auto" w:before="35"/>
        <w:ind w:right="1100"/>
        <w:jc w:val="left"/>
        <w:rPr>
          <w:b w:val="0"/>
          <w:bCs w:val="0"/>
        </w:rPr>
      </w:pPr>
      <w:bookmarkStart w:name="37、财务费用" w:id="286"/>
      <w:bookmarkEnd w:id="286"/>
      <w:r>
        <w:rPr>
          <w:b w:val="0"/>
          <w:bCs w:val="0"/>
        </w:rPr>
      </w:r>
      <w:r>
        <w:rPr>
          <w:rFonts w:ascii="Times New Roman" w:hAnsi="Times New Roman" w:cs="Times New Roman" w:eastAsia="Times New Roman" w:hint="default"/>
        </w:rPr>
        <w:t>37</w:t>
      </w:r>
      <w:r>
        <w:rPr/>
        <w:t>、财务费用</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-13,879.55</w:t>
            </w:r>
            <w:r>
              <w:rPr>
                <w:rFonts w:ascii="Times New Roman"/>
                <w:sz w:val="18"/>
              </w:rPr>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2,498,975.50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2,285,979.49</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-1,987,972.97</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-3,823,426.74</w:t>
            </w:r>
            <w:r>
              <w:rPr>
                <w:rFonts w:ascii="Times New Roman"/>
                <w:sz w:val="18"/>
              </w:rPr>
            </w:r>
          </w:p>
        </w:tc>
      </w:tr>
      <w:tr>
        <w:trPr>
          <w:trHeight w:val="391"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328,433.92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422,748.93</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-4,158,514.55</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-5,700,536.85</w:t>
            </w:r>
            <w:r>
              <w:rPr>
                <w:rFonts w:ascii="Times New Roman"/>
                <w:sz w:val="18"/>
              </w:rPr>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38、其他收益" w:id="287"/>
      <w:bookmarkEnd w:id="287"/>
      <w:r>
        <w:rPr>
          <w:b w:val="0"/>
          <w:bCs w:val="0"/>
        </w:rPr>
      </w:r>
      <w:r>
        <w:rPr>
          <w:rFonts w:ascii="Times New Roman" w:hAnsi="Times New Roman" w:cs="Times New Roman" w:eastAsia="Times New Roman" w:hint="default"/>
        </w:rPr>
        <w:t>38</w:t>
      </w:r>
      <w:r>
        <w:rPr/>
        <w:t>、其他收益</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66"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软件增值税即征即退</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16,391,630.44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31,079,375.99</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其他政府补助</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106,600.00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29,119.14</w:t>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39、投资收益" w:id="288"/>
      <w:bookmarkEnd w:id="288"/>
      <w:r>
        <w:rPr>
          <w:b w:val="0"/>
          <w:bCs w:val="0"/>
        </w:rPr>
      </w:r>
      <w:r>
        <w:rPr>
          <w:rFonts w:ascii="Times New Roman" w:hAnsi="Times New Roman" w:cs="Times New Roman" w:eastAsia="Times New Roman" w:hint="default"/>
        </w:rPr>
        <w:t>39</w:t>
      </w:r>
      <w:r>
        <w:rPr/>
        <w:t>、投资收益</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469"/>
        <w:gridCol w:w="3184"/>
        <w:gridCol w:w="2929"/>
      </w:tblGrid>
      <w:tr>
        <w:trPr>
          <w:trHeight w:val="406" w:hRule="exact"/>
        </w:trPr>
        <w:tc>
          <w:tcPr>
            <w:tcW w:w="34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7"/>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4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962,387.12</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w w:val="95"/>
                <w:sz w:val="18"/>
              </w:rPr>
              <w:t>-461,165.55</w:t>
            </w:r>
            <w:r>
              <w:rPr>
                <w:rFonts w:ascii="Times New Roman"/>
                <w:sz w:val="18"/>
              </w:rPr>
            </w:r>
          </w:p>
        </w:tc>
      </w:tr>
      <w:tr>
        <w:trPr>
          <w:trHeight w:val="405" w:hRule="exact"/>
        </w:trPr>
        <w:tc>
          <w:tcPr>
            <w:tcW w:w="34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114,644.37</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23,097,963.51</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25,516,953.09</w:t>
            </w:r>
          </w:p>
        </w:tc>
      </w:tr>
      <w:tr>
        <w:trPr>
          <w:trHeight w:val="390" w:hRule="exact"/>
        </w:trPr>
        <w:tc>
          <w:tcPr>
            <w:tcW w:w="34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24,174,995.00</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25,055,787.54</w:t>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40、公允价值变动收益" w:id="289"/>
      <w:bookmarkEnd w:id="289"/>
      <w:r>
        <w:rPr>
          <w:b w:val="0"/>
          <w:bCs w:val="0"/>
        </w:rPr>
      </w:r>
      <w:r>
        <w:rPr>
          <w:rFonts w:ascii="Times New Roman" w:hAnsi="Times New Roman" w:cs="Times New Roman" w:eastAsia="Times New Roman" w:hint="default"/>
        </w:rPr>
        <w:t>40</w:t>
      </w:r>
      <w:r>
        <w:rPr/>
        <w:t>、公允价值变动收益</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9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3,272,637.59</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3,272,637.59</w:t>
            </w:r>
          </w:p>
        </w:tc>
        <w:tc>
          <w:tcPr>
            <w:tcW w:w="319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41、信用减值损失" w:id="290"/>
      <w:bookmarkEnd w:id="290"/>
      <w:r>
        <w:rPr>
          <w:b w:val="0"/>
          <w:bCs w:val="0"/>
        </w:rPr>
      </w:r>
      <w:r>
        <w:rPr>
          <w:rFonts w:ascii="Times New Roman" w:hAnsi="Times New Roman" w:cs="Times New Roman" w:eastAsia="Times New Roman" w:hint="default"/>
        </w:rPr>
        <w:t>41</w:t>
      </w:r>
      <w:r>
        <w:rPr/>
        <w:t>、信用减值损失</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62,730.00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-2,277,774.69</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-2,215,044.69</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42、资产减值损失" w:id="291"/>
      <w:bookmarkEnd w:id="291"/>
      <w:r>
        <w:rPr>
          <w:b w:val="0"/>
          <w:bCs w:val="0"/>
        </w:rPr>
      </w:r>
      <w:r>
        <w:rPr>
          <w:rFonts w:ascii="Times New Roman" w:hAnsi="Times New Roman" w:cs="Times New Roman" w:eastAsia="Times New Roman" w:hint="default"/>
        </w:rPr>
        <w:t>42</w:t>
      </w:r>
      <w:r>
        <w:rPr/>
        <w:t>、资产减值损失</w:t>
      </w:r>
      <w:r>
        <w:rPr>
          <w:b w:val="0"/>
          <w:bCs w:val="0"/>
        </w:rPr>
      </w:r>
    </w:p>
    <w:p>
      <w:pPr>
        <w:spacing w:line="240" w:lineRule="auto" w:before="10"/>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50"/>
          <w:pgMar w:header="731" w:footer="981" w:top="1040" w:bottom="1180" w:left="1000" w:right="0"/>
        </w:sectPr>
      </w:pPr>
    </w:p>
    <w:p>
      <w:pPr>
        <w:pStyle w:val="BodyText"/>
        <w:spacing w:line="240" w:lineRule="auto" w:before="44"/>
        <w:ind w:right="-20"/>
        <w:jc w:val="left"/>
      </w:pPr>
      <w:r>
        <w:rPr/>
        <w:t>是否已执行新收入准则</w:t>
      </w:r>
    </w:p>
    <w:p>
      <w:pPr>
        <w:pStyle w:val="BodyText"/>
        <w:spacing w:line="240" w:lineRule="auto" w:before="124"/>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50"/>
          <w:pgMar w:top="1040" w:bottom="1180" w:left="1000" w:right="0"/>
          <w:cols w:num="2" w:equalWidth="0">
            <w:col w:w="1942" w:space="6904"/>
            <w:col w:w="2064"/>
          </w:cols>
        </w:sectPr>
      </w:pP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7" w:type="dxa"/>
            <w:tcBorders>
              <w:top w:val="single" w:sz="6" w:space="0" w:color="000000"/>
              <w:left w:val="single" w:sz="12"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-1,960,219.03</w:t>
            </w:r>
            <w:r>
              <w:rPr>
                <w:rFonts w:ascii="Times New Roman"/>
                <w:sz w:val="18"/>
              </w:rPr>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-3,963,099.93</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-7,526,128.89</w:t>
            </w:r>
            <w:r>
              <w:rPr>
                <w:rFonts w:ascii="Times New Roman"/>
                <w:sz w:val="18"/>
              </w:rPr>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07" w:type="dxa"/>
            <w:tcBorders>
              <w:top w:val="single" w:sz="6" w:space="0" w:color="000000"/>
              <w:left w:val="single" w:sz="12"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-3,636,364.00</w:t>
            </w:r>
            <w:r>
              <w:rPr>
                <w:rFonts w:ascii="Times New Roman"/>
                <w:sz w:val="18"/>
              </w:rPr>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-507,430.86</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-298,839.88</w:t>
            </w:r>
            <w:r>
              <w:rPr>
                <w:rFonts w:ascii="Times New Roman"/>
                <w:sz w:val="18"/>
              </w:rPr>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-4,470,530.79</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-13,421,551.80</w:t>
            </w:r>
            <w:r>
              <w:rPr>
                <w:rFonts w:ascii="Times New Roman"/>
                <w:sz w:val="18"/>
              </w:rPr>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43、资产处置收益" w:id="292"/>
      <w:bookmarkEnd w:id="292"/>
      <w:r>
        <w:rPr>
          <w:b w:val="0"/>
          <w:bCs w:val="0"/>
        </w:rPr>
      </w:r>
      <w:r>
        <w:rPr>
          <w:rFonts w:ascii="Times New Roman" w:hAnsi="Times New Roman" w:cs="Times New Roman" w:eastAsia="Times New Roman" w:hint="default"/>
        </w:rPr>
        <w:t>43</w:t>
      </w:r>
      <w:r>
        <w:rPr/>
        <w:t>、资产处置收益</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66"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8,574,837.24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-43,693.49</w:t>
            </w:r>
            <w:r>
              <w:rPr>
                <w:rFonts w:ascii="Times New Roman"/>
                <w:sz w:val="18"/>
              </w:rPr>
            </w:r>
          </w:p>
        </w:tc>
      </w:tr>
      <w:tr>
        <w:trPr>
          <w:trHeight w:val="391"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8,574,837.24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-43,693.49</w:t>
            </w:r>
            <w:r>
              <w:rPr>
                <w:rFonts w:ascii="Times New Roman"/>
                <w:sz w:val="18"/>
              </w:rPr>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44、营业外收入" w:id="293"/>
      <w:bookmarkEnd w:id="293"/>
      <w:r>
        <w:rPr>
          <w:b w:val="0"/>
          <w:bCs w:val="0"/>
        </w:rPr>
      </w:r>
      <w:r>
        <w:rPr>
          <w:rFonts w:ascii="Times New Roman" w:hAnsi="Times New Roman" w:cs="Times New Roman" w:eastAsia="Times New Roman" w:hint="default"/>
        </w:rPr>
        <w:t>44</w:t>
      </w:r>
      <w:r>
        <w:rPr/>
        <w:t>、营业外收入</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158" w:hRule="exact"/>
        </w:trPr>
        <w:tc>
          <w:tcPr>
            <w:tcW w:w="2388" w:type="dxa"/>
            <w:tcBorders>
              <w:top w:val="single" w:sz="6" w:space="0" w:color="000000"/>
              <w:left w:val="single" w:sz="6" w:space="0" w:color="000000"/>
              <w:bottom w:val="nil" w:sz="6" w:space="0" w:color="auto"/>
              <w:right w:val="single" w:sz="6" w:space="0" w:color="000000"/>
            </w:tcBorders>
            <w:shd w:val="clear" w:color="auto" w:fill="D2D2D2"/>
          </w:tcPr>
          <w:p>
            <w:pPr/>
          </w:p>
        </w:tc>
        <w:tc>
          <w:tcPr>
            <w:tcW w:w="2403" w:type="dxa"/>
            <w:tcBorders>
              <w:top w:val="single" w:sz="6" w:space="0" w:color="000000"/>
              <w:left w:val="single" w:sz="6" w:space="0" w:color="000000"/>
              <w:bottom w:val="nil" w:sz="6" w:space="0" w:color="auto"/>
              <w:right w:val="single" w:sz="6" w:space="0" w:color="000000"/>
            </w:tcBorders>
            <w:shd w:val="clear" w:color="auto" w:fill="D2D2D2"/>
          </w:tcPr>
          <w:p>
            <w:pPr/>
          </w:p>
        </w:tc>
        <w:tc>
          <w:tcPr>
            <w:tcW w:w="2388" w:type="dxa"/>
            <w:tcBorders>
              <w:top w:val="single" w:sz="6" w:space="0" w:color="000000"/>
              <w:left w:val="single" w:sz="6" w:space="0" w:color="000000"/>
              <w:bottom w:val="nil" w:sz="6" w:space="0" w:color="auto"/>
              <w:right w:val="single" w:sz="6" w:space="0" w:color="000000"/>
            </w:tcBorders>
            <w:shd w:val="clear" w:color="auto" w:fill="D2D2D2"/>
          </w:tcPr>
          <w:p>
            <w:pPr/>
          </w:p>
        </w:tc>
        <w:tc>
          <w:tcPr>
            <w:tcW w:w="2403"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1111" w:right="107"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0" w:hRule="exact"/>
        </w:trPr>
        <w:tc>
          <w:tcPr>
            <w:tcW w:w="238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75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73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03" w:type="dxa"/>
            <w:vMerge/>
            <w:tcBorders>
              <w:left w:val="single" w:sz="6" w:space="0" w:color="000000"/>
              <w:right w:val="single" w:sz="6" w:space="0" w:color="000000"/>
            </w:tcBorders>
            <w:shd w:val="clear" w:color="auto" w:fill="D2D2D2"/>
          </w:tcPr>
          <w:p>
            <w:pPr/>
          </w:p>
        </w:tc>
      </w:tr>
      <w:tr>
        <w:trPr>
          <w:trHeight w:val="158" w:hRule="exact"/>
        </w:trPr>
        <w:tc>
          <w:tcPr>
            <w:tcW w:w="2388" w:type="dxa"/>
            <w:tcBorders>
              <w:top w:val="nil" w:sz="6" w:space="0" w:color="auto"/>
              <w:left w:val="single" w:sz="6" w:space="0" w:color="000000"/>
              <w:bottom w:val="single" w:sz="6" w:space="0" w:color="000000"/>
              <w:right w:val="single" w:sz="6" w:space="0" w:color="000000"/>
            </w:tcBorders>
            <w:shd w:val="clear" w:color="auto" w:fill="D2D2D2"/>
          </w:tcPr>
          <w:p>
            <w:pPr/>
          </w:p>
        </w:tc>
        <w:tc>
          <w:tcPr>
            <w:tcW w:w="2403" w:type="dxa"/>
            <w:tcBorders>
              <w:top w:val="nil" w:sz="6" w:space="0" w:color="auto"/>
              <w:left w:val="single" w:sz="6" w:space="0" w:color="000000"/>
              <w:bottom w:val="single" w:sz="6" w:space="0" w:color="000000"/>
              <w:right w:val="single" w:sz="6" w:space="0" w:color="000000"/>
            </w:tcBorders>
            <w:shd w:val="clear" w:color="auto" w:fill="D2D2D2"/>
          </w:tcPr>
          <w:p>
            <w:pPr/>
          </w:p>
        </w:tc>
        <w:tc>
          <w:tcPr>
            <w:tcW w:w="2388" w:type="dxa"/>
            <w:tcBorders>
              <w:top w:val="nil" w:sz="6" w:space="0" w:color="auto"/>
              <w:left w:val="single" w:sz="6" w:space="0" w:color="000000"/>
              <w:bottom w:val="single" w:sz="6" w:space="0" w:color="000000"/>
              <w:right w:val="single" w:sz="6" w:space="0" w:color="000000"/>
            </w:tcBorders>
            <w:shd w:val="clear" w:color="auto" w:fill="D2D2D2"/>
          </w:tcPr>
          <w:p>
            <w:pPr/>
          </w:p>
        </w:tc>
        <w:tc>
          <w:tcPr>
            <w:tcW w:w="2403"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12,235,873.75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8,519,926.53</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12,235,873.75</w:t>
            </w:r>
          </w:p>
        </w:tc>
      </w:tr>
      <w:tr>
        <w:trPr>
          <w:trHeight w:val="133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196"/>
              <w:jc w:val="both"/>
              <w:rPr>
                <w:rFonts w:ascii="宋体" w:hAnsi="宋体" w:cs="宋体" w:eastAsia="宋体" w:hint="default"/>
                <w:sz w:val="18"/>
                <w:szCs w:val="18"/>
              </w:rPr>
            </w:pPr>
            <w:r>
              <w:rPr>
                <w:rFonts w:ascii="宋体" w:hAnsi="宋体" w:cs="宋体" w:eastAsia="宋体" w:hint="default"/>
                <w:sz w:val="18"/>
                <w:szCs w:val="18"/>
              </w:rPr>
              <w:t>企业取得联营企业的投资成 本小于取得投资时应享有被 投资单位可辨认净资产公允 价值产生的收益</w:t>
            </w: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9,883,339.14</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专利赔偿款</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2,003,000.00</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2,003,000.00</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无需支付的股权款</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1,853,430.00</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1,853,430.00</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1,823.09</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1,823.09</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16,094,126.84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18,403,265.67</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16,094,126.84</w:t>
            </w:r>
          </w:p>
        </w:tc>
      </w:tr>
    </w:tbl>
    <w:p>
      <w:pPr>
        <w:pStyle w:val="BodyText"/>
        <w:spacing w:line="240" w:lineRule="auto" w:before="45"/>
        <w:ind w:right="1100"/>
        <w:jc w:val="left"/>
      </w:pPr>
      <w:r>
        <w:rPr/>
        <w:t>计入当期损益的政府补助：</w:t>
      </w:r>
    </w:p>
    <w:p>
      <w:pPr>
        <w:spacing w:after="0" w:line="240" w:lineRule="auto"/>
        <w:jc w:val="left"/>
        <w:sectPr>
          <w:type w:val="continuous"/>
          <w:pgSz w:w="11910" w:h="16850"/>
          <w:pgMar w:top="1040" w:bottom="1180" w:left="1000" w:right="0"/>
        </w:sectPr>
      </w:pPr>
    </w:p>
    <w:p>
      <w:pPr>
        <w:spacing w:line="240" w:lineRule="auto" w:before="1"/>
        <w:rPr>
          <w:rFonts w:ascii="宋体" w:hAnsi="宋体" w:cs="宋体" w:eastAsia="宋体" w:hint="default"/>
          <w:sz w:val="26"/>
          <w:szCs w:val="26"/>
        </w:rPr>
      </w:pPr>
      <w:r>
        <w:rPr/>
        <w:pict>
          <v:group style="position:absolute;margin-left:270.350006pt;margin-top:239.455002pt;width:52.55pt;height:24.05pt;mso-position-horizontal-relative:page;mso-position-vertical-relative:page;z-index:-1120288" coordorigin="5407,4789" coordsize="1051,481">
            <v:shape style="position:absolute;left:5407;top:4789;width:1051;height:481" coordorigin="5407,4789" coordsize="1051,481" path="m5407,5270l6458,5270,6458,4789,5407,4789,5407,5270xe" filled="true" fillcolor="#ffffff" stroked="false">
              <v:path arrowok="t"/>
              <v:fill type="solid"/>
            </v:shape>
            <w10:wrap type="none"/>
          </v:group>
        </w:pict>
      </w:r>
      <w:r>
        <w:rPr/>
        <w:pict>
          <v:group style="position:absolute;margin-left:270.350006pt;margin-top:307.024994pt;width:52.55pt;height:23.3pt;mso-position-horizontal-relative:page;mso-position-vertical-relative:page;z-index:-1120264" coordorigin="5407,6140" coordsize="1051,466">
            <v:shape style="position:absolute;left:5407;top:6140;width:1051;height:466" coordorigin="5407,6140" coordsize="1051,466" path="m5407,6606l6458,6606,6458,6140,5407,6140,5407,6606xe" filled="true" fillcolor="#ffffff" stroked="false">
              <v:path arrowok="t"/>
              <v:fill type="solid"/>
            </v:shape>
            <w10:wrap type="none"/>
          </v:group>
        </w:pict>
      </w:r>
      <w:r>
        <w:rPr/>
        <w:pict>
          <v:group style="position:absolute;margin-left:270.350006pt;margin-top:601.275024pt;width:52.55pt;height:23.3pt;mso-position-horizontal-relative:page;mso-position-vertical-relative:page;z-index:-1120240" coordorigin="5407,12026" coordsize="1051,466">
            <v:shape style="position:absolute;left:5407;top:12026;width:1051;height:466" coordorigin="5407,12026" coordsize="1051,466" path="m5407,12491l6458,12491,6458,12026,5407,12026,5407,12491xe" filled="true" fillcolor="#ffffff" stroked="false">
              <v:path arrowok="t"/>
              <v:fill type="solid"/>
            </v:shape>
            <w10:wrap type="none"/>
          </v:group>
        </w:pict>
      </w:r>
      <w:r>
        <w:rPr/>
        <w:pict>
          <v:group style="position:absolute;margin-left:270.350006pt;margin-top:668.099976pt;width:52.55pt;height:23.25pt;mso-position-horizontal-relative:page;mso-position-vertical-relative:page;z-index:-1120216" coordorigin="5407,13362" coordsize="1051,465">
            <v:shape style="position:absolute;left:5407;top:13362;width:1051;height:465" coordorigin="5407,13362" coordsize="1051,465" path="m5407,13827l6458,13827,6458,13362,5407,13362,5407,13827xe" filled="true" fillcolor="#ffffff" stroked="false">
              <v:path arrowok="t"/>
              <v:fill type="solid"/>
            </v:shape>
            <w10:wrap type="none"/>
          </v:group>
        </w:pict>
      </w: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66"/>
        <w:gridCol w:w="1051"/>
        <w:gridCol w:w="1067"/>
        <w:gridCol w:w="1066"/>
        <w:gridCol w:w="1067"/>
        <w:gridCol w:w="1066"/>
      </w:tblGrid>
      <w:tr>
        <w:trPr>
          <w:trHeight w:val="720"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59" w:right="75"/>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435" w:right="74" w:hanging="361"/>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435" w:right="73" w:hanging="361"/>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436" w:right="75"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60"/>
              <w:ind w:left="75" w:right="39" w:hanging="15"/>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282"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4"/>
              <w:ind w:left="15" w:right="133"/>
              <w:jc w:val="both"/>
              <w:rPr>
                <w:rFonts w:ascii="宋体" w:hAnsi="宋体" w:cs="宋体" w:eastAsia="宋体" w:hint="default"/>
                <w:sz w:val="18"/>
                <w:szCs w:val="18"/>
              </w:rPr>
            </w:pPr>
            <w:r>
              <w:rPr>
                <w:rFonts w:ascii="宋体" w:hAnsi="宋体" w:cs="宋体" w:eastAsia="宋体" w:hint="default"/>
                <w:sz w:val="18"/>
                <w:szCs w:val="18"/>
              </w:rPr>
              <w:t>支持北京市 外贸企业提 升国际化经 营能力项目 资金</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19"/>
              <w:ind w:left="15" w:right="135"/>
              <w:jc w:val="left"/>
              <w:rPr>
                <w:rFonts w:ascii="宋体" w:hAnsi="宋体" w:cs="宋体" w:eastAsia="宋体" w:hint="default"/>
                <w:sz w:val="18"/>
                <w:szCs w:val="18"/>
              </w:rPr>
            </w:pPr>
            <w:r>
              <w:rPr>
                <w:rFonts w:ascii="宋体" w:hAnsi="宋体" w:cs="宋体" w:eastAsia="宋体" w:hint="default"/>
                <w:sz w:val="18"/>
                <w:szCs w:val="18"/>
              </w:rPr>
              <w:t>北京市商务 局</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4" w:right="2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级政策规定 依法取得）</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3,897,987.00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国家发改委</w:t>
            </w:r>
          </w:p>
          <w:p>
            <w:pPr>
              <w:pStyle w:val="TableParagraph"/>
              <w:spacing w:line="240" w:lineRule="auto" w:before="94"/>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6"/>
                <w:sz w:val="18"/>
                <w:szCs w:val="18"/>
              </w:rPr>
              <w:t>SM</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SM</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z w:val="18"/>
                <w:szCs w:val="18"/>
              </w:rPr>
              <w:t>4</w:t>
            </w:r>
          </w:p>
          <w:p>
            <w:pPr>
              <w:pStyle w:val="TableParagraph"/>
              <w:spacing w:line="307" w:lineRule="auto" w:before="51"/>
              <w:ind w:left="15" w:right="133"/>
              <w:jc w:val="left"/>
              <w:rPr>
                <w:rFonts w:ascii="宋体" w:hAnsi="宋体" w:cs="宋体" w:eastAsia="宋体" w:hint="default"/>
                <w:sz w:val="18"/>
                <w:szCs w:val="18"/>
              </w:rPr>
            </w:pPr>
            <w:r>
              <w:rPr>
                <w:rFonts w:ascii="宋体" w:hAnsi="宋体" w:cs="宋体" w:eastAsia="宋体" w:hint="default"/>
                <w:sz w:val="18"/>
                <w:szCs w:val="18"/>
              </w:rPr>
              <w:t>专项基金补 贴</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15" w:right="135"/>
              <w:jc w:val="both"/>
              <w:rPr>
                <w:rFonts w:ascii="宋体" w:hAnsi="宋体" w:cs="宋体" w:eastAsia="宋体" w:hint="default"/>
                <w:sz w:val="18"/>
                <w:szCs w:val="18"/>
              </w:rPr>
            </w:pPr>
            <w:r>
              <w:rPr>
                <w:rFonts w:ascii="宋体" w:hAnsi="宋体" w:cs="宋体" w:eastAsia="宋体" w:hint="default"/>
                <w:sz w:val="18"/>
                <w:szCs w:val="18"/>
              </w:rPr>
              <w:t>北京市发展 和改革委员 会</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30"/>
              <w:ind w:left="14" w:right="-44"/>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1,483,851.84</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1,483,851.84</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6"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133"/>
              <w:jc w:val="both"/>
              <w:rPr>
                <w:rFonts w:ascii="宋体" w:hAnsi="宋体" w:cs="宋体" w:eastAsia="宋体" w:hint="default"/>
                <w:sz w:val="18"/>
                <w:szCs w:val="18"/>
              </w:rPr>
            </w:pPr>
            <w:r>
              <w:rPr>
                <w:rFonts w:ascii="宋体" w:hAnsi="宋体" w:cs="宋体" w:eastAsia="宋体" w:hint="default"/>
                <w:sz w:val="18"/>
                <w:szCs w:val="18"/>
              </w:rPr>
              <w:t>智能网络身 份认证系统 工程实验室 项目补助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15" w:right="135"/>
              <w:jc w:val="both"/>
              <w:rPr>
                <w:rFonts w:ascii="宋体" w:hAnsi="宋体" w:cs="宋体" w:eastAsia="宋体" w:hint="default"/>
                <w:sz w:val="18"/>
                <w:szCs w:val="18"/>
              </w:rPr>
            </w:pPr>
            <w:r>
              <w:rPr>
                <w:rFonts w:ascii="宋体" w:hAnsi="宋体" w:cs="宋体" w:eastAsia="宋体" w:hint="default"/>
                <w:sz w:val="18"/>
                <w:szCs w:val="18"/>
              </w:rPr>
              <w:t>北京市发展 和改革委员 会</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4" w:right="-44"/>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1,332,000.00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1,332,000.00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82"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19"/>
              <w:ind w:left="15" w:right="133"/>
              <w:jc w:val="left"/>
              <w:rPr>
                <w:rFonts w:ascii="宋体" w:hAnsi="宋体" w:cs="宋体" w:eastAsia="宋体" w:hint="default"/>
                <w:sz w:val="18"/>
                <w:szCs w:val="18"/>
              </w:rPr>
            </w:pPr>
            <w:r>
              <w:rPr>
                <w:rFonts w:ascii="宋体" w:hAnsi="宋体" w:cs="宋体" w:eastAsia="宋体" w:hint="default"/>
                <w:sz w:val="18"/>
                <w:szCs w:val="18"/>
              </w:rPr>
              <w:t>创新能力建 设专项资金</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21" w:lineRule="auto"/>
              <w:ind w:left="15" w:right="135"/>
              <w:jc w:val="both"/>
              <w:rPr>
                <w:rFonts w:ascii="宋体" w:hAnsi="宋体" w:cs="宋体" w:eastAsia="宋体" w:hint="default"/>
                <w:sz w:val="18"/>
                <w:szCs w:val="18"/>
              </w:rPr>
            </w:pPr>
            <w:r>
              <w:rPr>
                <w:rFonts w:ascii="宋体" w:hAnsi="宋体" w:cs="宋体" w:eastAsia="宋体" w:hint="default"/>
                <w:sz w:val="18"/>
                <w:szCs w:val="18"/>
              </w:rPr>
              <w:t>首都知识产 权服务业协 会</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4" w:right="2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级政策规定 依法取得）</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933,000.00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810,000.00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67"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6" w:lineRule="auto"/>
              <w:ind w:left="15" w:right="133"/>
              <w:jc w:val="both"/>
              <w:rPr>
                <w:rFonts w:ascii="宋体" w:hAnsi="宋体" w:cs="宋体" w:eastAsia="宋体" w:hint="default"/>
                <w:sz w:val="18"/>
                <w:szCs w:val="18"/>
              </w:rPr>
            </w:pPr>
            <w:r>
              <w:rPr>
                <w:rFonts w:ascii="宋体" w:hAnsi="宋体" w:cs="宋体" w:eastAsia="宋体" w:hint="default"/>
                <w:sz w:val="18"/>
                <w:szCs w:val="18"/>
              </w:rPr>
              <w:t>中关村知识 产权领军企 业培育专项 经费</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4" w:lineRule="auto"/>
              <w:ind w:left="15" w:right="135"/>
              <w:jc w:val="both"/>
              <w:rPr>
                <w:rFonts w:ascii="宋体" w:hAnsi="宋体" w:cs="宋体" w:eastAsia="宋体" w:hint="default"/>
                <w:sz w:val="18"/>
                <w:szCs w:val="18"/>
              </w:rPr>
            </w:pPr>
            <w:r>
              <w:rPr>
                <w:rFonts w:ascii="宋体" w:hAnsi="宋体" w:cs="宋体" w:eastAsia="宋体" w:hint="default"/>
                <w:sz w:val="18"/>
                <w:szCs w:val="18"/>
              </w:rPr>
              <w:t>中关村科技 园区海淀园 管理委员会</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30"/>
              <w:ind w:left="14" w:right="2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级政策规定 依法取得）</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886,600.00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300,000.00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6"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304" w:lineRule="auto"/>
              <w:ind w:left="15" w:right="88"/>
              <w:jc w:val="both"/>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年度海 淀区国外授 权专利资助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135"/>
              <w:jc w:val="both"/>
              <w:rPr>
                <w:rFonts w:ascii="宋体" w:hAnsi="宋体" w:cs="宋体" w:eastAsia="宋体" w:hint="default"/>
                <w:sz w:val="18"/>
                <w:szCs w:val="18"/>
              </w:rPr>
            </w:pPr>
            <w:r>
              <w:rPr>
                <w:rFonts w:ascii="宋体" w:hAnsi="宋体" w:cs="宋体" w:eastAsia="宋体" w:hint="default"/>
                <w:sz w:val="18"/>
                <w:szCs w:val="18"/>
              </w:rPr>
              <w:t>中关村科技 园区海淀园 管理委员会</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4" w:right="-44"/>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720,000.00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6"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304" w:lineRule="auto"/>
              <w:ind w:left="15" w:right="103"/>
              <w:jc w:val="both"/>
              <w:rPr>
                <w:rFonts w:ascii="宋体" w:hAnsi="宋体" w:cs="宋体" w:eastAsia="宋体" w:hint="default"/>
                <w:sz w:val="18"/>
                <w:szCs w:val="18"/>
              </w:rPr>
            </w:pPr>
            <w:r>
              <w:rPr>
                <w:rFonts w:ascii="宋体" w:hAnsi="宋体" w:cs="宋体" w:eastAsia="宋体" w:hint="default"/>
                <w:sz w:val="18"/>
                <w:szCs w:val="18"/>
              </w:rPr>
              <w:t>双界面多用 途安全</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POS</w:t>
            </w:r>
            <w:r>
              <w:rPr>
                <w:rFonts w:ascii="Times New Roman" w:hAnsi="Times New Roman" w:cs="Times New Roman" w:eastAsia="Times New Roman" w:hint="default"/>
                <w:spacing w:val="4"/>
                <w:w w:val="99"/>
                <w:sz w:val="18"/>
                <w:szCs w:val="18"/>
              </w:rPr>
              <w:t> </w:t>
            </w:r>
            <w:r>
              <w:rPr>
                <w:rFonts w:ascii="宋体" w:hAnsi="宋体" w:cs="宋体" w:eastAsia="宋体" w:hint="default"/>
                <w:sz w:val="18"/>
                <w:szCs w:val="18"/>
              </w:rPr>
              <w:t>机项目</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314" w:lineRule="auto"/>
              <w:ind w:left="15" w:right="135"/>
              <w:jc w:val="both"/>
              <w:rPr>
                <w:rFonts w:ascii="宋体" w:hAnsi="宋体" w:cs="宋体" w:eastAsia="宋体" w:hint="default"/>
                <w:sz w:val="18"/>
                <w:szCs w:val="18"/>
              </w:rPr>
            </w:pPr>
            <w:r>
              <w:rPr>
                <w:rFonts w:ascii="宋体" w:hAnsi="宋体" w:cs="宋体" w:eastAsia="宋体" w:hint="default"/>
                <w:sz w:val="18"/>
                <w:szCs w:val="18"/>
              </w:rPr>
              <w:t>北京市发展 和改革委员 会</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4" w:right="-44"/>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686,366.64</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686,366.64</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r>
        <w:rPr/>
        <w:pict>
          <v:group style="position:absolute;margin-left:270.350006pt;margin-top:413.619995pt;width:52.55pt;height:24pt;mso-position-horizontal-relative:page;mso-position-vertical-relative:page;z-index:-1120192" coordorigin="5407,8272" coordsize="1051,480">
            <v:shape style="position:absolute;left:5407;top:8272;width:1051;height:480" coordorigin="5407,8272" coordsize="1051,480" path="m5407,8752l6458,8752,6458,8272,5407,8272,5407,8752xe" filled="true" fillcolor="#ffffff" stroked="false">
              <v:path arrowok="t"/>
              <v:fill type="solid"/>
            </v:shape>
            <w10:wrap type="none"/>
          </v:group>
        </w:pict>
      </w: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66"/>
        <w:gridCol w:w="1051"/>
        <w:gridCol w:w="1067"/>
        <w:gridCol w:w="1066"/>
        <w:gridCol w:w="1067"/>
        <w:gridCol w:w="1066"/>
      </w:tblGrid>
      <w:tr>
        <w:trPr>
          <w:trHeight w:val="2282"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97" w:lineRule="auto" w:before="111"/>
              <w:ind w:left="15" w:right="88"/>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年中关 村国际创新 资源支持资</w:t>
            </w:r>
          </w:p>
          <w:p>
            <w:pPr>
              <w:pStyle w:val="TableParagraph"/>
              <w:spacing w:line="240" w:lineRule="auto" w:before="36"/>
              <w:ind w:left="15" w:right="0"/>
              <w:jc w:val="both"/>
              <w:rPr>
                <w:rFonts w:ascii="宋体" w:hAnsi="宋体" w:cs="宋体" w:eastAsia="宋体" w:hint="default"/>
                <w:sz w:val="18"/>
                <w:szCs w:val="18"/>
              </w:rPr>
            </w:pPr>
            <w:r>
              <w:rPr>
                <w:rFonts w:ascii="宋体" w:hAnsi="宋体" w:cs="宋体" w:eastAsia="宋体" w:hint="default"/>
                <w:sz w:val="18"/>
                <w:szCs w:val="18"/>
              </w:rPr>
              <w:t>金</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6" w:lineRule="auto"/>
              <w:ind w:left="15" w:right="135"/>
              <w:jc w:val="both"/>
              <w:rPr>
                <w:rFonts w:ascii="宋体" w:hAnsi="宋体" w:cs="宋体" w:eastAsia="宋体" w:hint="default"/>
                <w:sz w:val="18"/>
                <w:szCs w:val="18"/>
              </w:rPr>
            </w:pPr>
            <w:r>
              <w:rPr>
                <w:rFonts w:ascii="宋体" w:hAnsi="宋体" w:cs="宋体" w:eastAsia="宋体" w:hint="default"/>
                <w:sz w:val="18"/>
                <w:szCs w:val="18"/>
              </w:rPr>
              <w:t>北京中关村 海外科技园 有限责任公 司</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4" w:right="2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级政策规定 依法取得）</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523,514.50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67"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97" w:lineRule="auto"/>
              <w:ind w:left="15" w:right="88"/>
              <w:jc w:val="both"/>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年度新 兴领域专项 资金补贴</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14" w:lineRule="auto"/>
              <w:ind w:left="15" w:right="135"/>
              <w:jc w:val="both"/>
              <w:rPr>
                <w:rFonts w:ascii="宋体" w:hAnsi="宋体" w:cs="宋体" w:eastAsia="宋体" w:hint="default"/>
                <w:sz w:val="18"/>
                <w:szCs w:val="18"/>
              </w:rPr>
            </w:pPr>
            <w:r>
              <w:rPr>
                <w:rFonts w:ascii="宋体" w:hAnsi="宋体" w:cs="宋体" w:eastAsia="宋体" w:hint="default"/>
                <w:sz w:val="18"/>
                <w:szCs w:val="18"/>
              </w:rPr>
              <w:t>北京市海淀 区人民政府 办公室</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9"/>
              <w:ind w:left="14" w:right="2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级政策规定 依法取得）</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500,000.00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82"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9" w:lineRule="auto"/>
              <w:ind w:left="15" w:right="133"/>
              <w:jc w:val="both"/>
              <w:rPr>
                <w:rFonts w:ascii="宋体" w:hAnsi="宋体" w:cs="宋体" w:eastAsia="宋体" w:hint="default"/>
                <w:sz w:val="18"/>
                <w:szCs w:val="18"/>
              </w:rPr>
            </w:pPr>
            <w:r>
              <w:rPr>
                <w:rFonts w:ascii="宋体" w:hAnsi="宋体" w:cs="宋体" w:eastAsia="宋体" w:hint="default"/>
                <w:sz w:val="18"/>
                <w:szCs w:val="18"/>
              </w:rPr>
              <w:t>中关村国家 自主创新示 范区集成电 路设计产业 发展支持资 金</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7" w:lineRule="auto"/>
              <w:ind w:left="15" w:right="135"/>
              <w:jc w:val="left"/>
              <w:rPr>
                <w:rFonts w:ascii="宋体" w:hAnsi="宋体" w:cs="宋体" w:eastAsia="宋体" w:hint="default"/>
                <w:sz w:val="18"/>
                <w:szCs w:val="18"/>
              </w:rPr>
            </w:pPr>
            <w:r>
              <w:rPr>
                <w:rFonts w:ascii="宋体" w:hAnsi="宋体" w:cs="宋体" w:eastAsia="宋体" w:hint="default"/>
                <w:sz w:val="18"/>
                <w:szCs w:val="18"/>
              </w:rPr>
              <w:t>北京半导体 行业协会</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4" w:right="2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级政策规定 依法取得）</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407,900.00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407,900.00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6"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38"/>
              <w:ind w:left="15" w:right="133"/>
              <w:jc w:val="left"/>
              <w:rPr>
                <w:rFonts w:ascii="宋体" w:hAnsi="宋体" w:cs="宋体" w:eastAsia="宋体" w:hint="default"/>
                <w:sz w:val="18"/>
                <w:szCs w:val="18"/>
              </w:rPr>
            </w:pPr>
            <w:r>
              <w:rPr>
                <w:rFonts w:ascii="宋体" w:hAnsi="宋体" w:cs="宋体" w:eastAsia="宋体" w:hint="default"/>
                <w:sz w:val="18"/>
                <w:szCs w:val="18"/>
              </w:rPr>
              <w:t>北京市专利 资助金</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4" w:lineRule="auto"/>
              <w:ind w:left="15" w:right="135"/>
              <w:jc w:val="both"/>
              <w:rPr>
                <w:rFonts w:ascii="宋体" w:hAnsi="宋体" w:cs="宋体" w:eastAsia="宋体" w:hint="default"/>
                <w:sz w:val="18"/>
                <w:szCs w:val="18"/>
              </w:rPr>
            </w:pPr>
            <w:r>
              <w:rPr>
                <w:rFonts w:ascii="宋体" w:hAnsi="宋体" w:cs="宋体" w:eastAsia="宋体" w:hint="default"/>
                <w:sz w:val="18"/>
                <w:szCs w:val="18"/>
              </w:rPr>
              <w:t>国家知识产 权局专利局 北京代办处</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4" w:right="-44"/>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3"/>
              <w:jc w:val="right"/>
              <w:rPr>
                <w:rFonts w:ascii="Times New Roman" w:hAnsi="Times New Roman" w:cs="Times New Roman" w:eastAsia="Times New Roman" w:hint="default"/>
                <w:sz w:val="18"/>
                <w:szCs w:val="18"/>
              </w:rPr>
            </w:pPr>
            <w:r>
              <w:rPr>
                <w:rFonts w:ascii="Times New Roman"/>
                <w:sz w:val="18"/>
              </w:rPr>
              <w:t>383,050.00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5"/>
              <w:jc w:val="right"/>
              <w:rPr>
                <w:rFonts w:ascii="Times New Roman" w:hAnsi="Times New Roman" w:cs="Times New Roman" w:eastAsia="Times New Roman" w:hint="default"/>
                <w:sz w:val="18"/>
                <w:szCs w:val="18"/>
              </w:rPr>
            </w:pPr>
            <w:r>
              <w:rPr>
                <w:rFonts w:ascii="Times New Roman"/>
                <w:sz w:val="18"/>
              </w:rPr>
              <w:t>337,050.00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82"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97" w:lineRule="auto" w:before="111"/>
              <w:ind w:left="15" w:right="88"/>
              <w:jc w:val="both"/>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年海淀 区知识产权 优势企业培</w:t>
            </w:r>
          </w:p>
          <w:p>
            <w:pPr>
              <w:pStyle w:val="TableParagraph"/>
              <w:spacing w:line="240" w:lineRule="auto" w:before="37"/>
              <w:ind w:left="15" w:right="0"/>
              <w:jc w:val="both"/>
              <w:rPr>
                <w:rFonts w:ascii="宋体" w:hAnsi="宋体" w:cs="宋体" w:eastAsia="宋体" w:hint="default"/>
                <w:sz w:val="18"/>
                <w:szCs w:val="18"/>
              </w:rPr>
            </w:pPr>
            <w:r>
              <w:rPr>
                <w:rFonts w:ascii="宋体" w:hAnsi="宋体" w:cs="宋体" w:eastAsia="宋体" w:hint="default"/>
                <w:sz w:val="18"/>
                <w:szCs w:val="18"/>
              </w:rPr>
              <w:t>育专项</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21" w:lineRule="auto"/>
              <w:ind w:left="15" w:right="135"/>
              <w:jc w:val="both"/>
              <w:rPr>
                <w:rFonts w:ascii="宋体" w:hAnsi="宋体" w:cs="宋体" w:eastAsia="宋体" w:hint="default"/>
                <w:sz w:val="18"/>
                <w:szCs w:val="18"/>
              </w:rPr>
            </w:pPr>
            <w:r>
              <w:rPr>
                <w:rFonts w:ascii="宋体" w:hAnsi="宋体" w:cs="宋体" w:eastAsia="宋体" w:hint="default"/>
                <w:sz w:val="18"/>
                <w:szCs w:val="18"/>
              </w:rPr>
              <w:t>中关村科技 园区海淀园 管理委员会</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4" w:right="2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级政策规定 依法取得）</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300,000.00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67"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97" w:lineRule="auto"/>
              <w:ind w:left="15" w:right="88"/>
              <w:jc w:val="both"/>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海淀区 标准化实施 专项资金</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14" w:lineRule="auto"/>
              <w:ind w:left="15" w:right="135"/>
              <w:jc w:val="both"/>
              <w:rPr>
                <w:rFonts w:ascii="宋体" w:hAnsi="宋体" w:cs="宋体" w:eastAsia="宋体" w:hint="default"/>
                <w:sz w:val="18"/>
                <w:szCs w:val="18"/>
              </w:rPr>
            </w:pPr>
            <w:r>
              <w:rPr>
                <w:rFonts w:ascii="宋体" w:hAnsi="宋体" w:cs="宋体" w:eastAsia="宋体" w:hint="default"/>
                <w:sz w:val="18"/>
                <w:szCs w:val="18"/>
              </w:rPr>
              <w:t>中关村科技 园区海淀园 管理委员会</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9"/>
              <w:ind w:left="14" w:right="2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级政策规定 依法取得）</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100,000.00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r>
        <w:rPr/>
        <w:pict>
          <v:group style="position:absolute;margin-left:270.350006pt;margin-top:186.169998pt;width:52.55pt;height:23.25pt;mso-position-horizontal-relative:page;mso-position-vertical-relative:page;z-index:-1120168" coordorigin="5407,3723" coordsize="1051,465">
            <v:shape style="position:absolute;left:5407;top:3723;width:1051;height:465" coordorigin="5407,3723" coordsize="1051,465" path="m5407,4188l6458,4188,6458,3723,5407,3723,5407,4188xe" filled="true" fillcolor="#ffffff" stroked="false">
              <v:path arrowok="t"/>
              <v:fill type="solid"/>
            </v:shape>
            <w10:wrap type="none"/>
          </v:group>
        </w:pict>
      </w:r>
      <w:r>
        <w:rPr/>
        <w:pict>
          <v:group style="position:absolute;margin-left:270.350006pt;margin-top:367.075012pt;width:52.55pt;height:23.3pt;mso-position-horizontal-relative:page;mso-position-vertical-relative:page;z-index:-1120144" coordorigin="5407,7342" coordsize="1051,466">
            <v:shape style="position:absolute;left:5407;top:7342;width:1051;height:466" coordorigin="5407,7342" coordsize="1051,466" path="m5407,7807l6458,7807,6458,7342,5407,7342,5407,7807xe" filled="true" fillcolor="#ffffff" stroked="false">
              <v:path arrowok="t"/>
              <v:fill type="solid"/>
            </v:shape>
            <w10:wrap type="none"/>
          </v:group>
        </w:pict>
      </w:r>
      <w:r>
        <w:rPr/>
        <w:pict>
          <v:group style="position:absolute;margin-left:270.350006pt;margin-top:433.875pt;width:52.55pt;height:23.3pt;mso-position-horizontal-relative:page;mso-position-vertical-relative:page;z-index:-1120120" coordorigin="5407,8678" coordsize="1051,466">
            <v:shape style="position:absolute;left:5407;top:8678;width:1051;height:466" coordorigin="5407,8678" coordsize="1051,466" path="m5407,9143l6458,9143,6458,8678,5407,8678,5407,9143xe" filled="true" fillcolor="#ffffff" stroked="false">
              <v:path arrowok="t"/>
              <v:fill type="solid"/>
            </v:shape>
            <w10:wrap type="none"/>
          </v:group>
        </w:pict>
      </w: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66"/>
        <w:gridCol w:w="1051"/>
        <w:gridCol w:w="1067"/>
        <w:gridCol w:w="1066"/>
        <w:gridCol w:w="1067"/>
        <w:gridCol w:w="1066"/>
      </w:tblGrid>
      <w:tr>
        <w:trPr>
          <w:trHeight w:val="2282"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7" w:lineRule="auto"/>
              <w:ind w:left="15" w:right="133"/>
              <w:jc w:val="left"/>
              <w:rPr>
                <w:rFonts w:ascii="宋体" w:hAnsi="宋体" w:cs="宋体" w:eastAsia="宋体" w:hint="default"/>
                <w:sz w:val="18"/>
                <w:szCs w:val="18"/>
              </w:rPr>
            </w:pPr>
            <w:r>
              <w:rPr>
                <w:rFonts w:ascii="宋体" w:hAnsi="宋体" w:cs="宋体" w:eastAsia="宋体" w:hint="default"/>
                <w:sz w:val="18"/>
                <w:szCs w:val="18"/>
              </w:rPr>
              <w:t>基地建设项 目款</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7" w:lineRule="auto"/>
              <w:ind w:left="15" w:right="135"/>
              <w:jc w:val="left"/>
              <w:rPr>
                <w:rFonts w:ascii="宋体" w:hAnsi="宋体" w:cs="宋体" w:eastAsia="宋体" w:hint="default"/>
                <w:sz w:val="18"/>
                <w:szCs w:val="18"/>
              </w:rPr>
            </w:pPr>
            <w:r>
              <w:rPr>
                <w:rFonts w:ascii="宋体" w:hAnsi="宋体" w:cs="宋体" w:eastAsia="宋体" w:hint="default"/>
                <w:sz w:val="18"/>
                <w:szCs w:val="18"/>
              </w:rPr>
              <w:t>北京知识产 权局</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4" w:right="2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级政策规定 依法取得）</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56,603.77</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70,754.71</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6"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88"/>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年中关 村提升创新 能力优化创 新环境资金</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4" w:lineRule="auto"/>
              <w:ind w:left="15" w:right="135"/>
              <w:jc w:val="both"/>
              <w:rPr>
                <w:rFonts w:ascii="宋体" w:hAnsi="宋体" w:cs="宋体" w:eastAsia="宋体" w:hint="default"/>
                <w:sz w:val="18"/>
                <w:szCs w:val="18"/>
              </w:rPr>
            </w:pPr>
            <w:r>
              <w:rPr>
                <w:rFonts w:ascii="宋体" w:hAnsi="宋体" w:cs="宋体" w:eastAsia="宋体" w:hint="default"/>
                <w:sz w:val="18"/>
                <w:szCs w:val="18"/>
              </w:rPr>
              <w:t>中国技术交 易所有限公 司</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4" w:right="-44"/>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3"/>
              <w:jc w:val="right"/>
              <w:rPr>
                <w:rFonts w:ascii="Times New Roman" w:hAnsi="Times New Roman" w:cs="Times New Roman" w:eastAsia="Times New Roman" w:hint="default"/>
                <w:sz w:val="18"/>
                <w:szCs w:val="18"/>
              </w:rPr>
            </w:pPr>
            <w:r>
              <w:rPr>
                <w:rFonts w:ascii="Times New Roman"/>
                <w:sz w:val="18"/>
              </w:rPr>
              <w:t>25,000.00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67"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21" w:lineRule="auto"/>
              <w:ind w:left="15" w:right="133"/>
              <w:jc w:val="left"/>
              <w:rPr>
                <w:rFonts w:ascii="宋体" w:hAnsi="宋体" w:cs="宋体" w:eastAsia="宋体" w:hint="default"/>
                <w:sz w:val="18"/>
                <w:szCs w:val="18"/>
              </w:rPr>
            </w:pPr>
            <w:r>
              <w:rPr>
                <w:rFonts w:ascii="宋体" w:hAnsi="宋体" w:cs="宋体" w:eastAsia="宋体" w:hint="default"/>
                <w:sz w:val="18"/>
                <w:szCs w:val="18"/>
              </w:rPr>
              <w:t>外经贸发展 专项资金</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21" w:lineRule="auto"/>
              <w:ind w:left="15" w:right="135"/>
              <w:jc w:val="left"/>
              <w:rPr>
                <w:rFonts w:ascii="宋体" w:hAnsi="宋体" w:cs="宋体" w:eastAsia="宋体" w:hint="default"/>
                <w:sz w:val="18"/>
                <w:szCs w:val="18"/>
              </w:rPr>
            </w:pPr>
            <w:r>
              <w:rPr>
                <w:rFonts w:ascii="宋体" w:hAnsi="宋体" w:cs="宋体" w:eastAsia="宋体" w:hint="default"/>
                <w:sz w:val="18"/>
                <w:szCs w:val="18"/>
              </w:rPr>
              <w:t>北京市商务 委员会</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9"/>
              <w:ind w:left="14" w:right="2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级政策规定 依法取得）</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1,531,433.00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5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133"/>
              <w:jc w:val="both"/>
              <w:rPr>
                <w:rFonts w:ascii="宋体" w:hAnsi="宋体" w:cs="宋体" w:eastAsia="宋体" w:hint="default"/>
                <w:sz w:val="18"/>
                <w:szCs w:val="18"/>
              </w:rPr>
            </w:pPr>
            <w:r>
              <w:rPr>
                <w:rFonts w:ascii="宋体" w:hAnsi="宋体" w:cs="宋体" w:eastAsia="宋体" w:hint="default"/>
                <w:sz w:val="18"/>
                <w:szCs w:val="18"/>
              </w:rPr>
              <w:t>科技型中小 企业技术创 新基金无偿 资助项目款</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135"/>
              <w:jc w:val="both"/>
              <w:rPr>
                <w:rFonts w:ascii="宋体" w:hAnsi="宋体" w:cs="宋体" w:eastAsia="宋体" w:hint="default"/>
                <w:sz w:val="18"/>
                <w:szCs w:val="18"/>
              </w:rPr>
            </w:pPr>
            <w:r>
              <w:rPr>
                <w:rFonts w:ascii="宋体" w:hAnsi="宋体" w:cs="宋体" w:eastAsia="宋体" w:hint="default"/>
                <w:sz w:val="18"/>
                <w:szCs w:val="18"/>
              </w:rPr>
              <w:t>中关村科技 园区管理委 员会</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4" w:right="-44"/>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5"/>
              <w:jc w:val="right"/>
              <w:rPr>
                <w:rFonts w:ascii="Times New Roman" w:hAnsi="Times New Roman" w:cs="Times New Roman" w:eastAsia="Times New Roman" w:hint="default"/>
                <w:sz w:val="18"/>
                <w:szCs w:val="18"/>
              </w:rPr>
            </w:pPr>
            <w:r>
              <w:rPr>
                <w:rFonts w:ascii="Times New Roman"/>
                <w:sz w:val="18"/>
              </w:rPr>
              <w:t>540,000.00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38"/>
              <w:ind w:left="15" w:right="133"/>
              <w:jc w:val="left"/>
              <w:rPr>
                <w:rFonts w:ascii="宋体" w:hAnsi="宋体" w:cs="宋体" w:eastAsia="宋体" w:hint="default"/>
                <w:sz w:val="18"/>
                <w:szCs w:val="18"/>
              </w:rPr>
            </w:pPr>
            <w:r>
              <w:rPr>
                <w:rFonts w:ascii="宋体" w:hAnsi="宋体" w:cs="宋体" w:eastAsia="宋体" w:hint="default"/>
                <w:sz w:val="18"/>
                <w:szCs w:val="18"/>
              </w:rPr>
              <w:t>海淀区专利 奖配套奖励</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4" w:lineRule="auto"/>
              <w:ind w:left="15" w:right="135"/>
              <w:jc w:val="both"/>
              <w:rPr>
                <w:rFonts w:ascii="宋体" w:hAnsi="宋体" w:cs="宋体" w:eastAsia="宋体" w:hint="default"/>
                <w:sz w:val="18"/>
                <w:szCs w:val="18"/>
              </w:rPr>
            </w:pPr>
            <w:r>
              <w:rPr>
                <w:rFonts w:ascii="宋体" w:hAnsi="宋体" w:cs="宋体" w:eastAsia="宋体" w:hint="default"/>
                <w:sz w:val="18"/>
                <w:szCs w:val="18"/>
              </w:rPr>
              <w:t>中关村科技 园区海淀园 管理委员会</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30"/>
              <w:ind w:left="14" w:right="-44"/>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15"/>
              <w:jc w:val="right"/>
              <w:rPr>
                <w:rFonts w:ascii="Times New Roman" w:hAnsi="Times New Roman" w:cs="Times New Roman" w:eastAsia="Times New Roman" w:hint="default"/>
                <w:sz w:val="18"/>
                <w:szCs w:val="18"/>
              </w:rPr>
            </w:pPr>
            <w:r>
              <w:rPr>
                <w:rFonts w:ascii="Times New Roman"/>
                <w:sz w:val="18"/>
              </w:rPr>
              <w:t>300,000.00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38"/>
              <w:ind w:left="15" w:right="133"/>
              <w:jc w:val="both"/>
              <w:rPr>
                <w:rFonts w:ascii="宋体" w:hAnsi="宋体" w:cs="宋体" w:eastAsia="宋体" w:hint="default"/>
                <w:sz w:val="18"/>
                <w:szCs w:val="18"/>
              </w:rPr>
            </w:pPr>
            <w:r>
              <w:rPr>
                <w:rFonts w:ascii="宋体" w:hAnsi="宋体" w:cs="宋体" w:eastAsia="宋体" w:hint="default"/>
                <w:sz w:val="18"/>
                <w:szCs w:val="18"/>
              </w:rPr>
              <w:t>中关村技术 创新能力建 设商标资金</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38"/>
              <w:ind w:left="15" w:right="135"/>
              <w:jc w:val="both"/>
              <w:rPr>
                <w:rFonts w:ascii="宋体" w:hAnsi="宋体" w:cs="宋体" w:eastAsia="宋体" w:hint="default"/>
                <w:sz w:val="18"/>
                <w:szCs w:val="18"/>
              </w:rPr>
            </w:pPr>
            <w:r>
              <w:rPr>
                <w:rFonts w:ascii="宋体" w:hAnsi="宋体" w:cs="宋体" w:eastAsia="宋体" w:hint="default"/>
                <w:sz w:val="18"/>
                <w:szCs w:val="18"/>
              </w:rPr>
              <w:t>中国技术交 易所有限公 司</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200,000.00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2"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16" w:lineRule="auto"/>
              <w:ind w:left="15" w:right="135"/>
              <w:jc w:val="both"/>
              <w:rPr>
                <w:rFonts w:ascii="宋体" w:hAnsi="宋体" w:cs="宋体" w:eastAsia="宋体" w:hint="default"/>
                <w:sz w:val="18"/>
                <w:szCs w:val="18"/>
              </w:rPr>
            </w:pPr>
            <w:r>
              <w:rPr>
                <w:rFonts w:ascii="宋体" w:hAnsi="宋体" w:cs="宋体" w:eastAsia="宋体" w:hint="default"/>
                <w:sz w:val="18"/>
                <w:szCs w:val="18"/>
              </w:rPr>
              <w:t>北京市海淀 区社会保险 基金管理中 心</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9"/>
              <w:ind w:left="14" w:right="134"/>
              <w:jc w:val="both"/>
              <w:rPr>
                <w:rFonts w:ascii="宋体" w:hAnsi="宋体" w:cs="宋体" w:eastAsia="宋体" w:hint="default"/>
                <w:sz w:val="18"/>
                <w:szCs w:val="18"/>
              </w:rPr>
            </w:pPr>
            <w:r>
              <w:rPr>
                <w:rFonts w:ascii="宋体" w:hAnsi="宋体" w:cs="宋体" w:eastAsia="宋体" w:hint="default"/>
                <w:sz w:val="18"/>
                <w:szCs w:val="18"/>
              </w:rPr>
              <w:t>因承担国家 为保障某种 公用事业或 社会必要产 品供应或价 格控制职能 而获得的补 助</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5"/>
              <w:jc w:val="right"/>
              <w:rPr>
                <w:rFonts w:ascii="Times New Roman" w:hAnsi="Times New Roman" w:cs="Times New Roman" w:eastAsia="Times New Roman" w:hint="default"/>
                <w:sz w:val="18"/>
                <w:szCs w:val="18"/>
              </w:rPr>
            </w:pPr>
            <w:r>
              <w:rPr>
                <w:rFonts w:ascii="Times New Roman"/>
                <w:sz w:val="18"/>
              </w:rPr>
              <w:t>195,979.34</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r>
        <w:rPr/>
        <w:pict>
          <v:group style="position:absolute;margin-left:270.350006pt;margin-top:186.169998pt;width:52.55pt;height:23.25pt;mso-position-horizontal-relative:page;mso-position-vertical-relative:page;z-index:-1120096" coordorigin="5407,3723" coordsize="1051,465">
            <v:shape style="position:absolute;left:5407;top:3723;width:1051;height:465" coordorigin="5407,3723" coordsize="1051,465" path="m5407,4188l6458,4188,6458,3723,5407,3723,5407,4188xe" filled="true" fillcolor="#ffffff" stroked="false">
              <v:path arrowok="t"/>
              <v:fill type="solid"/>
            </v:shape>
            <w10:wrap type="none"/>
          </v:group>
        </w:pict>
      </w:r>
      <w:r>
        <w:rPr/>
        <w:pict>
          <v:group style="position:absolute;margin-left:270.350006pt;margin-top:252.975006pt;width:52.55pt;height:24.05pt;mso-position-horizontal-relative:page;mso-position-vertical-relative:page;z-index:-1120072" coordorigin="5407,5060" coordsize="1051,481">
            <v:shape style="position:absolute;left:5407;top:5060;width:1051;height:481" coordorigin="5407,5060" coordsize="1051,481" path="m5407,5540l6458,5540,6458,5060,5407,5060,5407,5540xe" filled="true" fillcolor="#ffffff" stroked="false">
              <v:path arrowok="t"/>
              <v:fill type="solid"/>
            </v:shape>
            <w10:wrap type="none"/>
          </v:group>
        </w:pict>
      </w: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66"/>
        <w:gridCol w:w="1051"/>
        <w:gridCol w:w="1067"/>
        <w:gridCol w:w="1066"/>
        <w:gridCol w:w="1067"/>
        <w:gridCol w:w="1066"/>
      </w:tblGrid>
      <w:tr>
        <w:trPr>
          <w:trHeight w:val="2282"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7" w:lineRule="auto"/>
              <w:ind w:left="15" w:right="133"/>
              <w:jc w:val="left"/>
              <w:rPr>
                <w:rFonts w:ascii="宋体" w:hAnsi="宋体" w:cs="宋体" w:eastAsia="宋体" w:hint="default"/>
                <w:sz w:val="18"/>
                <w:szCs w:val="18"/>
              </w:rPr>
            </w:pPr>
            <w:r>
              <w:rPr>
                <w:rFonts w:ascii="宋体" w:hAnsi="宋体" w:cs="宋体" w:eastAsia="宋体" w:hint="default"/>
                <w:sz w:val="18"/>
                <w:szCs w:val="18"/>
              </w:rPr>
              <w:t>外贸稳增长 资金款</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7" w:lineRule="auto"/>
              <w:ind w:left="15" w:right="135"/>
              <w:jc w:val="left"/>
              <w:rPr>
                <w:rFonts w:ascii="宋体" w:hAnsi="宋体" w:cs="宋体" w:eastAsia="宋体" w:hint="default"/>
                <w:sz w:val="18"/>
                <w:szCs w:val="18"/>
              </w:rPr>
            </w:pPr>
            <w:r>
              <w:rPr>
                <w:rFonts w:ascii="宋体" w:hAnsi="宋体" w:cs="宋体" w:eastAsia="宋体" w:hint="default"/>
                <w:sz w:val="18"/>
                <w:szCs w:val="18"/>
              </w:rPr>
              <w:t>北京市商务 委员会</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4" w:right="2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级政策规定 依法取得）</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157,791.00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6"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5" w:right="133"/>
              <w:jc w:val="both"/>
              <w:rPr>
                <w:rFonts w:ascii="宋体" w:hAnsi="宋体" w:cs="宋体" w:eastAsia="宋体" w:hint="default"/>
                <w:sz w:val="18"/>
                <w:szCs w:val="18"/>
              </w:rPr>
            </w:pPr>
            <w:r>
              <w:rPr>
                <w:rFonts w:ascii="宋体" w:hAnsi="宋体" w:cs="宋体" w:eastAsia="宋体" w:hint="default"/>
                <w:sz w:val="18"/>
                <w:szCs w:val="18"/>
              </w:rPr>
              <w:t>工业和软件 信息服务业 平稳发展奖 励资金</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4" w:lineRule="auto"/>
              <w:ind w:left="15" w:right="135"/>
              <w:jc w:val="both"/>
              <w:rPr>
                <w:rFonts w:ascii="宋体" w:hAnsi="宋体" w:cs="宋体" w:eastAsia="宋体" w:hint="default"/>
                <w:sz w:val="18"/>
                <w:szCs w:val="18"/>
              </w:rPr>
            </w:pPr>
            <w:r>
              <w:rPr>
                <w:rFonts w:ascii="宋体" w:hAnsi="宋体" w:cs="宋体" w:eastAsia="宋体" w:hint="default"/>
                <w:sz w:val="18"/>
                <w:szCs w:val="18"/>
              </w:rPr>
              <w:t>中关村科技 园区海淀园 管理委员会</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4" w:right="-44"/>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5"/>
              <w:jc w:val="right"/>
              <w:rPr>
                <w:rFonts w:ascii="Times New Roman" w:hAnsi="Times New Roman" w:cs="Times New Roman" w:eastAsia="Times New Roman" w:hint="default"/>
                <w:sz w:val="18"/>
                <w:szCs w:val="18"/>
              </w:rPr>
            </w:pPr>
            <w:r>
              <w:rPr>
                <w:rFonts w:ascii="Times New Roman"/>
                <w:sz w:val="18"/>
              </w:rPr>
              <w:t>110,000.00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6"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4" w:lineRule="auto"/>
              <w:ind w:left="15" w:right="133"/>
              <w:jc w:val="both"/>
              <w:rPr>
                <w:rFonts w:ascii="宋体" w:hAnsi="宋体" w:cs="宋体" w:eastAsia="宋体" w:hint="default"/>
                <w:sz w:val="18"/>
                <w:szCs w:val="18"/>
              </w:rPr>
            </w:pPr>
            <w:r>
              <w:rPr>
                <w:rFonts w:ascii="宋体" w:hAnsi="宋体" w:cs="宋体" w:eastAsia="宋体" w:hint="default"/>
                <w:sz w:val="18"/>
                <w:szCs w:val="18"/>
              </w:rPr>
              <w:t>知识产权管 理体系贯标 补贴</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4" w:lineRule="auto"/>
              <w:ind w:left="15" w:right="135"/>
              <w:jc w:val="both"/>
              <w:rPr>
                <w:rFonts w:ascii="宋体" w:hAnsi="宋体" w:cs="宋体" w:eastAsia="宋体" w:hint="default"/>
                <w:sz w:val="18"/>
                <w:szCs w:val="18"/>
              </w:rPr>
            </w:pPr>
            <w:r>
              <w:rPr>
                <w:rFonts w:ascii="宋体" w:hAnsi="宋体" w:cs="宋体" w:eastAsia="宋体" w:hint="default"/>
                <w:sz w:val="18"/>
                <w:szCs w:val="18"/>
              </w:rPr>
              <w:t>中关村科技 园区海淀园 管理委员会</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4" w:right="-44"/>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5"/>
              <w:jc w:val="right"/>
              <w:rPr>
                <w:rFonts w:ascii="Times New Roman" w:hAnsi="Times New Roman" w:cs="Times New Roman" w:eastAsia="Times New Roman" w:hint="default"/>
                <w:sz w:val="18"/>
                <w:szCs w:val="18"/>
              </w:rPr>
            </w:pPr>
            <w:r>
              <w:rPr>
                <w:rFonts w:ascii="Times New Roman"/>
                <w:sz w:val="18"/>
              </w:rPr>
              <w:t>52,000.00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5" w:right="133"/>
              <w:jc w:val="both"/>
              <w:rPr>
                <w:rFonts w:ascii="宋体" w:hAnsi="宋体" w:cs="宋体" w:eastAsia="宋体" w:hint="default"/>
                <w:sz w:val="18"/>
                <w:szCs w:val="18"/>
              </w:rPr>
            </w:pPr>
            <w:r>
              <w:rPr>
                <w:rFonts w:ascii="宋体" w:hAnsi="宋体" w:cs="宋体" w:eastAsia="宋体" w:hint="default"/>
                <w:sz w:val="18"/>
                <w:szCs w:val="18"/>
              </w:rPr>
              <w:t>中关村科技 园海淀园管 理委员会信 用报告补贴 款</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38"/>
              <w:ind w:left="15" w:right="135"/>
              <w:jc w:val="both"/>
              <w:rPr>
                <w:rFonts w:ascii="宋体" w:hAnsi="宋体" w:cs="宋体" w:eastAsia="宋体" w:hint="default"/>
                <w:sz w:val="18"/>
                <w:szCs w:val="18"/>
              </w:rPr>
            </w:pPr>
            <w:r>
              <w:rPr>
                <w:rFonts w:ascii="宋体" w:hAnsi="宋体" w:cs="宋体" w:eastAsia="宋体" w:hint="default"/>
                <w:sz w:val="18"/>
                <w:szCs w:val="18"/>
              </w:rPr>
              <w:t>中关村科技 园区海淀园 管理委员会</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6" w:lineRule="auto"/>
              <w:ind w:left="14" w:right="-44"/>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4,800.00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line="240" w:lineRule="auto" w:before="7"/>
        <w:rPr>
          <w:rFonts w:ascii="Times New Roman" w:hAnsi="Times New Roman" w:cs="Times New Roman" w:eastAsia="Times New Roman" w:hint="default"/>
          <w:sz w:val="22"/>
          <w:szCs w:val="22"/>
        </w:rPr>
      </w:pPr>
    </w:p>
    <w:p>
      <w:pPr>
        <w:pStyle w:val="Heading4"/>
        <w:spacing w:line="240" w:lineRule="auto" w:before="35"/>
        <w:ind w:right="1100"/>
        <w:jc w:val="left"/>
        <w:rPr>
          <w:b w:val="0"/>
          <w:bCs w:val="0"/>
        </w:rPr>
      </w:pPr>
      <w:r>
        <w:rPr/>
        <w:pict>
          <v:group style="position:absolute;margin-left:270.350006pt;margin-top:-95.581322pt;width:52.55pt;height:30.8pt;mso-position-horizontal-relative:page;mso-position-vertical-relative:paragraph;z-index:-1120048" coordorigin="5407,-1912" coordsize="1051,616">
            <v:shape style="position:absolute;left:5407;top:-1912;width:1051;height:616" coordorigin="5407,-1912" coordsize="1051,616" path="m5407,-1296l6458,-1296,6458,-1912,5407,-1912,5407,-1296xe" filled="true" fillcolor="#ffffff" stroked="false">
              <v:path arrowok="t"/>
              <v:fill type="solid"/>
            </v:shape>
            <w10:wrap type="none"/>
          </v:group>
        </w:pict>
      </w:r>
      <w:bookmarkStart w:name="45、营业外支出" w:id="294"/>
      <w:bookmarkEnd w:id="294"/>
      <w:r>
        <w:rPr>
          <w:b w:val="0"/>
          <w:bCs w:val="0"/>
        </w:rPr>
      </w:r>
      <w:r>
        <w:rPr>
          <w:rFonts w:ascii="Times New Roman" w:hAnsi="Times New Roman" w:cs="Times New Roman" w:eastAsia="Times New Roman" w:hint="default"/>
        </w:rPr>
        <w:t>45</w:t>
      </w:r>
      <w:r>
        <w:rPr/>
        <w:t>、营业外支出</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721"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5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3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111" w:right="107"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非流动资产报废损失合计：</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12,051.24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134,918.12</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12,051.24</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其中：固定资产报废损失</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12,051.24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134,918.12</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12,051.24</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286,741.26</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2,000.00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286,741.26</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298,792.50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136,918.12</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298,792.50</w:t>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46、所得税费用" w:id="295"/>
      <w:bookmarkEnd w:id="295"/>
      <w:r>
        <w:rPr>
          <w:b w:val="0"/>
          <w:bCs w:val="0"/>
        </w:rPr>
      </w:r>
      <w:r>
        <w:rPr>
          <w:rFonts w:ascii="Times New Roman" w:hAnsi="Times New Roman" w:cs="Times New Roman" w:eastAsia="Times New Roman" w:hint="default"/>
        </w:rPr>
        <w:t>46</w:t>
      </w:r>
      <w:r>
        <w:rPr/>
        <w:t>、所得税费用</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1100"/>
        <w:jc w:val="left"/>
        <w:rPr>
          <w:b w:val="0"/>
          <w:bCs w:val="0"/>
        </w:rPr>
      </w:pPr>
      <w:bookmarkStart w:name="（1）所得税费用表" w:id="296"/>
      <w:bookmarkEnd w:id="296"/>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6,874,566.32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21,203,507.77</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-1,534,066.06</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-1,940,282.67</w:t>
            </w:r>
            <w:r>
              <w:rPr>
                <w:rFonts w:ascii="Times New Roman"/>
                <w:sz w:val="18"/>
              </w:rPr>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5,340,500.26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19,263,225.10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4"/>
        <w:spacing w:line="240" w:lineRule="auto" w:before="35"/>
        <w:ind w:right="1100"/>
        <w:jc w:val="left"/>
        <w:rPr>
          <w:b w:val="0"/>
          <w:bCs w:val="0"/>
        </w:rPr>
      </w:pPr>
      <w:bookmarkStart w:name="（2）会计利润与所得税费用调整过程" w:id="297"/>
      <w:bookmarkEnd w:id="297"/>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1"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98,108,443.60</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1"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14,716,266.54</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-1,516,280.77</w:t>
            </w:r>
            <w:r>
              <w:rPr>
                <w:rFonts w:ascii="Times New Roman"/>
                <w:sz w:val="18"/>
              </w:rPr>
            </w:r>
          </w:p>
        </w:tc>
      </w:tr>
      <w:tr>
        <w:trPr>
          <w:trHeight w:val="391"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1"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-87,242.07</w:t>
            </w:r>
            <w:r>
              <w:rPr>
                <w:rFonts w:ascii="Times New Roman"/>
                <w:sz w:val="18"/>
              </w:rPr>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1"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-209,946.15</w:t>
            </w:r>
            <w:r>
              <w:rPr>
                <w:rFonts w:ascii="Times New Roman"/>
                <w:sz w:val="18"/>
              </w:rPr>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4,193,971.36</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加计扣除费用的影响</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-5,276,190.61</w:t>
            </w:r>
            <w:r>
              <w:rPr>
                <w:rFonts w:ascii="Times New Roman"/>
                <w:sz w:val="18"/>
              </w:rPr>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税率变动对期初递延所得税余额的影响</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8,709.42</w:t>
            </w:r>
          </w:p>
        </w:tc>
      </w:tr>
      <w:tr>
        <w:trPr>
          <w:trHeight w:val="7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9"/>
              <w:jc w:val="left"/>
              <w:rPr>
                <w:rFonts w:ascii="宋体" w:hAnsi="宋体" w:cs="宋体" w:eastAsia="宋体" w:hint="default"/>
                <w:sz w:val="18"/>
                <w:szCs w:val="18"/>
              </w:rPr>
            </w:pPr>
            <w:r>
              <w:rPr>
                <w:rFonts w:ascii="宋体" w:hAnsi="宋体" w:cs="宋体" w:eastAsia="宋体" w:hint="default"/>
                <w:sz w:val="18"/>
                <w:szCs w:val="18"/>
              </w:rPr>
              <w:t>以前年度已确认递延所得税的可抵扣暂时性差异和可抵扣亏 损的影响</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-6,488,787.46</w:t>
            </w:r>
            <w:r>
              <w:rPr>
                <w:rFonts w:ascii="Times New Roman"/>
                <w:sz w:val="18"/>
              </w:rPr>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5,340,500.26</w:t>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47、其他综合收益" w:id="298"/>
      <w:bookmarkEnd w:id="298"/>
      <w:r>
        <w:rPr>
          <w:b w:val="0"/>
          <w:bCs w:val="0"/>
        </w:rPr>
      </w:r>
      <w:r>
        <w:rPr>
          <w:rFonts w:ascii="Times New Roman" w:hAnsi="Times New Roman" w:cs="Times New Roman" w:eastAsia="Times New Roman" w:hint="default"/>
        </w:rPr>
        <w:t>47</w:t>
      </w:r>
      <w:r>
        <w:rPr/>
        <w:t>、其他综合收益</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00"/>
        <w:jc w:val="left"/>
      </w:pPr>
      <w:r>
        <w:rPr/>
        <w:t>详见附注</w:t>
      </w:r>
      <w:r>
        <w:rPr>
          <w:rFonts w:ascii="Times New Roman" w:hAnsi="Times New Roman" w:cs="Times New Roman" w:eastAsia="Times New Roman" w:hint="default"/>
        </w:rPr>
        <w:t>“</w:t>
      </w:r>
      <w:r>
        <w:rPr/>
        <w:t>七、合并财务报表主要项目注释（</w:t>
      </w:r>
      <w:r>
        <w:rPr>
          <w:rFonts w:ascii="Times New Roman" w:hAnsi="Times New Roman" w:cs="Times New Roman" w:eastAsia="Times New Roman" w:hint="default"/>
        </w:rPr>
        <w:t>29</w:t>
      </w:r>
      <w:r>
        <w:rPr/>
        <w:t>）其他综合收益</w:t>
      </w:r>
      <w:r>
        <w:rPr>
          <w:rFonts w:ascii="Times New Roman" w:hAnsi="Times New Roman" w:cs="Times New Roman" w:eastAsia="Times New Roman" w:hint="default"/>
        </w:rPr>
        <w:t>”</w:t>
      </w:r>
      <w:r>
        <w:rPr/>
        <w:t>。</w:t>
      </w:r>
    </w:p>
    <w:p>
      <w:pPr>
        <w:spacing w:line="240" w:lineRule="auto" w:before="6"/>
        <w:rPr>
          <w:rFonts w:ascii="宋体" w:hAnsi="宋体" w:cs="宋体" w:eastAsia="宋体" w:hint="default"/>
          <w:sz w:val="26"/>
          <w:szCs w:val="26"/>
        </w:rPr>
      </w:pPr>
    </w:p>
    <w:p>
      <w:pPr>
        <w:pStyle w:val="Heading4"/>
        <w:spacing w:line="240" w:lineRule="auto"/>
        <w:ind w:right="1100"/>
        <w:jc w:val="left"/>
        <w:rPr>
          <w:b w:val="0"/>
          <w:bCs w:val="0"/>
        </w:rPr>
      </w:pPr>
      <w:bookmarkStart w:name="48、现金流量表项目" w:id="299"/>
      <w:bookmarkEnd w:id="299"/>
      <w:r>
        <w:rPr>
          <w:b w:val="0"/>
          <w:bCs w:val="0"/>
        </w:rPr>
      </w:r>
      <w:r>
        <w:rPr>
          <w:rFonts w:ascii="Times New Roman" w:hAnsi="Times New Roman" w:cs="Times New Roman" w:eastAsia="Times New Roman" w:hint="default"/>
        </w:rPr>
        <w:t>48</w:t>
      </w:r>
      <w:r>
        <w:rPr/>
        <w:t>、现金流量表项目</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1100"/>
        <w:jc w:val="left"/>
        <w:rPr>
          <w:b w:val="0"/>
          <w:bCs w:val="0"/>
        </w:rPr>
      </w:pPr>
      <w:bookmarkStart w:name="（1）收到的其他与经营活动有关的现金" w:id="300"/>
      <w:bookmarkEnd w:id="300"/>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2,462,651.83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2,285,979.49</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8,843,651.50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5,031,587.60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4,154,310.10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4,764,705.52</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专利补偿款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2,003,000.00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2,697,941.38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4,014,853.66</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20,161,554.81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16,097,126.27</w:t>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2）支付的其他与经营活动有关的现金" w:id="301"/>
      <w:bookmarkEnd w:id="301"/>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29,562,794.16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34,161,551.99</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15,575,446.93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14,148,235.89</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20,529,367.36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22,391,297.84</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邮寄费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11,281,077.66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12,622,960.21</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房租及物业费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12,430,386.73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8,501,811.10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鉴证费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894,490.81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1,408,683.96</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6,966,061.15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6,982,429.10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9,223,157.29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6,045,489.21</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5,073,354.24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4,239,201.36</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专利费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4,902,317.31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5,316,473.29</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认证费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335,406.72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1,603,102.06</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诉讼费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408,526.25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1,444,188.95</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3,079,457.56</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8,359,158.57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7,372,341.28</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128,621,002.74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126,237,766.24</w:t>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3）支付的其他与筹资活动有关的现金" w:id="302"/>
      <w:bookmarkEnd w:id="302"/>
      <w:r>
        <w:rPr>
          <w:b w:val="0"/>
          <w:bCs w:val="0"/>
        </w:rPr>
      </w:r>
      <w:r>
        <w:rPr/>
        <w:t>（</w:t>
      </w:r>
      <w:r>
        <w:rPr>
          <w:rFonts w:ascii="Times New Roman" w:hAnsi="Times New Roman" w:cs="Times New Roman" w:eastAsia="Times New Roman" w:hint="default"/>
        </w:rPr>
        <w:t>3</w:t>
      </w:r>
      <w:r>
        <w:rPr/>
        <w:t>）支付的其他与筹资活动有关的现金</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证券登记费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20,481.58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20,348.11</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20,481.58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20,348.11</w:t>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49、现金流量表补充资料" w:id="303"/>
      <w:bookmarkEnd w:id="303"/>
      <w:r>
        <w:rPr>
          <w:b w:val="0"/>
          <w:bCs w:val="0"/>
        </w:rPr>
      </w:r>
      <w:r>
        <w:rPr>
          <w:rFonts w:ascii="Times New Roman" w:hAnsi="Times New Roman" w:cs="Times New Roman" w:eastAsia="Times New Roman" w:hint="default"/>
        </w:rPr>
        <w:t>49</w:t>
      </w:r>
      <w:r>
        <w:rPr/>
        <w:t>、现金流量表补充资料</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1100"/>
        <w:jc w:val="left"/>
        <w:rPr>
          <w:b w:val="0"/>
          <w:bCs w:val="0"/>
        </w:rPr>
      </w:pPr>
      <w:bookmarkStart w:name="（1）现金流量表补充资料" w:id="304"/>
      <w:bookmarkEnd w:id="304"/>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319"/>
        <w:gridCol w:w="3072"/>
        <w:gridCol w:w="3184"/>
      </w:tblGrid>
      <w:tr>
        <w:trPr>
          <w:trHeight w:val="39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6"/>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5"/>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5"/>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92,767,943.34</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134,047,430.18</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6,685,575.48</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13,421,551.80</w:t>
            </w:r>
          </w:p>
        </w:tc>
      </w:tr>
      <w:tr>
        <w:trPr>
          <w:trHeight w:val="7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53" w:firstLine="721"/>
              <w:jc w:val="left"/>
              <w:rPr>
                <w:rFonts w:ascii="宋体" w:hAnsi="宋体" w:cs="宋体" w:eastAsia="宋体" w:hint="default"/>
                <w:sz w:val="18"/>
                <w:szCs w:val="18"/>
              </w:rPr>
            </w:pPr>
            <w:r>
              <w:rPr>
                <w:rFonts w:ascii="宋体" w:hAnsi="宋体" w:cs="宋体" w:eastAsia="宋体" w:hint="default"/>
                <w:sz w:val="18"/>
                <w:szCs w:val="18"/>
              </w:rPr>
              <w:t>固定资产折旧、油气资产折耗、 生产性生物资产折旧</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11,113,541.38</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11,945,315.37</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3,722,644.06</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3,266,021.40</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4,049,185.04</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1,950,330.17</w:t>
            </w:r>
          </w:p>
        </w:tc>
      </w:tr>
      <w:tr>
        <w:trPr>
          <w:trHeight w:val="7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53" w:firstLine="721"/>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-8,574,837.24</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43,693.49</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r>
        <w:rPr/>
        <w:pict>
          <v:group style="position:absolute;margin-left:224.529999pt;margin-top:255.975006pt;width:150.2pt;height:19.55pt;mso-position-horizontal-relative:page;mso-position-vertical-relative:page;z-index:-1120024" coordorigin="4491,5120" coordsize="3004,391">
            <v:shape style="position:absolute;left:4491;top:5120;width:3004;height:391" coordorigin="4491,5120" coordsize="3004,391" path="m4491,5510l7495,5510,7495,5120,4491,5120,4491,5510xe" filled="true" fillcolor="#ffffff" stroked="false">
              <v:path arrowok="t"/>
              <v:fill type="solid"/>
            </v:shape>
            <w10:wrap type="none"/>
          </v:group>
        </w:pict>
      </w:r>
    </w:p>
    <w:tbl>
      <w:tblPr>
        <w:tblW w:w="0" w:type="auto"/>
        <w:jc w:val="left"/>
        <w:tblInd w:w="133" w:type="dxa"/>
        <w:tblLayout w:type="fixed"/>
        <w:tblCellMar>
          <w:top w:w="0" w:type="dxa"/>
          <w:left w:w="0" w:type="dxa"/>
          <w:bottom w:w="0" w:type="dxa"/>
          <w:right w:w="0" w:type="dxa"/>
        </w:tblCellMar>
        <w:tblLook w:val="01E0"/>
      </w:tblPr>
      <w:tblGrid>
        <w:gridCol w:w="3319"/>
        <w:gridCol w:w="3072"/>
        <w:gridCol w:w="3184"/>
      </w:tblGrid>
      <w:tr>
        <w:trPr>
          <w:trHeight w:val="72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12,051.24</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134,918.12</w:t>
            </w:r>
          </w:p>
        </w:tc>
      </w:tr>
      <w:tr>
        <w:trPr>
          <w:trHeight w:val="7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-3,272,637.59</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66"/>
              <w:jc w:val="righ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-685,295.85</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-1,084,164.99</w:t>
            </w:r>
            <w:r>
              <w:rPr>
                <w:rFonts w:ascii="Times New Roman"/>
                <w:sz w:val="18"/>
              </w:rPr>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66"/>
              <w:jc w:val="righ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-24,174,995.00</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-25,055,787.54</w:t>
            </w:r>
            <w:r>
              <w:rPr>
                <w:rFonts w:ascii="Times New Roman"/>
                <w:sz w:val="18"/>
              </w:rPr>
            </w:r>
          </w:p>
        </w:tc>
      </w:tr>
      <w:tr>
        <w:trPr>
          <w:trHeight w:val="7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28"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p>
          <w:p>
            <w:pPr>
              <w:pStyle w:val="TableParagraph"/>
              <w:spacing w:line="240" w:lineRule="auto" w:before="9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-282,570.99</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-972,925.28</w:t>
            </w:r>
            <w:r>
              <w:rPr>
                <w:rFonts w:ascii="Times New Roman"/>
                <w:sz w:val="18"/>
              </w:rPr>
            </w:r>
          </w:p>
        </w:tc>
      </w:tr>
      <w:tr>
        <w:trPr>
          <w:trHeight w:val="72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p>
          <w:p>
            <w:pPr>
              <w:pStyle w:val="TableParagraph"/>
              <w:spacing w:line="240" w:lineRule="auto" w:before="9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-1,251,495.07</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-967,357.38</w:t>
            </w:r>
            <w:r>
              <w:rPr>
                <w:rFonts w:ascii="Times New Roman"/>
                <w:sz w:val="18"/>
              </w:rPr>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111"/>
              <w:jc w:val="right"/>
              <w:rPr>
                <w:rFonts w:ascii="宋体" w:hAnsi="宋体" w:cs="宋体" w:eastAsia="宋体" w:hint="default"/>
                <w:sz w:val="18"/>
                <w:szCs w:val="18"/>
              </w:rPr>
            </w:pPr>
            <w:r>
              <w:rPr>
                <w:rFonts w:ascii="宋体" w:hAnsi="宋体" w:cs="宋体" w:eastAsia="宋体" w:hint="default"/>
                <w:spacing w:val="-3"/>
                <w:sz w:val="18"/>
                <w:szCs w:val="18"/>
              </w:rPr>
              <w:t>存货的减少（增加以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tabs>
                <w:tab w:pos="1982" w:val="left" w:leader="none"/>
              </w:tabs>
              <w:spacing w:line="240" w:lineRule="auto" w:before="59"/>
              <w:ind w:left="-136" w:right="2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92,772,075.61</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-47,662,588.66</w:t>
            </w:r>
            <w:r>
              <w:rPr>
                <w:rFonts w:ascii="Times New Roman"/>
                <w:sz w:val="18"/>
              </w:rPr>
            </w:r>
          </w:p>
        </w:tc>
      </w:tr>
      <w:tr>
        <w:trPr>
          <w:trHeight w:val="7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28"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p>
          <w:p>
            <w:pPr>
              <w:pStyle w:val="TableParagraph"/>
              <w:spacing w:line="240" w:lineRule="auto" w:before="9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-43,871,811.07</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-33,156,033.45</w:t>
            </w:r>
            <w:r>
              <w:rPr>
                <w:rFonts w:ascii="Times New Roman"/>
                <w:sz w:val="18"/>
              </w:rPr>
            </w:r>
          </w:p>
        </w:tc>
      </w:tr>
      <w:tr>
        <w:trPr>
          <w:trHeight w:val="72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p>
          <w:p>
            <w:pPr>
              <w:pStyle w:val="TableParagraph"/>
              <w:spacing w:line="240" w:lineRule="auto" w:before="9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-9,852,513.61</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-37,872,630.73</w:t>
            </w:r>
            <w:r>
              <w:rPr>
                <w:rFonts w:ascii="Times New Roman"/>
                <w:sz w:val="18"/>
              </w:rPr>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72" w:type="dxa"/>
            <w:tcBorders>
              <w:top w:val="single" w:sz="6" w:space="0" w:color="000000"/>
              <w:left w:val="single" w:sz="12" w:space="0" w:color="000000"/>
              <w:bottom w:val="single" w:sz="6" w:space="0" w:color="000000"/>
              <w:right w:val="single" w:sz="6" w:space="0" w:color="000000"/>
            </w:tcBorders>
          </w:tcPr>
          <w:p>
            <w:pP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-9,883,339.14</w:t>
            </w:r>
            <w:r>
              <w:rPr>
                <w:rFonts w:ascii="Times New Roman"/>
                <w:sz w:val="18"/>
              </w:rPr>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33"/>
              <w:jc w:val="righ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119,156,859.73</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8,154,433.36</w:t>
            </w:r>
          </w:p>
        </w:tc>
      </w:tr>
      <w:tr>
        <w:trPr>
          <w:trHeight w:val="158" w:hRule="exact"/>
        </w:trPr>
        <w:tc>
          <w:tcPr>
            <w:tcW w:w="3319" w:type="dxa"/>
            <w:vMerge w:val="restart"/>
            <w:tcBorders>
              <w:top w:val="single" w:sz="6" w:space="0" w:color="000000"/>
              <w:left w:val="single" w:sz="6" w:space="0" w:color="000000"/>
              <w:right w:val="single" w:sz="6" w:space="0" w:color="000000"/>
            </w:tcBorders>
            <w:shd w:val="clear" w:color="auto" w:fill="D2D2D2"/>
          </w:tcPr>
          <w:p>
            <w:pPr>
              <w:pStyle w:val="TableParagraph"/>
              <w:spacing w:line="290" w:lineRule="auto" w:before="44"/>
              <w:ind w:left="7" w:right="14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72" w:type="dxa"/>
            <w:tcBorders>
              <w:top w:val="single" w:sz="6" w:space="0" w:color="000000"/>
              <w:left w:val="single" w:sz="6" w:space="0" w:color="000000"/>
              <w:bottom w:val="nil" w:sz="6" w:space="0" w:color="auto"/>
              <w:right w:val="single" w:sz="6" w:space="0" w:color="000000"/>
            </w:tcBorders>
            <w:shd w:val="clear" w:color="auto" w:fill="D2D2D2"/>
          </w:tcPr>
          <w:p>
            <w:pPr/>
          </w:p>
        </w:tc>
        <w:tc>
          <w:tcPr>
            <w:tcW w:w="3184"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0" w:hRule="exact"/>
        </w:trPr>
        <w:tc>
          <w:tcPr>
            <w:tcW w:w="3319" w:type="dxa"/>
            <w:vMerge/>
            <w:tcBorders>
              <w:left w:val="single" w:sz="6" w:space="0" w:color="000000"/>
              <w:right w:val="single" w:sz="6" w:space="0" w:color="000000"/>
            </w:tcBorders>
            <w:shd w:val="clear" w:color="auto" w:fill="D2D2D2"/>
          </w:tcPr>
          <w:p>
            <w:pPr/>
          </w:p>
        </w:tc>
        <w:tc>
          <w:tcPr>
            <w:tcW w:w="307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5"/>
              <w:jc w:val="center"/>
              <w:rPr>
                <w:rFonts w:ascii="Times New Roman" w:hAnsi="Times New Roman" w:cs="Times New Roman" w:eastAsia="Times New Roman" w:hint="default"/>
                <w:sz w:val="18"/>
                <w:szCs w:val="18"/>
              </w:rPr>
            </w:pPr>
            <w:r>
              <w:rPr>
                <w:rFonts w:ascii="Times New Roman"/>
                <w:sz w:val="18"/>
              </w:rPr>
              <w:t>--</w:t>
            </w:r>
          </w:p>
        </w:tc>
        <w:tc>
          <w:tcPr>
            <w:tcW w:w="318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r>
        <w:trPr>
          <w:trHeight w:val="158" w:hRule="exact"/>
        </w:trPr>
        <w:tc>
          <w:tcPr>
            <w:tcW w:w="3319" w:type="dxa"/>
            <w:vMerge/>
            <w:tcBorders>
              <w:left w:val="single" w:sz="6" w:space="0" w:color="000000"/>
              <w:bottom w:val="single" w:sz="6" w:space="0" w:color="000000"/>
              <w:right w:val="single" w:sz="6" w:space="0" w:color="000000"/>
            </w:tcBorders>
            <w:shd w:val="clear" w:color="auto" w:fill="D2D2D2"/>
          </w:tcPr>
          <w:p>
            <w:pPr/>
          </w:p>
        </w:tc>
        <w:tc>
          <w:tcPr>
            <w:tcW w:w="3072" w:type="dxa"/>
            <w:tcBorders>
              <w:top w:val="nil" w:sz="6" w:space="0" w:color="auto"/>
              <w:left w:val="single" w:sz="6" w:space="0" w:color="000000"/>
              <w:bottom w:val="single" w:sz="6" w:space="0" w:color="000000"/>
              <w:right w:val="single" w:sz="6" w:space="0" w:color="000000"/>
            </w:tcBorders>
            <w:shd w:val="clear" w:color="auto" w:fill="D2D2D2"/>
          </w:tcPr>
          <w:p>
            <w:pPr/>
          </w:p>
        </w:tc>
        <w:tc>
          <w:tcPr>
            <w:tcW w:w="3184"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5"/>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493,173,874.73</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651,901,404.12</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651,901,404.12</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577,667,210.39</w:t>
            </w: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w w:val="95"/>
                <w:sz w:val="18"/>
              </w:rPr>
              <w:t>-158,727,529.39</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74,234,193.73</w:t>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2）本期支付的取得子公司的现金净额" w:id="305"/>
      <w:bookmarkEnd w:id="305"/>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4986"/>
        <w:gridCol w:w="4588"/>
      </w:tblGrid>
      <w:tr>
        <w:trPr>
          <w:trHeight w:val="406" w:hRule="exact"/>
        </w:trPr>
        <w:tc>
          <w:tcPr>
            <w:tcW w:w="498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45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5" w:hRule="exact"/>
        </w:trPr>
        <w:tc>
          <w:tcPr>
            <w:tcW w:w="49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49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center"/>
              <w:rPr>
                <w:rFonts w:ascii="Times New Roman" w:hAnsi="Times New Roman" w:cs="Times New Roman" w:eastAsia="Times New Roman" w:hint="default"/>
                <w:sz w:val="18"/>
                <w:szCs w:val="18"/>
              </w:rPr>
            </w:pPr>
            <w:r>
              <w:rPr>
                <w:rFonts w:ascii="Times New Roman"/>
                <w:sz w:val="18"/>
              </w:rPr>
              <w:t>--</w:t>
            </w:r>
          </w:p>
        </w:tc>
      </w:tr>
      <w:tr>
        <w:trPr>
          <w:trHeight w:val="406" w:hRule="exact"/>
        </w:trPr>
        <w:tc>
          <w:tcPr>
            <w:tcW w:w="49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78,661,410.00</w:t>
            </w:r>
          </w:p>
        </w:tc>
      </w:tr>
      <w:tr>
        <w:trPr>
          <w:trHeight w:val="390" w:hRule="exact"/>
        </w:trPr>
        <w:tc>
          <w:tcPr>
            <w:tcW w:w="49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7" w:right="0"/>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4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北京宏思电子技术有限责任公司</w:t>
            </w:r>
          </w:p>
        </w:tc>
        <w:tc>
          <w:tcPr>
            <w:tcW w:w="4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78,661,410.00</w:t>
            </w:r>
          </w:p>
        </w:tc>
      </w:tr>
      <w:tr>
        <w:trPr>
          <w:trHeight w:val="405" w:hRule="exact"/>
        </w:trPr>
        <w:tc>
          <w:tcPr>
            <w:tcW w:w="49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78,661,410.00</w:t>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3）现金和现金等价物的构成" w:id="306"/>
      <w:bookmarkEnd w:id="306"/>
      <w:r>
        <w:rPr>
          <w:b w:val="0"/>
          <w:bCs w:val="0"/>
        </w:rPr>
      </w: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after="0" w:line="240" w:lineRule="auto"/>
        <w:jc w:val="righ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33" w:type="dxa"/>
        <w:tblLayout w:type="fixed"/>
        <w:tblCellMar>
          <w:top w:w="0" w:type="dxa"/>
          <w:left w:w="0" w:type="dxa"/>
          <w:bottom w:w="0" w:type="dxa"/>
          <w:right w:w="0" w:type="dxa"/>
        </w:tblCellMar>
        <w:tblLook w:val="01E0"/>
      </w:tblPr>
      <w:tblGrid>
        <w:gridCol w:w="3319"/>
        <w:gridCol w:w="3072"/>
        <w:gridCol w:w="3184"/>
      </w:tblGrid>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493,173,874.73</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651,901,404.12</w:t>
            </w: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85,303.73</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115,931.59</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493,088,571.00</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651,785,472.53</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493,173,874.73</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651,901,404.12</w:t>
            </w:r>
          </w:p>
        </w:tc>
      </w:tr>
      <w:tr>
        <w:trPr>
          <w:trHeight w:val="7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54"/>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9,831,893.51</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10,637,972.14</w:t>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50、所有权或使用权受到限制的资产" w:id="307"/>
      <w:bookmarkEnd w:id="307"/>
      <w:r>
        <w:rPr>
          <w:b w:val="0"/>
          <w:bCs w:val="0"/>
        </w:rPr>
      </w:r>
      <w:r>
        <w:rPr>
          <w:rFonts w:ascii="Times New Roman" w:hAnsi="Times New Roman" w:cs="Times New Roman" w:eastAsia="Times New Roman" w:hint="default"/>
        </w:rPr>
        <w:t>50</w:t>
      </w:r>
      <w:r>
        <w:rPr/>
        <w:t>、所有权或使用权受到限制的资产</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327"/>
        <w:gridCol w:w="3064"/>
        <w:gridCol w:w="3184"/>
      </w:tblGrid>
      <w:tr>
        <w:trPr>
          <w:trHeight w:val="390" w:hRule="exact"/>
        </w:trPr>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76"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5"/>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6" w:hRule="exact"/>
        </w:trPr>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9,831,893.51</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保函保证金</w:t>
            </w:r>
          </w:p>
        </w:tc>
      </w:tr>
      <w:tr>
        <w:trPr>
          <w:trHeight w:val="405" w:hRule="exact"/>
        </w:trPr>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4"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02"/>
              <w:ind w:right="22"/>
              <w:jc w:val="right"/>
              <w:rPr>
                <w:rFonts w:ascii="Times New Roman" w:hAnsi="Times New Roman" w:cs="Times New Roman" w:eastAsia="Times New Roman" w:hint="default"/>
                <w:sz w:val="18"/>
                <w:szCs w:val="18"/>
              </w:rPr>
            </w:pPr>
            <w:r>
              <w:rPr>
                <w:rFonts w:ascii="Times New Roman"/>
                <w:sz w:val="18"/>
              </w:rPr>
              <w:t>9,831,893.51</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51、外币货币性项目" w:id="308"/>
      <w:bookmarkEnd w:id="308"/>
      <w:r>
        <w:rPr>
          <w:b w:val="0"/>
          <w:bCs w:val="0"/>
        </w:rPr>
      </w:r>
      <w:r>
        <w:rPr>
          <w:rFonts w:ascii="Times New Roman" w:hAnsi="Times New Roman" w:cs="Times New Roman" w:eastAsia="Times New Roman" w:hint="default"/>
        </w:rPr>
        <w:t>51</w:t>
      </w:r>
      <w:r>
        <w:rPr/>
        <w:t>、外币货币性项目</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1100"/>
        <w:jc w:val="left"/>
        <w:rPr>
          <w:b w:val="0"/>
          <w:bCs w:val="0"/>
        </w:rPr>
      </w:pPr>
      <w:bookmarkStart w:name="（1）外币货币性项目" w:id="309"/>
      <w:bookmarkEnd w:id="309"/>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493"/>
        <w:gridCol w:w="2291"/>
        <w:gridCol w:w="2403"/>
        <w:gridCol w:w="2388"/>
      </w:tblGrid>
      <w:tr>
        <w:trPr>
          <w:trHeight w:val="406"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22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9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5"/>
              <w:jc w:val="center"/>
              <w:rPr>
                <w:rFonts w:ascii="Times New Roman" w:hAnsi="Times New Roman" w:cs="Times New Roman" w:eastAsia="Times New Roman" w:hint="default"/>
                <w:sz w:val="18"/>
                <w:szCs w:val="18"/>
              </w:rPr>
            </w:pPr>
            <w:r>
              <w:rPr>
                <w:rFonts w:ascii="Times New Roman"/>
                <w:sz w:val="18"/>
              </w:rPr>
              <w:t>--</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5" w:right="0"/>
              <w:jc w:val="center"/>
              <w:rPr>
                <w:rFonts w:ascii="Times New Roman" w:hAnsi="Times New Roman" w:cs="Times New Roman" w:eastAsia="Times New Roman" w:hint="default"/>
                <w:sz w:val="18"/>
                <w:szCs w:val="18"/>
              </w:rPr>
            </w:pPr>
            <w:r>
              <w:rPr>
                <w:rFonts w:ascii="Times New Roman"/>
                <w:sz w:val="18"/>
              </w:rPr>
              <w:t>--</w:t>
            </w:r>
          </w:p>
        </w:tc>
        <w:tc>
          <w:tcPr>
            <w:tcW w:w="2388" w:type="dxa"/>
            <w:tcBorders>
              <w:top w:val="single" w:sz="6" w:space="0" w:color="000000"/>
              <w:left w:val="single" w:sz="18" w:space="0" w:color="D2D2D2"/>
              <w:bottom w:val="single" w:sz="6" w:space="0" w:color="000000"/>
              <w:right w:val="single" w:sz="6" w:space="0" w:color="000000"/>
            </w:tcBorders>
          </w:tcPr>
          <w:p>
            <w:pPr/>
          </w:p>
        </w:tc>
      </w:tr>
      <w:tr>
        <w:trPr>
          <w:trHeight w:val="391"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11,102,385.99</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6.9762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77,452,465.14</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355,498.28</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7.8155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2,778,396.81</w:t>
            </w: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123,388.26</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0.8958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110,531.20</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5"/>
              <w:jc w:val="center"/>
              <w:rPr>
                <w:rFonts w:ascii="Times New Roman" w:hAnsi="Times New Roman" w:cs="Times New Roman" w:eastAsia="Times New Roman" w:hint="default"/>
                <w:sz w:val="18"/>
                <w:szCs w:val="18"/>
              </w:rPr>
            </w:pPr>
            <w:r>
              <w:rPr>
                <w:rFonts w:ascii="Times New Roman"/>
                <w:sz w:val="18"/>
              </w:rPr>
              <w:t>--</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5" w:right="0"/>
              <w:jc w:val="center"/>
              <w:rPr>
                <w:rFonts w:ascii="Times New Roman" w:hAnsi="Times New Roman" w:cs="Times New Roman" w:eastAsia="Times New Roman" w:hint="default"/>
                <w:sz w:val="18"/>
                <w:szCs w:val="18"/>
              </w:rPr>
            </w:pPr>
            <w:r>
              <w:rPr>
                <w:rFonts w:ascii="Times New Roman"/>
                <w:sz w:val="18"/>
              </w:rPr>
              <w:t>--</w:t>
            </w:r>
          </w:p>
        </w:tc>
        <w:tc>
          <w:tcPr>
            <w:tcW w:w="2388" w:type="dxa"/>
            <w:tcBorders>
              <w:top w:val="single" w:sz="6" w:space="0" w:color="000000"/>
              <w:left w:val="single" w:sz="18" w:space="0" w:color="D2D2D2"/>
              <w:bottom w:val="single" w:sz="6" w:space="0" w:color="000000"/>
              <w:right w:val="single" w:sz="6" w:space="0" w:color="000000"/>
            </w:tcBorders>
          </w:tcPr>
          <w:p>
            <w:pPr/>
          </w:p>
        </w:tc>
      </w:tr>
      <w:tr>
        <w:trPr>
          <w:trHeight w:val="391"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7,330,316.28</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6.9762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51,137,752.43</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11,083.87</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7.8155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86,625.99</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1" w:type="dxa"/>
            <w:tcBorders>
              <w:top w:val="single" w:sz="6" w:space="0" w:color="000000"/>
              <w:left w:val="single" w:sz="12" w:space="0" w:color="D2D2D2"/>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5"/>
              <w:jc w:val="center"/>
              <w:rPr>
                <w:rFonts w:ascii="Times New Roman" w:hAnsi="Times New Roman" w:cs="Times New Roman" w:eastAsia="Times New Roman" w:hint="default"/>
                <w:sz w:val="18"/>
                <w:szCs w:val="18"/>
              </w:rPr>
            </w:pPr>
            <w:r>
              <w:rPr>
                <w:rFonts w:ascii="Times New Roman"/>
                <w:sz w:val="18"/>
              </w:rPr>
              <w:t>--</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5" w:right="0"/>
              <w:jc w:val="center"/>
              <w:rPr>
                <w:rFonts w:ascii="Times New Roman" w:hAnsi="Times New Roman" w:cs="Times New Roman" w:eastAsia="Times New Roman" w:hint="default"/>
                <w:sz w:val="18"/>
                <w:szCs w:val="18"/>
              </w:rPr>
            </w:pPr>
            <w:r>
              <w:rPr>
                <w:rFonts w:ascii="Times New Roman"/>
                <w:sz w:val="18"/>
              </w:rPr>
              <w:t>--</w:t>
            </w:r>
          </w:p>
        </w:tc>
        <w:tc>
          <w:tcPr>
            <w:tcW w:w="2388" w:type="dxa"/>
            <w:tcBorders>
              <w:top w:val="single" w:sz="6" w:space="0" w:color="000000"/>
              <w:left w:val="single" w:sz="18" w:space="0" w:color="D2D2D2"/>
              <w:bottom w:val="single" w:sz="6" w:space="0" w:color="000000"/>
              <w:right w:val="single" w:sz="6" w:space="0" w:color="000000"/>
            </w:tcBorders>
          </w:tcPr>
          <w:p>
            <w:pPr/>
          </w:p>
        </w:tc>
      </w:tr>
      <w:tr>
        <w:trPr>
          <w:trHeight w:val="390"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1" w:type="dxa"/>
            <w:tcBorders>
              <w:top w:val="single" w:sz="6" w:space="0" w:color="000000"/>
              <w:left w:val="single" w:sz="12" w:space="0" w:color="D2D2D2"/>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1" w:type="dxa"/>
            <w:tcBorders>
              <w:top w:val="single" w:sz="6" w:space="0" w:color="000000"/>
              <w:left w:val="single" w:sz="12" w:space="0" w:color="D2D2D2"/>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1" w:type="dxa"/>
            <w:tcBorders>
              <w:top w:val="single" w:sz="6" w:space="0" w:color="000000"/>
              <w:left w:val="single" w:sz="12" w:space="0" w:color="D2D2D2"/>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1"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18,773.25</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6.9762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130,965.95</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493"/>
        <w:gridCol w:w="2298"/>
        <w:gridCol w:w="2403"/>
        <w:gridCol w:w="2388"/>
      </w:tblGrid>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7,901.45</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6.9762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55,122.10</w:t>
            </w:r>
          </w:p>
        </w:tc>
      </w:tr>
    </w:tbl>
    <w:p>
      <w:pPr>
        <w:spacing w:line="240" w:lineRule="auto" w:before="11"/>
        <w:rPr>
          <w:rFonts w:ascii="宋体" w:hAnsi="宋体" w:cs="宋体" w:eastAsia="宋体" w:hint="default"/>
          <w:sz w:val="19"/>
          <w:szCs w:val="19"/>
        </w:rPr>
      </w:pPr>
    </w:p>
    <w:p>
      <w:pPr>
        <w:pStyle w:val="Heading4"/>
        <w:spacing w:line="247" w:lineRule="auto" w:before="35"/>
        <w:ind w:right="1100"/>
        <w:jc w:val="left"/>
        <w:rPr>
          <w:b w:val="0"/>
          <w:bCs w:val="0"/>
        </w:rPr>
      </w:pPr>
      <w:bookmarkStart w:name="（2）境外经营实体说明，包括对于重要的境外经营实体，应披露其境外主要经营地、记账" w:id="310"/>
      <w:bookmarkEnd w:id="310"/>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53"/>
        </w:rPr>
        <w:t> </w:t>
      </w:r>
      <w:r>
        <w:rPr>
          <w:spacing w:val="-53"/>
        </w:rPr>
      </w:r>
      <w:r>
        <w:rPr/>
        <w:t>依据，记账本位币发生变化的还应披露原因。</w:t>
      </w:r>
      <w:r>
        <w:rPr>
          <w:b w:val="0"/>
          <w:bCs w:val="0"/>
        </w:rPr>
      </w:r>
    </w:p>
    <w:p>
      <w:pPr>
        <w:spacing w:line="240" w:lineRule="auto" w:before="4"/>
        <w:rPr>
          <w:rFonts w:ascii="宋体" w:hAnsi="宋体" w:cs="宋体" w:eastAsia="宋体" w:hint="default"/>
          <w:b/>
          <w:bCs/>
          <w:sz w:val="28"/>
          <w:szCs w:val="28"/>
        </w:rPr>
      </w:pPr>
    </w:p>
    <w:p>
      <w:pPr>
        <w:pStyle w:val="BodyText"/>
        <w:spacing w:line="240" w:lineRule="auto"/>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391" w:lineRule="auto" w:before="111"/>
        <w:ind w:left="501" w:right="3521"/>
        <w:jc w:val="left"/>
      </w:pPr>
      <w:r>
        <w:rPr/>
        <w:t>本公司全资子公司</w:t>
      </w:r>
      <w:r>
        <w:rPr>
          <w:rFonts w:ascii="Times New Roman" w:hAnsi="Times New Roman" w:cs="Times New Roman" w:eastAsia="Times New Roman" w:hint="default"/>
        </w:rPr>
        <w:t>FEITIAN technologies</w:t>
      </w:r>
      <w:r>
        <w:rPr>
          <w:rFonts w:ascii="Times New Roman" w:hAnsi="Times New Roman" w:cs="Times New Roman" w:eastAsia="Times New Roman" w:hint="default"/>
          <w:spacing w:val="-17"/>
        </w:rPr>
        <w:t> </w:t>
      </w:r>
      <w:r>
        <w:rPr>
          <w:rFonts w:ascii="Times New Roman" w:hAnsi="Times New Roman" w:cs="Times New Roman" w:eastAsia="Times New Roman" w:hint="default"/>
        </w:rPr>
        <w:t>US,Inc</w:t>
      </w:r>
      <w:r>
        <w:rPr/>
        <w:t>主要经营地为美国，记账本位币为美元。</w:t>
      </w:r>
      <w:r>
        <w:rPr>
          <w:w w:val="99"/>
        </w:rPr>
        <w:t> </w:t>
      </w:r>
      <w:r>
        <w:rPr/>
        <w:t>本公司全资子公司飞天香港有限公司主要经营地为香港，记账本位币为美元。</w:t>
      </w:r>
    </w:p>
    <w:p>
      <w:pPr>
        <w:spacing w:line="240" w:lineRule="auto" w:before="13"/>
        <w:rPr>
          <w:rFonts w:ascii="宋体" w:hAnsi="宋体" w:cs="宋体" w:eastAsia="宋体" w:hint="default"/>
          <w:sz w:val="19"/>
          <w:szCs w:val="19"/>
        </w:rPr>
      </w:pPr>
    </w:p>
    <w:p>
      <w:pPr>
        <w:pStyle w:val="Heading4"/>
        <w:spacing w:line="240" w:lineRule="auto"/>
        <w:ind w:right="1100"/>
        <w:jc w:val="left"/>
        <w:rPr>
          <w:b w:val="0"/>
          <w:bCs w:val="0"/>
        </w:rPr>
      </w:pPr>
      <w:bookmarkStart w:name="52、政府补助" w:id="311"/>
      <w:bookmarkEnd w:id="311"/>
      <w:r>
        <w:rPr>
          <w:b w:val="0"/>
          <w:bCs w:val="0"/>
        </w:rPr>
      </w:r>
      <w:r>
        <w:rPr>
          <w:rFonts w:ascii="Times New Roman" w:hAnsi="Times New Roman" w:cs="Times New Roman" w:eastAsia="Times New Roman" w:hint="default"/>
        </w:rPr>
        <w:t>52</w:t>
      </w:r>
      <w:r>
        <w:rPr/>
        <w:t>、政府补助</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1100"/>
        <w:jc w:val="left"/>
        <w:rPr>
          <w:b w:val="0"/>
          <w:bCs w:val="0"/>
        </w:rPr>
      </w:pPr>
      <w:bookmarkStart w:name="（1）政府补助基本情况" w:id="312"/>
      <w:bookmarkEnd w:id="312"/>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9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软件增值税即征即退</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16,391,630.44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16,391,630.44</w:t>
            </w:r>
          </w:p>
        </w:tc>
      </w:tr>
      <w:tr>
        <w:trPr>
          <w:trHeight w:val="72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96"/>
              <w:jc w:val="left"/>
              <w:rPr>
                <w:rFonts w:ascii="宋体" w:hAnsi="宋体" w:cs="宋体" w:eastAsia="宋体" w:hint="default"/>
                <w:sz w:val="18"/>
                <w:szCs w:val="18"/>
              </w:rPr>
            </w:pPr>
            <w:r>
              <w:rPr>
                <w:rFonts w:ascii="宋体" w:hAnsi="宋体" w:cs="宋体" w:eastAsia="宋体" w:hint="default"/>
                <w:sz w:val="18"/>
                <w:szCs w:val="18"/>
              </w:rPr>
              <w:t>智能网络身份认证系统工程 实验室项目补助</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6,660,000.00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1,332,000.00</w:t>
            </w:r>
          </w:p>
        </w:tc>
      </w:tr>
      <w:tr>
        <w:trPr>
          <w:trHeight w:val="7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国家发改委</w:t>
            </w:r>
            <w:r>
              <w:rPr>
                <w:rFonts w:ascii="宋体" w:hAnsi="宋体" w:cs="宋体" w:eastAsia="宋体" w:hint="default"/>
                <w:spacing w:val="-45"/>
                <w:sz w:val="18"/>
                <w:szCs w:val="18"/>
              </w:rPr>
              <w:t> </w:t>
            </w:r>
            <w:r>
              <w:rPr>
                <w:rFonts w:ascii="Times New Roman" w:hAnsi="Times New Roman" w:cs="Times New Roman" w:eastAsia="Times New Roman" w:hint="default"/>
                <w:spacing w:val="-6"/>
                <w:w w:val="99"/>
                <w:sz w:val="18"/>
                <w:szCs w:val="18"/>
              </w:rPr>
              <w:t>SM</w:t>
            </w:r>
            <w:r>
              <w:rPr>
                <w:rFonts w:ascii="Times New Roman" w:hAnsi="Times New Roman" w:cs="Times New Roman" w:eastAsia="Times New Roman" w:hint="default"/>
                <w:spacing w:val="-26"/>
                <w:w w:val="99"/>
                <w:sz w:val="18"/>
                <w:szCs w:val="18"/>
              </w:rPr>
              <w:t> </w:t>
            </w:r>
            <w:r>
              <w:rPr>
                <w:rFonts w:ascii="Times New Roman" w:hAnsi="Times New Roman" w:cs="Times New Roman" w:eastAsia="Times New Roman" w:hint="default"/>
                <w:spacing w:val="-22"/>
                <w:w w:val="99"/>
                <w:sz w:val="18"/>
                <w:szCs w:val="18"/>
              </w:rPr>
              <w:t>2</w:t>
            </w:r>
            <w:r>
              <w:rPr>
                <w:rFonts w:ascii="宋体" w:hAnsi="宋体" w:cs="宋体" w:eastAsia="宋体" w:hint="default"/>
                <w:spacing w:val="-22"/>
                <w:w w:val="99"/>
                <w:sz w:val="18"/>
                <w:szCs w:val="18"/>
              </w:rPr>
              <w:t>、</w:t>
            </w:r>
            <w:r>
              <w:rPr>
                <w:rFonts w:ascii="Times New Roman" w:hAnsi="Times New Roman" w:cs="Times New Roman" w:eastAsia="Times New Roman" w:hint="default"/>
                <w:spacing w:val="-22"/>
                <w:w w:val="99"/>
                <w:sz w:val="18"/>
                <w:szCs w:val="18"/>
              </w:rPr>
              <w:t>SM</w:t>
            </w:r>
            <w:r>
              <w:rPr>
                <w:rFonts w:ascii="Times New Roman" w:hAnsi="Times New Roman" w:cs="Times New Roman" w:eastAsia="Times New Roman" w:hint="default"/>
                <w:spacing w:val="-26"/>
                <w:w w:val="99"/>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专项基 金补贴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6,589,612.79</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1,483,851.84</w:t>
            </w:r>
          </w:p>
        </w:tc>
      </w:tr>
      <w:tr>
        <w:trPr>
          <w:trHeight w:val="72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60"/>
              <w:ind w:left="15" w:right="133"/>
              <w:jc w:val="left"/>
              <w:rPr>
                <w:rFonts w:ascii="宋体" w:hAnsi="宋体" w:cs="宋体" w:eastAsia="宋体" w:hint="default"/>
                <w:sz w:val="18"/>
                <w:szCs w:val="18"/>
              </w:rPr>
            </w:pPr>
            <w:r>
              <w:rPr>
                <w:rFonts w:ascii="宋体" w:hAnsi="宋体" w:cs="宋体" w:eastAsia="宋体" w:hint="default"/>
                <w:sz w:val="18"/>
                <w:szCs w:val="18"/>
              </w:rPr>
              <w:t>双界面多用途安全</w:t>
            </w:r>
            <w:r>
              <w:rPr>
                <w:rFonts w:ascii="宋体" w:hAnsi="宋体" w:cs="宋体" w:eastAsia="宋体" w:hint="default"/>
                <w:spacing w:val="-43"/>
                <w:sz w:val="18"/>
                <w:szCs w:val="18"/>
              </w:rPr>
              <w:t> </w:t>
            </w:r>
            <w:r>
              <w:rPr>
                <w:rFonts w:ascii="Times New Roman" w:hAnsi="Times New Roman" w:cs="Times New Roman" w:eastAsia="Times New Roman" w:hint="default"/>
                <w:spacing w:val="2"/>
                <w:sz w:val="18"/>
                <w:szCs w:val="18"/>
              </w:rPr>
              <w:t>POS</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机项 目</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4,500,000.00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686,366.64</w:t>
            </w:r>
          </w:p>
        </w:tc>
      </w:tr>
      <w:tr>
        <w:trPr>
          <w:trHeight w:val="7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96"/>
              <w:jc w:val="left"/>
              <w:rPr>
                <w:rFonts w:ascii="宋体" w:hAnsi="宋体" w:cs="宋体" w:eastAsia="宋体" w:hint="default"/>
                <w:sz w:val="18"/>
                <w:szCs w:val="18"/>
              </w:rPr>
            </w:pPr>
            <w:r>
              <w:rPr>
                <w:rFonts w:ascii="宋体" w:hAnsi="宋体" w:cs="宋体" w:eastAsia="宋体" w:hint="default"/>
                <w:sz w:val="18"/>
                <w:szCs w:val="18"/>
              </w:rPr>
              <w:t>支持北京市外贸企业提升国 际化经营能力项目资金</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3,897,987.00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3,897,987.00</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创新能力建设专项资金</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933,000.00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933,000.00</w:t>
            </w:r>
          </w:p>
        </w:tc>
      </w:tr>
      <w:tr>
        <w:trPr>
          <w:trHeight w:val="72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96"/>
              <w:jc w:val="left"/>
              <w:rPr>
                <w:rFonts w:ascii="宋体" w:hAnsi="宋体" w:cs="宋体" w:eastAsia="宋体" w:hint="default"/>
                <w:sz w:val="18"/>
                <w:szCs w:val="18"/>
              </w:rPr>
            </w:pPr>
            <w:r>
              <w:rPr>
                <w:rFonts w:ascii="宋体" w:hAnsi="宋体" w:cs="宋体" w:eastAsia="宋体" w:hint="default"/>
                <w:sz w:val="18"/>
                <w:szCs w:val="18"/>
              </w:rPr>
              <w:t>中关村知识产权领军企业培 育专项经费</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886,600.00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886,600.00</w:t>
            </w:r>
          </w:p>
        </w:tc>
      </w:tr>
      <w:tr>
        <w:trPr>
          <w:trHeight w:val="7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44"/>
              <w:ind w:left="15"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年度海淀区国外授权专 利资助</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720,000.00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720,000.00</w:t>
            </w:r>
          </w:p>
        </w:tc>
      </w:tr>
      <w:tr>
        <w:trPr>
          <w:trHeight w:val="72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60"/>
              <w:ind w:left="15"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年中关村国际创新资源 支持资金</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523,514.50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523,514.50</w:t>
            </w:r>
          </w:p>
        </w:tc>
      </w:tr>
      <w:tr>
        <w:trPr>
          <w:trHeight w:val="72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60"/>
              <w:ind w:left="15"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年度新兴领域专项资金 补贴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500,000.00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500,000.00</w:t>
            </w:r>
          </w:p>
        </w:tc>
      </w:tr>
      <w:tr>
        <w:trPr>
          <w:trHeight w:val="102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9"/>
              <w:ind w:left="15" w:right="196"/>
              <w:jc w:val="both"/>
              <w:rPr>
                <w:rFonts w:ascii="宋体" w:hAnsi="宋体" w:cs="宋体" w:eastAsia="宋体" w:hint="default"/>
                <w:sz w:val="18"/>
                <w:szCs w:val="18"/>
              </w:rPr>
            </w:pPr>
            <w:r>
              <w:rPr>
                <w:rFonts w:ascii="宋体" w:hAnsi="宋体" w:cs="宋体" w:eastAsia="宋体" w:hint="default"/>
                <w:sz w:val="18"/>
                <w:szCs w:val="18"/>
              </w:rPr>
              <w:t>中关村国家自主创新示范区 集成电路设计产业发展支持 资金</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407,900.00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407,900.00</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北京市专利资助金</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383,050.00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383,050.00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72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59"/>
              <w:ind w:left="15"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年海淀区知识产权优势 企业培育专项</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300,000.00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300,000.00</w:t>
            </w:r>
          </w:p>
        </w:tc>
      </w:tr>
      <w:tr>
        <w:trPr>
          <w:trHeight w:val="102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96"/>
              <w:jc w:val="both"/>
              <w:rPr>
                <w:rFonts w:ascii="宋体" w:hAnsi="宋体" w:cs="宋体" w:eastAsia="宋体" w:hint="default"/>
                <w:sz w:val="18"/>
                <w:szCs w:val="18"/>
              </w:rPr>
            </w:pPr>
            <w:r>
              <w:rPr>
                <w:rFonts w:ascii="宋体" w:hAnsi="宋体" w:cs="宋体" w:eastAsia="宋体" w:hint="default"/>
                <w:sz w:val="18"/>
                <w:szCs w:val="18"/>
              </w:rPr>
              <w:t>中关村国家自主创新示范区 集成电路设计产业发展支持 资金</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106,600.00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106,600.00</w:t>
            </w:r>
          </w:p>
        </w:tc>
      </w:tr>
      <w:tr>
        <w:trPr>
          <w:trHeight w:val="72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59"/>
              <w:ind w:left="15"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海淀区标准化实施专项 资金</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100,000.00</w:t>
            </w:r>
          </w:p>
        </w:tc>
      </w:tr>
      <w:tr>
        <w:trPr>
          <w:trHeight w:val="39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基地建设项目款</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56,603.77</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56,603.77</w:t>
            </w:r>
          </w:p>
        </w:tc>
      </w:tr>
      <w:tr>
        <w:trPr>
          <w:trHeight w:val="72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59"/>
              <w:ind w:left="15"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年中关村提升创新能力 优化创新环境资金</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25,000.00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25,000.00</w:t>
            </w:r>
          </w:p>
        </w:tc>
      </w:tr>
      <w:tr>
        <w:trPr>
          <w:trHeight w:val="39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42,981,498.50</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28,734,104.19</w:t>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2）政府补助退回情况" w:id="313"/>
      <w:bookmarkEnd w:id="313"/>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5"/>
        <w:rPr>
          <w:rFonts w:ascii="宋体" w:hAnsi="宋体" w:cs="宋体" w:eastAsia="宋体" w:hint="default"/>
          <w:b/>
          <w:bCs/>
          <w:sz w:val="26"/>
          <w:szCs w:val="26"/>
        </w:rPr>
      </w:pPr>
    </w:p>
    <w:p>
      <w:pPr>
        <w:pStyle w:val="BodyText"/>
        <w:spacing w:line="331" w:lineRule="auto"/>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其他说明：</w:t>
      </w:r>
    </w:p>
    <w:p>
      <w:pPr>
        <w:spacing w:line="240" w:lineRule="auto" w:before="10"/>
        <w:rPr>
          <w:rFonts w:ascii="宋体" w:hAnsi="宋体" w:cs="宋体" w:eastAsia="宋体" w:hint="default"/>
          <w:sz w:val="20"/>
          <w:szCs w:val="20"/>
        </w:rPr>
      </w:pPr>
    </w:p>
    <w:p>
      <w:pPr>
        <w:pStyle w:val="Heading2"/>
        <w:spacing w:line="240" w:lineRule="auto"/>
        <w:ind w:right="1100"/>
        <w:jc w:val="left"/>
        <w:rPr>
          <w:b w:val="0"/>
          <w:bCs w:val="0"/>
        </w:rPr>
      </w:pPr>
      <w:bookmarkStart w:name="八、合并范围的变更" w:id="314"/>
      <w:bookmarkEnd w:id="314"/>
      <w:r>
        <w:rPr>
          <w:b w:val="0"/>
          <w:bCs w:val="0"/>
        </w:rPr>
      </w:r>
      <w:r>
        <w:rPr/>
        <w:t>八、合并范围的变更</w:t>
      </w:r>
      <w:r>
        <w:rPr>
          <w:b w:val="0"/>
          <w:bCs w:val="0"/>
        </w:rPr>
      </w:r>
    </w:p>
    <w:p>
      <w:pPr>
        <w:spacing w:line="240" w:lineRule="auto" w:before="9"/>
        <w:rPr>
          <w:rFonts w:ascii="宋体" w:hAnsi="宋体" w:cs="宋体" w:eastAsia="宋体" w:hint="default"/>
          <w:b/>
          <w:bCs/>
          <w:sz w:val="25"/>
          <w:szCs w:val="25"/>
        </w:rPr>
      </w:pPr>
    </w:p>
    <w:p>
      <w:pPr>
        <w:pStyle w:val="Heading4"/>
        <w:spacing w:line="240" w:lineRule="auto"/>
        <w:ind w:right="1100"/>
        <w:jc w:val="left"/>
        <w:rPr>
          <w:b w:val="0"/>
          <w:bCs w:val="0"/>
        </w:rPr>
      </w:pPr>
      <w:bookmarkStart w:name="1、处置子公司" w:id="315"/>
      <w:bookmarkEnd w:id="315"/>
      <w:r>
        <w:rPr>
          <w:b w:val="0"/>
          <w:bCs w:val="0"/>
        </w:rPr>
      </w:r>
      <w:r>
        <w:rPr>
          <w:rFonts w:ascii="Times New Roman" w:hAnsi="Times New Roman" w:cs="Times New Roman" w:eastAsia="Times New Roman" w:hint="default"/>
        </w:rPr>
        <w:t>1</w:t>
      </w:r>
      <w:r>
        <w:rPr/>
        <w:t>、处置子公司</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1100"/>
        <w:jc w:val="left"/>
      </w:pPr>
      <w:r>
        <w:rPr/>
        <w:t>是否存在单次处置对子公司投资即丧失控制权的情形</w:t>
      </w:r>
    </w:p>
    <w:p>
      <w:pPr>
        <w:pStyle w:val="BodyText"/>
        <w:spacing w:line="240" w:lineRule="auto" w:before="140"/>
        <w:ind w:right="110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pStyle w:val="BodyText"/>
        <w:spacing w:line="240" w:lineRule="auto" w:before="81"/>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736"/>
        <w:gridCol w:w="736"/>
        <w:gridCol w:w="736"/>
        <w:gridCol w:w="736"/>
        <w:gridCol w:w="736"/>
        <w:gridCol w:w="736"/>
        <w:gridCol w:w="736"/>
        <w:gridCol w:w="736"/>
        <w:gridCol w:w="736"/>
        <w:gridCol w:w="736"/>
        <w:gridCol w:w="736"/>
        <w:gridCol w:w="751"/>
        <w:gridCol w:w="736"/>
      </w:tblGrid>
      <w:tr>
        <w:trPr>
          <w:trHeight w:val="3829" w:hRule="exact"/>
        </w:trPr>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21" w:lineRule="auto"/>
              <w:ind w:left="165" w:right="105"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21" w:lineRule="auto"/>
              <w:ind w:left="90" w:right="88"/>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21" w:lineRule="auto"/>
              <w:ind w:left="90" w:right="88"/>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21" w:lineRule="auto"/>
              <w:ind w:left="90" w:right="88"/>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4" w:lineRule="auto"/>
              <w:ind w:left="90" w:right="90"/>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316" w:lineRule="auto"/>
              <w:ind w:left="90" w:right="90"/>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29"/>
              <w:ind w:left="90" w:right="90"/>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316" w:lineRule="auto"/>
              <w:ind w:left="90" w:right="90"/>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9" w:lineRule="auto"/>
              <w:ind w:left="90" w:right="88"/>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9" w:lineRule="auto"/>
              <w:ind w:left="90" w:right="88"/>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90" w:right="89"/>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6" w:lineRule="auto"/>
              <w:ind w:left="90" w:right="105"/>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6" w:lineRule="auto"/>
              <w:ind w:left="75" w:right="103"/>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1336" w:hRule="exact"/>
        </w:trPr>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165"/>
              <w:jc w:val="both"/>
              <w:rPr>
                <w:rFonts w:ascii="宋体" w:hAnsi="宋体" w:cs="宋体" w:eastAsia="宋体" w:hint="default"/>
                <w:sz w:val="18"/>
                <w:szCs w:val="18"/>
              </w:rPr>
            </w:pPr>
            <w:r>
              <w:rPr>
                <w:rFonts w:ascii="宋体" w:hAnsi="宋体" w:cs="宋体" w:eastAsia="宋体" w:hint="default"/>
                <w:sz w:val="18"/>
                <w:szCs w:val="18"/>
              </w:rPr>
              <w:t>飞天万 谷智能 科技有 限公司</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6"/>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4"/>
              <w:ind w:left="30" w:right="150"/>
              <w:jc w:val="left"/>
              <w:rPr>
                <w:rFonts w:ascii="宋体" w:hAnsi="宋体" w:cs="宋体" w:eastAsia="宋体" w:hint="default"/>
                <w:sz w:val="18"/>
                <w:szCs w:val="18"/>
              </w:rPr>
            </w:pPr>
            <w:r>
              <w:rPr>
                <w:rFonts w:ascii="宋体" w:hAnsi="宋体" w:cs="宋体" w:eastAsia="宋体" w:hint="default"/>
                <w:sz w:val="18"/>
                <w:szCs w:val="18"/>
              </w:rPr>
              <w:t>注销通 知书</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9,890,64</w:t>
            </w:r>
          </w:p>
          <w:p>
            <w:pPr>
              <w:pStyle w:val="TableParagraph"/>
              <w:spacing w:line="240" w:lineRule="auto" w:before="93"/>
              <w:ind w:left="390" w:right="0"/>
              <w:jc w:val="left"/>
              <w:rPr>
                <w:rFonts w:ascii="Times New Roman" w:hAnsi="Times New Roman" w:cs="Times New Roman" w:eastAsia="Times New Roman" w:hint="default"/>
                <w:sz w:val="18"/>
                <w:szCs w:val="18"/>
              </w:rPr>
            </w:pPr>
            <w:r>
              <w:rPr>
                <w:rFonts w:ascii="Times New Roman"/>
                <w:sz w:val="18"/>
              </w:rPr>
              <w:t>4.37</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4"/>
        <w:ind w:right="1100"/>
        <w:jc w:val="left"/>
      </w:pPr>
      <w:r>
        <w:rPr/>
        <w:t>其他说明：</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right="1100"/>
        <w:jc w:val="left"/>
      </w:pPr>
      <w:r>
        <w:rPr/>
        <w:t>是否存在通过多次交易分步处置对子公司投资且在本期丧失控制权的情形</w:t>
      </w:r>
    </w:p>
    <w:p>
      <w:pPr>
        <w:pStyle w:val="BodyText"/>
        <w:spacing w:line="240" w:lineRule="auto" w:before="125"/>
        <w:ind w:right="110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12"/>
        <w:rPr>
          <w:rFonts w:ascii="宋体" w:hAnsi="宋体" w:cs="宋体" w:eastAsia="宋体" w:hint="default"/>
          <w:sz w:val="24"/>
          <w:szCs w:val="24"/>
        </w:rPr>
      </w:pPr>
    </w:p>
    <w:p>
      <w:pPr>
        <w:pStyle w:val="Heading2"/>
        <w:spacing w:line="240" w:lineRule="auto"/>
        <w:ind w:right="1100"/>
        <w:jc w:val="left"/>
        <w:rPr>
          <w:b w:val="0"/>
          <w:bCs w:val="0"/>
        </w:rPr>
      </w:pPr>
      <w:bookmarkStart w:name="九、在其他主体中的权益" w:id="316"/>
      <w:bookmarkEnd w:id="316"/>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00"/>
        <w:jc w:val="left"/>
        <w:rPr>
          <w:b w:val="0"/>
          <w:bCs w:val="0"/>
        </w:rPr>
      </w:pPr>
      <w:bookmarkStart w:name="1、在子公司中的权益" w:id="317"/>
      <w:bookmarkEnd w:id="317"/>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1100"/>
        <w:jc w:val="left"/>
        <w:rPr>
          <w:b w:val="0"/>
          <w:bCs w:val="0"/>
        </w:rPr>
      </w:pPr>
      <w:bookmarkStart w:name="（1）企业集团的构成" w:id="318"/>
      <w:bookmarkEnd w:id="318"/>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3"/>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1367"/>
        <w:gridCol w:w="1382"/>
        <w:gridCol w:w="1367"/>
        <w:gridCol w:w="1367"/>
        <w:gridCol w:w="1366"/>
        <w:gridCol w:w="1367"/>
        <w:gridCol w:w="1367"/>
      </w:tblGrid>
      <w:tr>
        <w:trPr>
          <w:trHeight w:val="405"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8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5"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8"/>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8"/>
              <w:jc w:val="center"/>
              <w:rPr>
                <w:rFonts w:ascii="宋体" w:hAnsi="宋体" w:cs="宋体" w:eastAsia="宋体" w:hint="default"/>
                <w:sz w:val="18"/>
                <w:szCs w:val="18"/>
              </w:rPr>
            </w:pPr>
            <w:r>
              <w:rPr>
                <w:rFonts w:ascii="宋体" w:hAnsi="宋体" w:cs="宋体" w:eastAsia="宋体" w:hint="default"/>
                <w:sz w:val="18"/>
                <w:szCs w:val="18"/>
              </w:rPr>
              <w:t>间接</w:t>
            </w: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北京坚石诚信科 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6"/>
              <w:jc w:val="left"/>
              <w:rPr>
                <w:rFonts w:ascii="宋体" w:hAnsi="宋体" w:cs="宋体" w:eastAsia="宋体" w:hint="default"/>
                <w:sz w:val="18"/>
                <w:szCs w:val="18"/>
              </w:rPr>
            </w:pPr>
            <w:r>
              <w:rPr>
                <w:rFonts w:ascii="宋体" w:hAnsi="宋体" w:cs="宋体" w:eastAsia="宋体" w:hint="default"/>
                <w:sz w:val="18"/>
                <w:szCs w:val="18"/>
              </w:rPr>
              <w:t>生产销售智能身 份认证产品</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上海温鼎投资中 心（有限合伙）</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6"/>
              <w:jc w:val="left"/>
              <w:rPr>
                <w:rFonts w:ascii="宋体" w:hAnsi="宋体" w:cs="宋体" w:eastAsia="宋体" w:hint="default"/>
                <w:sz w:val="18"/>
                <w:szCs w:val="18"/>
              </w:rPr>
            </w:pPr>
            <w:r>
              <w:rPr>
                <w:rFonts w:ascii="宋体" w:hAnsi="宋体" w:cs="宋体" w:eastAsia="宋体" w:hint="default"/>
                <w:sz w:val="18"/>
                <w:szCs w:val="18"/>
              </w:rPr>
              <w:t>产业并购整合平 台、股权投资</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99.05%</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7" w:lineRule="auto"/>
              <w:ind w:left="15" w:right="74"/>
              <w:jc w:val="left"/>
              <w:rPr>
                <w:rFonts w:ascii="宋体" w:hAnsi="宋体" w:cs="宋体" w:eastAsia="宋体" w:hint="default"/>
                <w:sz w:val="18"/>
                <w:szCs w:val="18"/>
              </w:rPr>
            </w:pPr>
            <w:r>
              <w:rPr>
                <w:rFonts w:ascii="宋体" w:hAnsi="宋体" w:cs="宋体" w:eastAsia="宋体" w:hint="default"/>
                <w:sz w:val="18"/>
                <w:szCs w:val="18"/>
              </w:rPr>
              <w:t>北京宏思电子技 术有限责任公司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6"/>
              <w:jc w:val="both"/>
              <w:rPr>
                <w:rFonts w:ascii="宋体" w:hAnsi="宋体" w:cs="宋体" w:eastAsia="宋体" w:hint="default"/>
                <w:sz w:val="18"/>
                <w:szCs w:val="18"/>
              </w:rPr>
            </w:pPr>
            <w:r>
              <w:rPr>
                <w:rFonts w:ascii="宋体" w:hAnsi="宋体" w:cs="宋体" w:eastAsia="宋体" w:hint="default"/>
                <w:sz w:val="18"/>
                <w:szCs w:val="18"/>
              </w:rPr>
              <w:t>电子产品销售、 信息电子技术服 务</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91.49%</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3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FEITIAN</w:t>
            </w:r>
          </w:p>
          <w:p>
            <w:pPr>
              <w:pStyle w:val="TableParagraph"/>
              <w:spacing w:line="364" w:lineRule="auto" w:before="93"/>
              <w:ind w:left="15" w:right="439"/>
              <w:jc w:val="left"/>
              <w:rPr>
                <w:rFonts w:ascii="Times New Roman" w:hAnsi="Times New Roman" w:cs="Times New Roman" w:eastAsia="Times New Roman" w:hint="default"/>
                <w:sz w:val="18"/>
                <w:szCs w:val="18"/>
              </w:rPr>
            </w:pPr>
            <w:r>
              <w:rPr>
                <w:rFonts w:ascii="Times New Roman"/>
                <w:spacing w:val="-2"/>
                <w:sz w:val="18"/>
              </w:rPr>
              <w:t>technologies</w:t>
            </w:r>
            <w:r>
              <w:rPr>
                <w:rFonts w:ascii="Times New Roman"/>
                <w:spacing w:val="-38"/>
                <w:sz w:val="18"/>
              </w:rPr>
              <w:t> </w:t>
            </w:r>
            <w:r>
              <w:rPr>
                <w:rFonts w:ascii="Times New Roman"/>
                <w:spacing w:val="-38"/>
                <w:sz w:val="18"/>
              </w:rPr>
            </w:r>
            <w:r>
              <w:rPr>
                <w:rFonts w:ascii="Times New Roman"/>
                <w:sz w:val="18"/>
              </w:rPr>
              <w:t>US,Inc</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15" w:right="76"/>
              <w:jc w:val="left"/>
              <w:rPr>
                <w:rFonts w:ascii="宋体" w:hAnsi="宋体" w:cs="宋体" w:eastAsia="宋体" w:hint="default"/>
                <w:sz w:val="18"/>
                <w:szCs w:val="18"/>
              </w:rPr>
            </w:pPr>
            <w:r>
              <w:rPr>
                <w:rFonts w:ascii="宋体" w:hAnsi="宋体" w:cs="宋体" w:eastAsia="宋体" w:hint="default"/>
                <w:sz w:val="18"/>
                <w:szCs w:val="18"/>
              </w:rPr>
              <w:t>生产销售智能身 份认证产品</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飞天香港有限公 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pStyle w:val="BodyText"/>
        <w:spacing w:line="352" w:lineRule="auto" w:before="45"/>
        <w:ind w:right="2829"/>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0" w:lineRule="auto" w:before="40"/>
        <w:ind w:right="7689"/>
        <w:jc w:val="left"/>
      </w:pPr>
      <w:r>
        <w:rPr/>
        <w:t>确定公司是代理人还是委托人的依据： 其他说明：</w:t>
      </w:r>
    </w:p>
    <w:p>
      <w:pPr>
        <w:spacing w:line="240" w:lineRule="auto" w:before="6"/>
        <w:rPr>
          <w:rFonts w:ascii="宋体" w:hAnsi="宋体" w:cs="宋体" w:eastAsia="宋体" w:hint="default"/>
          <w:sz w:val="23"/>
          <w:szCs w:val="23"/>
        </w:rPr>
      </w:pPr>
    </w:p>
    <w:p>
      <w:pPr>
        <w:pStyle w:val="Heading4"/>
        <w:spacing w:line="240" w:lineRule="auto"/>
        <w:ind w:right="1100"/>
        <w:jc w:val="left"/>
        <w:rPr>
          <w:b w:val="0"/>
          <w:bCs w:val="0"/>
        </w:rPr>
      </w:pPr>
      <w:bookmarkStart w:name="（2）重要的非全资子公司" w:id="319"/>
      <w:bookmarkEnd w:id="319"/>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766"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9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74"/>
              <w:ind w:left="781" w:right="46" w:hanging="721"/>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74"/>
              <w:ind w:left="586" w:right="45" w:hanging="542"/>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45"/>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2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上海温鼎投资中心（有 限合伙）</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0.95%</w:t>
            </w:r>
            <w:r>
              <w:rPr>
                <w:rFonts w:ascii="Times New Roman"/>
                <w:sz w:val="18"/>
              </w:rPr>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51,838.74</w:t>
            </w:r>
          </w:p>
        </w:tc>
      </w:tr>
      <w:tr>
        <w:trPr>
          <w:trHeight w:val="7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90"/>
              <w:jc w:val="left"/>
              <w:rPr>
                <w:rFonts w:ascii="宋体" w:hAnsi="宋体" w:cs="宋体" w:eastAsia="宋体" w:hint="default"/>
                <w:sz w:val="18"/>
                <w:szCs w:val="18"/>
              </w:rPr>
            </w:pPr>
            <w:r>
              <w:rPr>
                <w:rFonts w:ascii="宋体" w:hAnsi="宋体" w:cs="宋体" w:eastAsia="宋体" w:hint="default"/>
                <w:sz w:val="18"/>
                <w:szCs w:val="18"/>
              </w:rPr>
              <w:t>北京宏思电子技术有限 责任公司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8.51%</w:t>
            </w:r>
            <w:r>
              <w:rPr>
                <w:rFonts w:ascii="Times New Roman"/>
                <w:sz w:val="18"/>
              </w:rPr>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46" w:right="0"/>
              <w:jc w:val="left"/>
              <w:rPr>
                <w:rFonts w:ascii="Times New Roman" w:hAnsi="Times New Roman" w:cs="Times New Roman" w:eastAsia="Times New Roman" w:hint="default"/>
                <w:sz w:val="18"/>
                <w:szCs w:val="18"/>
              </w:rPr>
            </w:pPr>
            <w:r>
              <w:rPr>
                <w:rFonts w:ascii="Times New Roman"/>
                <w:sz w:val="18"/>
              </w:rPr>
              <w:t>2,533,682.21</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13,081,455.00</w:t>
            </w:r>
          </w:p>
        </w:tc>
      </w:tr>
    </w:tbl>
    <w:p>
      <w:pPr>
        <w:pStyle w:val="BodyText"/>
        <w:spacing w:line="240" w:lineRule="auto" w:before="45"/>
        <w:ind w:right="1100"/>
        <w:jc w:val="left"/>
      </w:pPr>
      <w:r>
        <w:rPr/>
        <w:t>子公司少数股东的持股比例不同于表决权比例的说明：</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4"/>
        <w:spacing w:line="240" w:lineRule="auto" w:before="35"/>
        <w:ind w:right="1100"/>
        <w:jc w:val="left"/>
        <w:rPr>
          <w:b w:val="0"/>
          <w:bCs w:val="0"/>
        </w:rPr>
      </w:pPr>
      <w:bookmarkStart w:name="（3）重要非全资子公司的主要财务信息" w:id="320"/>
      <w:bookmarkEnd w:id="320"/>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736"/>
        <w:gridCol w:w="736"/>
        <w:gridCol w:w="736"/>
        <w:gridCol w:w="736"/>
        <w:gridCol w:w="736"/>
        <w:gridCol w:w="736"/>
        <w:gridCol w:w="736"/>
        <w:gridCol w:w="736"/>
        <w:gridCol w:w="736"/>
        <w:gridCol w:w="736"/>
        <w:gridCol w:w="736"/>
        <w:gridCol w:w="751"/>
        <w:gridCol w:w="736"/>
      </w:tblGrid>
      <w:tr>
        <w:trPr>
          <w:trHeight w:val="405" w:hRule="exact"/>
        </w:trPr>
        <w:tc>
          <w:tcPr>
            <w:tcW w:w="73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321" w:lineRule="auto"/>
              <w:ind w:left="165" w:right="105"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6"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30"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21" w:hRule="exact"/>
        </w:trPr>
        <w:tc>
          <w:tcPr>
            <w:tcW w:w="736" w:type="dxa"/>
            <w:vMerge/>
            <w:tcBorders>
              <w:left w:val="single" w:sz="6" w:space="0" w:color="000000"/>
              <w:bottom w:val="single" w:sz="6" w:space="0" w:color="000000"/>
              <w:right w:val="single" w:sz="6" w:space="0" w:color="000000"/>
            </w:tcBorders>
            <w:shd w:val="clear" w:color="auto" w:fill="D2D2D2"/>
          </w:tcPr>
          <w:p>
            <w:pP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69" w:right="88"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80" w:right="88"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70" w:right="88"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70" w:right="90" w:hanging="181"/>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80"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70" w:right="90" w:hanging="181"/>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70"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80" w:right="88"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70" w:right="88"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70" w:right="89" w:hanging="181"/>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80" w:right="105" w:hanging="91"/>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55" w:right="103" w:hanging="181"/>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6" w:hRule="exact"/>
        </w:trPr>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30"/>
              <w:ind w:left="15" w:right="-15"/>
              <w:jc w:val="left"/>
              <w:rPr>
                <w:rFonts w:ascii="宋体" w:hAnsi="宋体" w:cs="宋体" w:eastAsia="宋体" w:hint="default"/>
                <w:sz w:val="18"/>
                <w:szCs w:val="18"/>
              </w:rPr>
            </w:pPr>
            <w:r>
              <w:rPr>
                <w:rFonts w:ascii="宋体" w:hAnsi="宋体" w:cs="宋体" w:eastAsia="宋体" w:hint="default"/>
                <w:sz w:val="18"/>
                <w:szCs w:val="18"/>
              </w:rPr>
              <w:t>上海温 鼎投资 </w:t>
            </w:r>
            <w:r>
              <w:rPr>
                <w:rFonts w:ascii="宋体" w:hAnsi="宋体" w:cs="宋体" w:eastAsia="宋体" w:hint="default"/>
                <w:spacing w:val="-12"/>
                <w:sz w:val="18"/>
                <w:szCs w:val="18"/>
              </w:rPr>
              <w:t>中心（有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限合伙）</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6,231,46</w:t>
            </w:r>
          </w:p>
          <w:p>
            <w:pPr>
              <w:pStyle w:val="TableParagraph"/>
              <w:spacing w:line="240" w:lineRule="auto" w:before="108"/>
              <w:ind w:left="390" w:right="0"/>
              <w:jc w:val="left"/>
              <w:rPr>
                <w:rFonts w:ascii="Times New Roman" w:hAnsi="Times New Roman" w:cs="Times New Roman" w:eastAsia="Times New Roman" w:hint="default"/>
                <w:sz w:val="18"/>
                <w:szCs w:val="18"/>
              </w:rPr>
            </w:pPr>
            <w:r>
              <w:rPr>
                <w:rFonts w:ascii="Times New Roman"/>
                <w:sz w:val="18"/>
              </w:rPr>
              <w:t>1.20</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6,231,46</w:t>
            </w:r>
          </w:p>
          <w:p>
            <w:pPr>
              <w:pStyle w:val="TableParagraph"/>
              <w:spacing w:line="240" w:lineRule="auto" w:before="108"/>
              <w:ind w:left="390" w:right="0"/>
              <w:jc w:val="left"/>
              <w:rPr>
                <w:rFonts w:ascii="Times New Roman" w:hAnsi="Times New Roman" w:cs="Times New Roman" w:eastAsia="Times New Roman" w:hint="default"/>
                <w:sz w:val="18"/>
                <w:szCs w:val="18"/>
              </w:rPr>
            </w:pPr>
            <w:r>
              <w:rPr>
                <w:rFonts w:ascii="Times New Roman"/>
                <w:sz w:val="18"/>
              </w:rPr>
              <w:t>1.20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213,193.</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42</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213,193.</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42</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289,559.</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48</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909,091.</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1,198,65</w:t>
            </w:r>
          </w:p>
          <w:p>
            <w:pPr>
              <w:pStyle w:val="TableParagraph"/>
              <w:spacing w:line="240" w:lineRule="auto" w:before="108"/>
              <w:ind w:left="390" w:right="0"/>
              <w:jc w:val="left"/>
              <w:rPr>
                <w:rFonts w:ascii="Times New Roman" w:hAnsi="Times New Roman" w:cs="Times New Roman" w:eastAsia="Times New Roman" w:hint="default"/>
                <w:sz w:val="18"/>
                <w:szCs w:val="18"/>
              </w:rPr>
            </w:pPr>
            <w:r>
              <w:rPr>
                <w:rFonts w:ascii="Times New Roman"/>
                <w:sz w:val="18"/>
              </w:rPr>
              <w:t>0.48</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61,643.8</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5</w:t>
            </w:r>
          </w:p>
        </w:tc>
        <w:tc>
          <w:tcPr>
            <w:tcW w:w="75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61,643.8</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5</w:t>
            </w:r>
          </w:p>
        </w:tc>
      </w:tr>
      <w:tr>
        <w:trPr>
          <w:trHeight w:val="1651" w:hRule="exact"/>
        </w:trPr>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65"/>
              <w:jc w:val="both"/>
              <w:rPr>
                <w:rFonts w:ascii="宋体" w:hAnsi="宋体" w:cs="宋体" w:eastAsia="宋体" w:hint="default"/>
                <w:sz w:val="18"/>
                <w:szCs w:val="18"/>
              </w:rPr>
            </w:pPr>
            <w:r>
              <w:rPr>
                <w:rFonts w:ascii="宋体" w:hAnsi="宋体" w:cs="宋体" w:eastAsia="宋体" w:hint="default"/>
                <w:sz w:val="18"/>
                <w:szCs w:val="18"/>
              </w:rPr>
              <w:t>北京宏 思电子 技术有 限责任 公司</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155,977,</w:t>
            </w:r>
          </w:p>
          <w:p>
            <w:pPr>
              <w:pStyle w:val="TableParagraph"/>
              <w:spacing w:line="240" w:lineRule="auto" w:before="93"/>
              <w:ind w:left="194" w:right="0"/>
              <w:jc w:val="center"/>
              <w:rPr>
                <w:rFonts w:ascii="Times New Roman" w:hAnsi="Times New Roman" w:cs="Times New Roman" w:eastAsia="Times New Roman" w:hint="default"/>
                <w:sz w:val="18"/>
                <w:szCs w:val="18"/>
              </w:rPr>
            </w:pPr>
            <w:r>
              <w:rPr>
                <w:rFonts w:ascii="Times New Roman"/>
                <w:sz w:val="18"/>
              </w:rPr>
              <w:t>043.20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23,101,9</w:t>
            </w:r>
          </w:p>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38.99</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179,078,</w:t>
            </w:r>
          </w:p>
          <w:p>
            <w:pPr>
              <w:pStyle w:val="TableParagraph"/>
              <w:spacing w:line="240" w:lineRule="auto" w:before="93"/>
              <w:ind w:left="195" w:right="0"/>
              <w:jc w:val="center"/>
              <w:rPr>
                <w:rFonts w:ascii="Times New Roman" w:hAnsi="Times New Roman" w:cs="Times New Roman" w:eastAsia="Times New Roman" w:hint="default"/>
                <w:sz w:val="18"/>
                <w:szCs w:val="18"/>
              </w:rPr>
            </w:pPr>
            <w:r>
              <w:rPr>
                <w:rFonts w:ascii="Times New Roman"/>
                <w:sz w:val="18"/>
              </w:rPr>
              <w:t>982.19</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19,383,9</w:t>
            </w:r>
          </w:p>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04.59</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3,466,98</w:t>
            </w:r>
          </w:p>
          <w:p>
            <w:pPr>
              <w:pStyle w:val="TableParagraph"/>
              <w:spacing w:line="240" w:lineRule="auto" w:before="93"/>
              <w:ind w:left="390" w:right="0"/>
              <w:jc w:val="left"/>
              <w:rPr>
                <w:rFonts w:ascii="Times New Roman" w:hAnsi="Times New Roman" w:cs="Times New Roman" w:eastAsia="Times New Roman" w:hint="default"/>
                <w:sz w:val="18"/>
                <w:szCs w:val="18"/>
              </w:rPr>
            </w:pPr>
            <w:r>
              <w:rPr>
                <w:rFonts w:ascii="Times New Roman"/>
                <w:sz w:val="18"/>
              </w:rPr>
              <w:t>6.19</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22,850,8</w:t>
            </w:r>
          </w:p>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90.78</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112,976,</w:t>
            </w:r>
          </w:p>
          <w:p>
            <w:pPr>
              <w:pStyle w:val="TableParagraph"/>
              <w:spacing w:line="240" w:lineRule="auto" w:before="93"/>
              <w:ind w:left="194" w:right="0"/>
              <w:jc w:val="center"/>
              <w:rPr>
                <w:rFonts w:ascii="Times New Roman" w:hAnsi="Times New Roman" w:cs="Times New Roman" w:eastAsia="Times New Roman" w:hint="default"/>
                <w:sz w:val="18"/>
                <w:szCs w:val="18"/>
              </w:rPr>
            </w:pPr>
            <w:r>
              <w:rPr>
                <w:rFonts w:ascii="Times New Roman"/>
                <w:sz w:val="18"/>
              </w:rPr>
              <w:t>568.68</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31,108,6</w:t>
            </w:r>
          </w:p>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56.10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144,085,</w:t>
            </w:r>
          </w:p>
          <w:p>
            <w:pPr>
              <w:pStyle w:val="TableParagraph"/>
              <w:spacing w:line="240" w:lineRule="auto" w:before="93"/>
              <w:ind w:left="195" w:right="0"/>
              <w:jc w:val="center"/>
              <w:rPr>
                <w:rFonts w:ascii="Times New Roman" w:hAnsi="Times New Roman" w:cs="Times New Roman" w:eastAsia="Times New Roman" w:hint="default"/>
                <w:sz w:val="18"/>
                <w:szCs w:val="18"/>
              </w:rPr>
            </w:pPr>
            <w:r>
              <w:rPr>
                <w:rFonts w:ascii="Times New Roman"/>
                <w:sz w:val="18"/>
              </w:rPr>
              <w:t>224.78</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11,490,7</w:t>
            </w:r>
          </w:p>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19.53</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6,086,04</w:t>
            </w:r>
          </w:p>
          <w:p>
            <w:pPr>
              <w:pStyle w:val="TableParagraph"/>
              <w:spacing w:line="240" w:lineRule="auto" w:before="93"/>
              <w:ind w:left="390" w:right="0"/>
              <w:jc w:val="left"/>
              <w:rPr>
                <w:rFonts w:ascii="Times New Roman" w:hAnsi="Times New Roman" w:cs="Times New Roman" w:eastAsia="Times New Roman" w:hint="default"/>
                <w:sz w:val="18"/>
                <w:szCs w:val="18"/>
              </w:rPr>
            </w:pPr>
            <w:r>
              <w:rPr>
                <w:rFonts w:ascii="Times New Roman"/>
                <w:sz w:val="18"/>
              </w:rPr>
              <w:t>7.09</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17,576,7</w:t>
            </w:r>
          </w:p>
          <w:p>
            <w:pPr>
              <w:pStyle w:val="TableParagraph"/>
              <w:spacing w:line="240" w:lineRule="auto" w:before="93"/>
              <w:ind w:left="285" w:right="0"/>
              <w:jc w:val="left"/>
              <w:rPr>
                <w:rFonts w:ascii="Times New Roman" w:hAnsi="Times New Roman" w:cs="Times New Roman" w:eastAsia="Times New Roman" w:hint="default"/>
                <w:sz w:val="18"/>
                <w:szCs w:val="18"/>
              </w:rPr>
            </w:pPr>
            <w:r>
              <w:rPr>
                <w:rFonts w:ascii="Times New Roman"/>
                <w:sz w:val="18"/>
              </w:rPr>
              <w:t>66.62</w:t>
            </w:r>
          </w:p>
        </w:tc>
      </w:tr>
    </w:tbl>
    <w:p>
      <w:pPr>
        <w:pStyle w:val="BodyText"/>
        <w:spacing w:line="240" w:lineRule="auto" w:before="4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066"/>
        <w:gridCol w:w="1051"/>
        <w:gridCol w:w="1067"/>
        <w:gridCol w:w="1066"/>
        <w:gridCol w:w="1066"/>
        <w:gridCol w:w="1067"/>
        <w:gridCol w:w="1066"/>
        <w:gridCol w:w="1067"/>
        <w:gridCol w:w="1066"/>
      </w:tblGrid>
      <w:tr>
        <w:trPr>
          <w:trHeight w:val="406" w:hRule="exact"/>
        </w:trPr>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6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65"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05" w:hRule="exact"/>
        </w:trPr>
        <w:tc>
          <w:tcPr>
            <w:tcW w:w="1066" w:type="dxa"/>
            <w:vMerge/>
            <w:tcBorders>
              <w:left w:val="single" w:sz="6" w:space="0" w:color="000000"/>
              <w:bottom w:val="single" w:sz="6" w:space="0" w:color="000000"/>
              <w:right w:val="single" w:sz="6" w:space="0" w:color="000000"/>
            </w:tcBorders>
            <w:shd w:val="clear" w:color="auto" w:fill="D2D2D2"/>
          </w:tcPr>
          <w:p>
            <w:pP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435" w:right="74"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255"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421" w:right="90"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240" w:right="89" w:hanging="181"/>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36"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28"/>
              <w:jc w:val="left"/>
              <w:rPr>
                <w:rFonts w:ascii="宋体" w:hAnsi="宋体" w:cs="宋体" w:eastAsia="宋体" w:hint="default"/>
                <w:sz w:val="18"/>
                <w:szCs w:val="18"/>
              </w:rPr>
            </w:pPr>
            <w:r>
              <w:rPr>
                <w:rFonts w:ascii="宋体" w:hAnsi="宋体" w:cs="宋体" w:eastAsia="宋体" w:hint="default"/>
                <w:sz w:val="18"/>
                <w:szCs w:val="18"/>
              </w:rPr>
              <w:t>上海温鼎投 </w:t>
            </w:r>
            <w:r>
              <w:rPr>
                <w:rFonts w:ascii="宋体" w:hAnsi="宋体" w:cs="宋体" w:eastAsia="宋体" w:hint="default"/>
                <w:spacing w:val="-13"/>
                <w:sz w:val="18"/>
                <w:szCs w:val="18"/>
              </w:rPr>
              <w:t>资中心（有限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合伙）</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-115,899.91</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1,244,897.15</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-4,382.34</w:t>
            </w:r>
            <w:r>
              <w:rPr>
                <w:rFonts w:ascii="Times New Roman"/>
                <w:sz w:val="18"/>
              </w:rPr>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-3,789,264.72</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-3,789,264.72</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-169,613.05</w:t>
            </w:r>
          </w:p>
        </w:tc>
      </w:tr>
      <w:tr>
        <w:trPr>
          <w:trHeight w:val="102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9"/>
              <w:ind w:left="15" w:right="133"/>
              <w:jc w:val="both"/>
              <w:rPr>
                <w:rFonts w:ascii="宋体" w:hAnsi="宋体" w:cs="宋体" w:eastAsia="宋体" w:hint="default"/>
                <w:sz w:val="18"/>
                <w:szCs w:val="18"/>
              </w:rPr>
            </w:pPr>
            <w:r>
              <w:rPr>
                <w:rFonts w:ascii="宋体" w:hAnsi="宋体" w:cs="宋体" w:eastAsia="宋体" w:hint="default"/>
                <w:sz w:val="18"/>
                <w:szCs w:val="18"/>
              </w:rPr>
              <w:t>北京宏思电 子技术有限 责任公司</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119,558,422.</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18</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29,719,633.2</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5</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29,719,633.2</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7,499,319.46</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101,241,709.</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56</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15,045,827.8</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7</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15,045,827.8</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16,139,148.9</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4</w:t>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2、在合营安排或联营企业中的权益" w:id="321"/>
      <w:bookmarkEnd w:id="321"/>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1100"/>
        <w:jc w:val="left"/>
        <w:rPr>
          <w:b w:val="0"/>
          <w:bCs w:val="0"/>
        </w:rPr>
      </w:pPr>
      <w:bookmarkStart w:name="（1）重要的合营企业或联营企业" w:id="322"/>
      <w:bookmarkEnd w:id="322"/>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
        <w:rPr>
          <w:rFonts w:ascii="宋体" w:hAnsi="宋体" w:cs="宋体" w:eastAsia="宋体" w:hint="default"/>
          <w:b/>
          <w:bCs/>
          <w:sz w:val="24"/>
          <w:szCs w:val="24"/>
        </w:rPr>
      </w:pPr>
    </w:p>
    <w:tbl>
      <w:tblPr>
        <w:tblW w:w="0" w:type="auto"/>
        <w:jc w:val="left"/>
        <w:tblInd w:w="126" w:type="dxa"/>
        <w:tblLayout w:type="fixed"/>
        <w:tblCellMar>
          <w:top w:w="0" w:type="dxa"/>
          <w:left w:w="0" w:type="dxa"/>
          <w:bottom w:w="0" w:type="dxa"/>
          <w:right w:w="0" w:type="dxa"/>
        </w:tblCellMar>
        <w:tblLook w:val="01E0"/>
      </w:tblPr>
      <w:tblGrid>
        <w:gridCol w:w="1367"/>
        <w:gridCol w:w="1382"/>
        <w:gridCol w:w="1367"/>
        <w:gridCol w:w="1367"/>
        <w:gridCol w:w="1366"/>
        <w:gridCol w:w="1367"/>
        <w:gridCol w:w="1367"/>
      </w:tblGrid>
      <w:tr>
        <w:trPr>
          <w:trHeight w:val="406"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315" w:right="44" w:hanging="271"/>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8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9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0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45"/>
              <w:ind w:left="29" w:right="59"/>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30"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50"/>
              <w:ind w:right="28"/>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50"/>
              <w:ind w:right="28"/>
              <w:jc w:val="center"/>
              <w:rPr>
                <w:rFonts w:ascii="宋体" w:hAnsi="宋体" w:cs="宋体" w:eastAsia="宋体" w:hint="default"/>
                <w:sz w:val="18"/>
                <w:szCs w:val="18"/>
              </w:rPr>
            </w:pPr>
            <w:r>
              <w:rPr>
                <w:rFonts w:ascii="宋体" w:hAnsi="宋体" w:cs="宋体" w:eastAsia="宋体" w:hint="default"/>
                <w:sz w:val="18"/>
                <w:szCs w:val="18"/>
              </w:rPr>
              <w:t>间接</w:t>
            </w: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10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64" w:lineRule="auto" w:before="87"/>
              <w:ind w:left="15" w:right="50"/>
              <w:jc w:val="left"/>
              <w:rPr>
                <w:rFonts w:ascii="Times New Roman" w:hAnsi="Times New Roman" w:cs="Times New Roman" w:eastAsia="Times New Roman" w:hint="default"/>
                <w:sz w:val="18"/>
                <w:szCs w:val="18"/>
              </w:rPr>
            </w:pPr>
            <w:r>
              <w:rPr>
                <w:rFonts w:ascii="Times New Roman"/>
                <w:sz w:val="18"/>
              </w:rPr>
              <w:t>HYPERSECUIN</w:t>
            </w:r>
            <w:r>
              <w:rPr>
                <w:rFonts w:ascii="Times New Roman"/>
                <w:w w:val="99"/>
                <w:sz w:val="18"/>
              </w:rPr>
              <w:t> </w:t>
            </w:r>
            <w:r>
              <w:rPr>
                <w:rFonts w:ascii="Times New Roman"/>
                <w:spacing w:val="-3"/>
                <w:sz w:val="18"/>
              </w:rPr>
              <w:t>FORMATIONSY</w:t>
            </w:r>
            <w:r>
              <w:rPr>
                <w:rFonts w:ascii="Times New Roman"/>
                <w:spacing w:val="-36"/>
                <w:sz w:val="18"/>
              </w:rPr>
              <w:t> </w:t>
            </w:r>
            <w:r>
              <w:rPr>
                <w:rFonts w:ascii="Times New Roman"/>
                <w:spacing w:val="-36"/>
                <w:sz w:val="18"/>
              </w:rPr>
            </w:r>
            <w:r>
              <w:rPr>
                <w:rFonts w:ascii="Times New Roman"/>
                <w:sz w:val="18"/>
              </w:rPr>
              <w:t>STEMS,INC</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加拿大</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加拿大</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7" w:lineRule="auto"/>
              <w:ind w:left="15" w:right="76"/>
              <w:jc w:val="left"/>
              <w:rPr>
                <w:rFonts w:ascii="宋体" w:hAnsi="宋体" w:cs="宋体" w:eastAsia="宋体" w:hint="default"/>
                <w:sz w:val="18"/>
                <w:szCs w:val="18"/>
              </w:rPr>
            </w:pPr>
            <w:r>
              <w:rPr>
                <w:rFonts w:ascii="宋体" w:hAnsi="宋体" w:cs="宋体" w:eastAsia="宋体" w:hint="default"/>
                <w:sz w:val="18"/>
                <w:szCs w:val="18"/>
              </w:rPr>
              <w:t>生产销售智能身 份认证产品</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40.00%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10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74"/>
              <w:jc w:val="both"/>
              <w:rPr>
                <w:rFonts w:ascii="宋体" w:hAnsi="宋体" w:cs="宋体" w:eastAsia="宋体" w:hint="default"/>
                <w:sz w:val="18"/>
                <w:szCs w:val="18"/>
              </w:rPr>
            </w:pPr>
            <w:r>
              <w:rPr>
                <w:rFonts w:ascii="宋体" w:hAnsi="宋体" w:cs="宋体" w:eastAsia="宋体" w:hint="default"/>
                <w:sz w:val="18"/>
                <w:szCs w:val="18"/>
              </w:rPr>
              <w:t>深圳市瑞福达液 晶显示技术股份 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26.77%</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b/>
          <w:bCs/>
          <w:sz w:val="26"/>
          <w:szCs w:val="26"/>
        </w:rPr>
      </w:pPr>
    </w:p>
    <w:p>
      <w:pPr>
        <w:pStyle w:val="Heading4"/>
        <w:spacing w:line="240" w:lineRule="auto" w:before="35"/>
        <w:ind w:right="1100"/>
        <w:jc w:val="left"/>
        <w:rPr>
          <w:b w:val="0"/>
          <w:bCs w:val="0"/>
        </w:rPr>
      </w:pPr>
      <w:bookmarkStart w:name="（2）重要联营企业的主要财务信息" w:id="323"/>
      <w:bookmarkEnd w:id="323"/>
      <w:r>
        <w:rPr>
          <w:b w:val="0"/>
          <w:bCs w:val="0"/>
        </w:rPr>
      </w: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6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184,803,389.68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106,340,714.07</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224,532,865.80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181,860,634.23</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409,336,255.48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288,201,348.30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209,109,226.24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85,655,879.87</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30,482,872.08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36,651,951.82</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239,592,098.32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122,307,831.69</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169,744,157.16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165,893,516.61</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46,210,024.25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45,113,905.24</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2,150,186.45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2,150,186.45</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2,150,186.45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2,150,186.45</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48,360,210.70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47,264,091.69</w:t>
            </w:r>
          </w:p>
        </w:tc>
      </w:tr>
      <w:tr>
        <w:trPr>
          <w:trHeight w:val="72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92"/>
              <w:jc w:val="left"/>
              <w:rPr>
                <w:rFonts w:ascii="宋体" w:hAnsi="宋体" w:cs="宋体" w:eastAsia="宋体" w:hint="default"/>
                <w:sz w:val="18"/>
                <w:szCs w:val="18"/>
              </w:rPr>
            </w:pPr>
            <w:r>
              <w:rPr>
                <w:rFonts w:ascii="宋体" w:hAnsi="宋体" w:cs="宋体" w:eastAsia="宋体" w:hint="default"/>
                <w:sz w:val="18"/>
                <w:szCs w:val="18"/>
              </w:rPr>
              <w:t>存在公开报价的联营企业权益投资的公 允价值</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391,726,751.05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230,156,289.60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3,516,310.83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9,055,385.06</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334,329.72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-661,761.07</w:t>
            </w:r>
            <w:r>
              <w:rPr>
                <w:rFonts w:ascii="Times New Roman"/>
                <w:sz w:val="18"/>
              </w:rPr>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3,850,640.55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8,393,623.99</w:t>
            </w:r>
          </w:p>
        </w:tc>
      </w:tr>
    </w:tbl>
    <w:p>
      <w:pPr>
        <w:spacing w:line="240" w:lineRule="auto" w:before="12"/>
        <w:rPr>
          <w:rFonts w:ascii="宋体" w:hAnsi="宋体" w:cs="宋体" w:eastAsia="宋体" w:hint="default"/>
          <w:sz w:val="17"/>
          <w:szCs w:val="17"/>
        </w:rPr>
      </w:pPr>
    </w:p>
    <w:p>
      <w:pPr>
        <w:pStyle w:val="Heading2"/>
        <w:spacing w:line="240" w:lineRule="auto" w:before="26"/>
        <w:ind w:right="1100"/>
        <w:jc w:val="left"/>
        <w:rPr>
          <w:b w:val="0"/>
          <w:bCs w:val="0"/>
        </w:rPr>
      </w:pPr>
      <w:bookmarkStart w:name="十、与金融工具相关的风险" w:id="324"/>
      <w:bookmarkEnd w:id="324"/>
      <w:r>
        <w:rPr>
          <w:b w:val="0"/>
          <w:bCs w:val="0"/>
        </w:rPr>
      </w:r>
      <w:r>
        <w:rPr/>
        <w:t>十、与金融工具相关的风险</w:t>
      </w:r>
      <w:r>
        <w:rPr>
          <w:b w:val="0"/>
          <w:bCs w:val="0"/>
        </w:rPr>
      </w:r>
    </w:p>
    <w:p>
      <w:pPr>
        <w:spacing w:line="240" w:lineRule="auto" w:before="9"/>
        <w:rPr>
          <w:rFonts w:ascii="宋体" w:hAnsi="宋体" w:cs="宋体" w:eastAsia="宋体" w:hint="default"/>
          <w:b/>
          <w:bCs/>
          <w:sz w:val="23"/>
          <w:szCs w:val="23"/>
        </w:rPr>
      </w:pPr>
    </w:p>
    <w:p>
      <w:pPr>
        <w:pStyle w:val="Heading3"/>
        <w:spacing w:line="249" w:lineRule="auto"/>
        <w:ind w:right="1100"/>
        <w:jc w:val="left"/>
        <w:rPr>
          <w:i w:val="0"/>
        </w:rPr>
      </w:pPr>
      <w:r>
        <w:rPr>
          <w:w w:val="95"/>
        </w:rPr>
        <w:t>本公司的主要金融工具包括其他权益工具投资、应收票据、应收账款、应付账款等。这些金融工具的</w:t>
      </w:r>
      <w:r>
        <w:rPr>
          <w:w w:val="95"/>
        </w:rPr>
        <w:t> </w:t>
      </w:r>
      <w:r>
        <w:rPr/>
        <w:t>主要目的在于为本公司的运营融资。本公司具有多种因经营而直接产生的其他金融资产和负债。</w:t>
      </w:r>
      <w:r>
        <w:rPr>
          <w:i w:val="0"/>
        </w:rPr>
      </w:r>
    </w:p>
    <w:p>
      <w:pPr>
        <w:pStyle w:val="BodyText"/>
        <w:spacing w:line="240" w:lineRule="auto" w:before="170"/>
        <w:ind w:left="561" w:right="1100"/>
        <w:jc w:val="left"/>
      </w:pPr>
      <w:r>
        <w:rPr/>
        <w:t>本公司的金融工具导致的主要风险是信用风险、流动风险及市场风险。</w:t>
      </w:r>
    </w:p>
    <w:p>
      <w:pPr>
        <w:spacing w:line="240" w:lineRule="auto" w:before="4"/>
        <w:rPr>
          <w:rFonts w:ascii="宋体" w:hAnsi="宋体" w:cs="宋体" w:eastAsia="宋体" w:hint="default"/>
          <w:sz w:val="15"/>
          <w:szCs w:val="15"/>
        </w:rPr>
      </w:pPr>
    </w:p>
    <w:p>
      <w:pPr>
        <w:pStyle w:val="BodyText"/>
        <w:spacing w:line="240" w:lineRule="auto"/>
        <w:ind w:left="561" w:right="1100"/>
        <w:jc w:val="left"/>
      </w:pPr>
      <w:r>
        <w:rPr/>
        <w:t>（一）金融工具分类</w:t>
      </w:r>
    </w:p>
    <w:p>
      <w:pPr>
        <w:spacing w:line="240" w:lineRule="auto" w:before="5"/>
        <w:rPr>
          <w:rFonts w:ascii="宋体" w:hAnsi="宋体" w:cs="宋体" w:eastAsia="宋体" w:hint="default"/>
          <w:sz w:val="16"/>
          <w:szCs w:val="16"/>
        </w:rPr>
      </w:pPr>
    </w:p>
    <w:p>
      <w:pPr>
        <w:pStyle w:val="BodyText"/>
        <w:spacing w:line="240" w:lineRule="auto"/>
        <w:ind w:left="561" w:right="1100"/>
        <w:jc w:val="left"/>
      </w:pPr>
      <w:r>
        <w:rPr>
          <w:rFonts w:ascii="Times New Roman" w:hAnsi="Times New Roman" w:cs="Times New Roman" w:eastAsia="Times New Roman" w:hint="default"/>
        </w:rPr>
        <w:t>1.</w:t>
      </w:r>
      <w:r>
        <w:rPr/>
        <w:t>资产负债表日的各类金融资产的账面价值</w:t>
      </w:r>
    </w:p>
    <w:p>
      <w:pPr>
        <w:spacing w:line="240" w:lineRule="auto" w:before="3"/>
        <w:rPr>
          <w:rFonts w:ascii="宋体" w:hAnsi="宋体" w:cs="宋体" w:eastAsia="宋体" w:hint="default"/>
          <w:sz w:val="14"/>
          <w:szCs w:val="14"/>
        </w:rPr>
      </w:pPr>
    </w:p>
    <w:p>
      <w:pPr>
        <w:pStyle w:val="BodyText"/>
        <w:spacing w:line="240" w:lineRule="auto"/>
        <w:ind w:left="561" w:right="110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13"/>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2117"/>
        <w:gridCol w:w="1712"/>
        <w:gridCol w:w="2118"/>
        <w:gridCol w:w="1907"/>
        <w:gridCol w:w="1817"/>
      </w:tblGrid>
      <w:tr>
        <w:trPr>
          <w:trHeight w:val="660" w:hRule="exact"/>
        </w:trPr>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10" w:right="0"/>
              <w:jc w:val="left"/>
              <w:rPr>
                <w:rFonts w:ascii="宋体" w:hAnsi="宋体" w:cs="宋体" w:eastAsia="宋体" w:hint="default"/>
                <w:sz w:val="18"/>
                <w:szCs w:val="18"/>
              </w:rPr>
            </w:pPr>
            <w:r>
              <w:rPr>
                <w:rFonts w:ascii="宋体" w:hAnsi="宋体" w:cs="宋体" w:eastAsia="宋体" w:hint="default"/>
                <w:b/>
                <w:bCs/>
                <w:sz w:val="18"/>
                <w:szCs w:val="18"/>
              </w:rPr>
              <w:t>金融资产项目</w:t>
            </w:r>
            <w:r>
              <w:rPr>
                <w:rFonts w:ascii="宋体" w:hAnsi="宋体" w:cs="宋体" w:eastAsia="宋体" w:hint="default"/>
                <w:sz w:val="18"/>
                <w:szCs w:val="18"/>
              </w:rPr>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14"/>
              <w:ind w:left="571" w:right="46" w:hanging="541"/>
              <w:jc w:val="left"/>
              <w:rPr>
                <w:rFonts w:ascii="宋体" w:hAnsi="宋体" w:cs="宋体" w:eastAsia="宋体" w:hint="default"/>
                <w:sz w:val="18"/>
                <w:szCs w:val="18"/>
              </w:rPr>
            </w:pPr>
            <w:r>
              <w:rPr>
                <w:rFonts w:ascii="宋体" w:hAnsi="宋体" w:cs="宋体" w:eastAsia="宋体" w:hint="default"/>
                <w:b/>
                <w:bCs/>
                <w:sz w:val="18"/>
                <w:szCs w:val="18"/>
              </w:rPr>
              <w:t>以摊余成本计量的金</w:t>
            </w:r>
            <w:r>
              <w:rPr>
                <w:rFonts w:ascii="宋体" w:hAnsi="宋体" w:cs="宋体" w:eastAsia="宋体" w:hint="default"/>
                <w:b/>
                <w:bCs/>
                <w:w w:val="99"/>
                <w:sz w:val="18"/>
                <w:szCs w:val="18"/>
              </w:rPr>
              <w:t> </w:t>
            </w:r>
            <w:r>
              <w:rPr>
                <w:rFonts w:ascii="宋体" w:hAnsi="宋体" w:cs="宋体" w:eastAsia="宋体" w:hint="default"/>
                <w:b/>
                <w:bCs/>
                <w:sz w:val="18"/>
                <w:szCs w:val="18"/>
              </w:rPr>
              <w:t>融资产</w:t>
            </w:r>
            <w:r>
              <w:rPr>
                <w:rFonts w:ascii="宋体" w:hAnsi="宋体" w:cs="宋体" w:eastAsia="宋体" w:hint="default"/>
                <w:sz w:val="18"/>
                <w:szCs w:val="18"/>
              </w:rPr>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14"/>
              <w:ind w:left="60" w:right="45"/>
              <w:jc w:val="left"/>
              <w:rPr>
                <w:rFonts w:ascii="宋体" w:hAnsi="宋体" w:cs="宋体" w:eastAsia="宋体" w:hint="default"/>
                <w:sz w:val="18"/>
                <w:szCs w:val="18"/>
              </w:rPr>
            </w:pPr>
            <w:r>
              <w:rPr>
                <w:rFonts w:ascii="宋体" w:hAnsi="宋体" w:cs="宋体" w:eastAsia="宋体" w:hint="default"/>
                <w:b/>
                <w:bCs/>
                <w:sz w:val="18"/>
                <w:szCs w:val="18"/>
              </w:rPr>
              <w:t>以公允价值计量且其变动</w:t>
            </w:r>
            <w:r>
              <w:rPr>
                <w:rFonts w:ascii="宋体" w:hAnsi="宋体" w:cs="宋体" w:eastAsia="宋体" w:hint="default"/>
                <w:b/>
                <w:bCs/>
                <w:spacing w:val="-85"/>
                <w:sz w:val="18"/>
                <w:szCs w:val="18"/>
              </w:rPr>
              <w:t> </w:t>
            </w:r>
            <w:r>
              <w:rPr>
                <w:rFonts w:ascii="宋体" w:hAnsi="宋体" w:cs="宋体" w:eastAsia="宋体" w:hint="default"/>
                <w:b/>
                <w:bCs/>
                <w:spacing w:val="-85"/>
                <w:sz w:val="18"/>
                <w:szCs w:val="18"/>
              </w:rPr>
            </w:r>
            <w:r>
              <w:rPr>
                <w:rFonts w:ascii="宋体" w:hAnsi="宋体" w:cs="宋体" w:eastAsia="宋体" w:hint="default"/>
                <w:b/>
                <w:bCs/>
                <w:sz w:val="18"/>
                <w:szCs w:val="18"/>
              </w:rPr>
              <w:t>计入当期损益的金融资产</w:t>
            </w:r>
            <w:r>
              <w:rPr>
                <w:rFonts w:ascii="宋体" w:hAnsi="宋体" w:cs="宋体" w:eastAsia="宋体" w:hint="default"/>
                <w:sz w:val="18"/>
                <w:szCs w:val="18"/>
              </w:rPr>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14"/>
              <w:ind w:left="30" w:right="45"/>
              <w:jc w:val="left"/>
              <w:rPr>
                <w:rFonts w:ascii="宋体" w:hAnsi="宋体" w:cs="宋体" w:eastAsia="宋体" w:hint="default"/>
                <w:sz w:val="18"/>
                <w:szCs w:val="18"/>
              </w:rPr>
            </w:pPr>
            <w:r>
              <w:rPr>
                <w:rFonts w:ascii="宋体" w:hAnsi="宋体" w:cs="宋体" w:eastAsia="宋体" w:hint="default"/>
                <w:b/>
                <w:bCs/>
                <w:sz w:val="18"/>
                <w:szCs w:val="18"/>
              </w:rPr>
              <w:t>以公允价值计量且其变</w:t>
            </w:r>
            <w:r>
              <w:rPr>
                <w:rFonts w:ascii="宋体" w:hAnsi="宋体" w:cs="宋体" w:eastAsia="宋体" w:hint="default"/>
                <w:b/>
                <w:bCs/>
                <w:spacing w:val="-84"/>
                <w:sz w:val="18"/>
                <w:szCs w:val="18"/>
              </w:rPr>
              <w:t> </w:t>
            </w:r>
            <w:r>
              <w:rPr>
                <w:rFonts w:ascii="宋体" w:hAnsi="宋体" w:cs="宋体" w:eastAsia="宋体" w:hint="default"/>
                <w:b/>
                <w:bCs/>
                <w:spacing w:val="-84"/>
                <w:sz w:val="18"/>
                <w:szCs w:val="18"/>
              </w:rPr>
            </w:r>
            <w:r>
              <w:rPr>
                <w:rFonts w:ascii="宋体" w:hAnsi="宋体" w:cs="宋体" w:eastAsia="宋体" w:hint="default"/>
                <w:b/>
                <w:bCs/>
                <w:sz w:val="18"/>
                <w:szCs w:val="18"/>
              </w:rPr>
              <w:t>动计入其他综合收益的</w:t>
            </w:r>
            <w:r>
              <w:rPr>
                <w:rFonts w:ascii="宋体" w:hAnsi="宋体" w:cs="宋体" w:eastAsia="宋体" w:hint="default"/>
                <w:sz w:val="18"/>
                <w:szCs w:val="18"/>
              </w:rPr>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11" w:type="dxa"/>
        <w:tblLayout w:type="fixed"/>
        <w:tblCellMar>
          <w:top w:w="0" w:type="dxa"/>
          <w:left w:w="0" w:type="dxa"/>
          <w:bottom w:w="0" w:type="dxa"/>
          <w:right w:w="0" w:type="dxa"/>
        </w:tblCellMar>
        <w:tblLook w:val="01E0"/>
      </w:tblPr>
      <w:tblGrid>
        <w:gridCol w:w="2117"/>
        <w:gridCol w:w="1712"/>
        <w:gridCol w:w="2118"/>
        <w:gridCol w:w="1907"/>
        <w:gridCol w:w="1817"/>
      </w:tblGrid>
      <w:tr>
        <w:trPr>
          <w:trHeight w:val="345" w:hRule="exact"/>
        </w:trPr>
        <w:tc>
          <w:tcPr>
            <w:tcW w:w="2117"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2118"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585" w:right="0"/>
              <w:jc w:val="left"/>
              <w:rPr>
                <w:rFonts w:ascii="宋体" w:hAnsi="宋体" w:cs="宋体" w:eastAsia="宋体" w:hint="default"/>
                <w:sz w:val="18"/>
                <w:szCs w:val="18"/>
              </w:rPr>
            </w:pPr>
            <w:r>
              <w:rPr>
                <w:rFonts w:ascii="宋体" w:hAnsi="宋体" w:cs="宋体" w:eastAsia="宋体" w:hint="default"/>
                <w:b/>
                <w:bCs/>
                <w:sz w:val="18"/>
                <w:szCs w:val="18"/>
              </w:rPr>
              <w:t>金融资产</w:t>
            </w:r>
            <w:r>
              <w:rPr>
                <w:rFonts w:ascii="宋体" w:hAnsi="宋体" w:cs="宋体" w:eastAsia="宋体" w:hint="default"/>
                <w:sz w:val="18"/>
                <w:szCs w:val="18"/>
              </w:rPr>
            </w:r>
          </w:p>
        </w:tc>
        <w:tc>
          <w:tcPr>
            <w:tcW w:w="1817"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503,005,768.24</w:t>
            </w:r>
          </w:p>
        </w:tc>
        <w:tc>
          <w:tcPr>
            <w:tcW w:w="2118"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503,005,768.24</w:t>
            </w:r>
          </w:p>
        </w:tc>
      </w:tr>
      <w:tr>
        <w:trPr>
          <w:trHeight w:val="330" w:hRule="exact"/>
        </w:trPr>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712" w:type="dxa"/>
            <w:tcBorders>
              <w:top w:val="single" w:sz="6" w:space="0" w:color="000000"/>
              <w:left w:val="single" w:sz="6" w:space="0" w:color="000000"/>
              <w:bottom w:val="single" w:sz="6" w:space="0" w:color="000000"/>
              <w:right w:val="single" w:sz="6" w:space="0" w:color="000000"/>
            </w:tcBorders>
          </w:tcPr>
          <w:p>
            <w:pP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976" w:right="0"/>
              <w:jc w:val="left"/>
              <w:rPr>
                <w:rFonts w:ascii="Times New Roman" w:hAnsi="Times New Roman" w:cs="Times New Roman" w:eastAsia="Times New Roman" w:hint="default"/>
                <w:sz w:val="18"/>
                <w:szCs w:val="18"/>
              </w:rPr>
            </w:pPr>
            <w:r>
              <w:rPr>
                <w:rFonts w:ascii="Times New Roman"/>
                <w:sz w:val="18"/>
              </w:rPr>
              <w:t>746,272,637.59</w:t>
            </w:r>
          </w:p>
        </w:tc>
        <w:tc>
          <w:tcPr>
            <w:tcW w:w="1907"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746,272,637.59</w:t>
            </w:r>
          </w:p>
        </w:tc>
      </w:tr>
      <w:tr>
        <w:trPr>
          <w:trHeight w:val="345" w:hRule="exact"/>
        </w:trPr>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3,245,322.51</w:t>
            </w:r>
          </w:p>
        </w:tc>
        <w:tc>
          <w:tcPr>
            <w:tcW w:w="2118"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3,245,322.51</w:t>
            </w:r>
          </w:p>
        </w:tc>
      </w:tr>
      <w:tr>
        <w:trPr>
          <w:trHeight w:val="346" w:hRule="exact"/>
        </w:trPr>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123,971,307.12</w:t>
            </w:r>
          </w:p>
        </w:tc>
        <w:tc>
          <w:tcPr>
            <w:tcW w:w="2118"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123,971,307.12</w:t>
            </w:r>
          </w:p>
        </w:tc>
      </w:tr>
      <w:tr>
        <w:trPr>
          <w:trHeight w:val="345" w:hRule="exact"/>
        </w:trPr>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15,589,820.85</w:t>
            </w:r>
          </w:p>
        </w:tc>
        <w:tc>
          <w:tcPr>
            <w:tcW w:w="2118"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15,589,820.85</w:t>
            </w:r>
          </w:p>
        </w:tc>
      </w:tr>
      <w:tr>
        <w:trPr>
          <w:trHeight w:val="330" w:hRule="exact"/>
        </w:trPr>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712" w:type="dxa"/>
            <w:tcBorders>
              <w:top w:val="single" w:sz="6" w:space="0" w:color="000000"/>
              <w:left w:val="single" w:sz="6" w:space="0" w:color="000000"/>
              <w:bottom w:val="single" w:sz="6" w:space="0" w:color="000000"/>
              <w:right w:val="single" w:sz="6" w:space="0" w:color="000000"/>
            </w:tcBorders>
          </w:tcPr>
          <w:p>
            <w:pPr/>
          </w:p>
        </w:tc>
        <w:tc>
          <w:tcPr>
            <w:tcW w:w="2118"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856" w:right="0"/>
              <w:jc w:val="left"/>
              <w:rPr>
                <w:rFonts w:ascii="Times New Roman" w:hAnsi="Times New Roman" w:cs="Times New Roman" w:eastAsia="Times New Roman" w:hint="default"/>
                <w:sz w:val="18"/>
                <w:szCs w:val="18"/>
              </w:rPr>
            </w:pPr>
            <w:r>
              <w:rPr>
                <w:rFonts w:ascii="Times New Roman"/>
                <w:sz w:val="18"/>
              </w:rPr>
              <w:t>38,348,394.04</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38,348,394.04</w:t>
            </w:r>
          </w:p>
        </w:tc>
      </w:tr>
    </w:tbl>
    <w:p>
      <w:pPr>
        <w:pStyle w:val="Heading5"/>
        <w:spacing w:line="270" w:lineRule="exact"/>
        <w:ind w:right="110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8"/>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1877"/>
        <w:gridCol w:w="1712"/>
        <w:gridCol w:w="1412"/>
        <w:gridCol w:w="1472"/>
        <w:gridCol w:w="1742"/>
        <w:gridCol w:w="1457"/>
      </w:tblGrid>
      <w:tr>
        <w:trPr>
          <w:trHeight w:val="960"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90" w:right="0"/>
              <w:jc w:val="left"/>
              <w:rPr>
                <w:rFonts w:ascii="宋体" w:hAnsi="宋体" w:cs="宋体" w:eastAsia="宋体" w:hint="default"/>
                <w:sz w:val="18"/>
                <w:szCs w:val="18"/>
              </w:rPr>
            </w:pPr>
            <w:r>
              <w:rPr>
                <w:rFonts w:ascii="宋体" w:hAnsi="宋体" w:cs="宋体" w:eastAsia="宋体" w:hint="default"/>
                <w:b/>
                <w:bCs/>
                <w:sz w:val="18"/>
                <w:szCs w:val="18"/>
              </w:rPr>
              <w:t>金融资产项目</w:t>
            </w:r>
            <w:r>
              <w:rPr>
                <w:rFonts w:ascii="宋体" w:hAnsi="宋体" w:cs="宋体" w:eastAsia="宋体" w:hint="default"/>
                <w:sz w:val="18"/>
                <w:szCs w:val="18"/>
              </w:rPr>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29" w:right="46"/>
              <w:jc w:val="center"/>
              <w:rPr>
                <w:rFonts w:ascii="宋体" w:hAnsi="宋体" w:cs="宋体" w:eastAsia="宋体" w:hint="default"/>
                <w:sz w:val="18"/>
                <w:szCs w:val="18"/>
              </w:rPr>
            </w:pPr>
            <w:r>
              <w:rPr>
                <w:rFonts w:ascii="宋体" w:hAnsi="宋体" w:cs="宋体" w:eastAsia="宋体" w:hint="default"/>
                <w:b/>
                <w:bCs/>
                <w:w w:val="95"/>
                <w:sz w:val="18"/>
                <w:szCs w:val="18"/>
              </w:rPr>
              <w:t>以公允价值计量且其</w:t>
            </w:r>
            <w:r>
              <w:rPr>
                <w:rFonts w:ascii="宋体" w:hAnsi="宋体" w:cs="宋体" w:eastAsia="宋体" w:hint="default"/>
                <w:b/>
                <w:bCs/>
                <w:spacing w:val="-20"/>
                <w:w w:val="95"/>
                <w:sz w:val="18"/>
                <w:szCs w:val="18"/>
              </w:rPr>
              <w:t> </w:t>
            </w:r>
            <w:r>
              <w:rPr>
                <w:rFonts w:ascii="宋体" w:hAnsi="宋体" w:cs="宋体" w:eastAsia="宋体" w:hint="default"/>
                <w:b/>
                <w:bCs/>
                <w:w w:val="95"/>
                <w:sz w:val="18"/>
                <w:szCs w:val="18"/>
              </w:rPr>
              <w:t>变动计入当期损益的</w:t>
            </w:r>
            <w:r>
              <w:rPr>
                <w:rFonts w:ascii="宋体" w:hAnsi="宋体" w:cs="宋体" w:eastAsia="宋体" w:hint="default"/>
                <w:b/>
                <w:bCs/>
                <w:spacing w:val="-20"/>
                <w:w w:val="95"/>
                <w:sz w:val="18"/>
                <w:szCs w:val="18"/>
              </w:rPr>
              <w:t> </w:t>
            </w:r>
            <w:r>
              <w:rPr>
                <w:rFonts w:ascii="宋体" w:hAnsi="宋体" w:cs="宋体" w:eastAsia="宋体" w:hint="default"/>
                <w:b/>
                <w:bCs/>
                <w:sz w:val="18"/>
                <w:szCs w:val="18"/>
              </w:rPr>
              <w:t>金融资产</w:t>
            </w:r>
            <w:r>
              <w:rPr>
                <w:rFonts w:ascii="宋体" w:hAnsi="宋体" w:cs="宋体" w:eastAsia="宋体" w:hint="default"/>
                <w:sz w:val="18"/>
                <w:szCs w:val="18"/>
              </w:rPr>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60" w:right="0"/>
              <w:jc w:val="left"/>
              <w:rPr>
                <w:rFonts w:ascii="宋体" w:hAnsi="宋体" w:cs="宋体" w:eastAsia="宋体" w:hint="default"/>
                <w:sz w:val="18"/>
                <w:szCs w:val="18"/>
              </w:rPr>
            </w:pPr>
            <w:r>
              <w:rPr>
                <w:rFonts w:ascii="宋体" w:hAnsi="宋体" w:cs="宋体" w:eastAsia="宋体" w:hint="default"/>
                <w:b/>
                <w:bCs/>
                <w:sz w:val="18"/>
                <w:szCs w:val="18"/>
              </w:rPr>
              <w:t>持有至到期投资</w:t>
            </w:r>
            <w:r>
              <w:rPr>
                <w:rFonts w:ascii="宋体" w:hAnsi="宋体" w:cs="宋体" w:eastAsia="宋体" w:hint="default"/>
                <w:sz w:val="18"/>
                <w:szCs w:val="18"/>
              </w:rPr>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b/>
                <w:bCs/>
                <w:sz w:val="18"/>
                <w:szCs w:val="18"/>
              </w:rPr>
              <w:t>贷款和应收款项</w:t>
            </w:r>
            <w:r>
              <w:rPr>
                <w:rFonts w:ascii="宋体" w:hAnsi="宋体" w:cs="宋体" w:eastAsia="宋体" w:hint="default"/>
                <w:sz w:val="18"/>
                <w:szCs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0" w:right="0"/>
              <w:jc w:val="left"/>
              <w:rPr>
                <w:rFonts w:ascii="宋体" w:hAnsi="宋体" w:cs="宋体" w:eastAsia="宋体" w:hint="default"/>
                <w:sz w:val="18"/>
                <w:szCs w:val="18"/>
              </w:rPr>
            </w:pPr>
            <w:r>
              <w:rPr>
                <w:rFonts w:ascii="宋体" w:hAnsi="宋体" w:cs="宋体" w:eastAsia="宋体" w:hint="default"/>
                <w:b/>
                <w:bCs/>
                <w:sz w:val="18"/>
                <w:szCs w:val="18"/>
              </w:rPr>
              <w:t>可供出售金融资产</w:t>
            </w:r>
            <w:r>
              <w:rPr>
                <w:rFonts w:ascii="宋体" w:hAnsi="宋体" w:cs="宋体" w:eastAsia="宋体" w:hint="default"/>
                <w:sz w:val="18"/>
                <w:szCs w:val="18"/>
              </w:rPr>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46"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12"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662,539,376.26</w:t>
            </w:r>
          </w:p>
        </w:tc>
        <w:tc>
          <w:tcPr>
            <w:tcW w:w="1742"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662,539,376.26</w:t>
            </w:r>
          </w:p>
        </w:tc>
      </w:tr>
      <w:tr>
        <w:trPr>
          <w:trHeight w:val="345"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12"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1,313,190.00</w:t>
            </w:r>
          </w:p>
        </w:tc>
        <w:tc>
          <w:tcPr>
            <w:tcW w:w="1742"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1,313,190.00</w:t>
            </w:r>
          </w:p>
        </w:tc>
      </w:tr>
      <w:tr>
        <w:trPr>
          <w:trHeight w:val="346"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12"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97,244,483.23</w:t>
            </w:r>
          </w:p>
        </w:tc>
        <w:tc>
          <w:tcPr>
            <w:tcW w:w="1742"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97,244,483.23</w:t>
            </w:r>
          </w:p>
        </w:tc>
      </w:tr>
      <w:tr>
        <w:trPr>
          <w:trHeight w:val="345"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12"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8,836,478.76</w:t>
            </w:r>
          </w:p>
        </w:tc>
        <w:tc>
          <w:tcPr>
            <w:tcW w:w="1742"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8,836,478.76</w:t>
            </w:r>
          </w:p>
        </w:tc>
      </w:tr>
      <w:tr>
        <w:trPr>
          <w:trHeight w:val="330"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712"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472"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690" w:right="0"/>
              <w:jc w:val="left"/>
              <w:rPr>
                <w:rFonts w:ascii="Times New Roman" w:hAnsi="Times New Roman" w:cs="Times New Roman" w:eastAsia="Times New Roman" w:hint="default"/>
                <w:sz w:val="18"/>
                <w:szCs w:val="18"/>
              </w:rPr>
            </w:pPr>
            <w:r>
              <w:rPr>
                <w:rFonts w:ascii="Times New Roman"/>
                <w:sz w:val="18"/>
              </w:rPr>
              <w:t>20,909,091.00</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20,909,091.00</w:t>
            </w:r>
          </w:p>
        </w:tc>
      </w:tr>
      <w:tr>
        <w:trPr>
          <w:trHeight w:val="346"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712"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541,000,000.00</w:t>
            </w:r>
          </w:p>
        </w:tc>
        <w:tc>
          <w:tcPr>
            <w:tcW w:w="1742"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541,000,000.00</w:t>
            </w:r>
          </w:p>
        </w:tc>
      </w:tr>
    </w:tbl>
    <w:p>
      <w:pPr>
        <w:pStyle w:val="BodyText"/>
        <w:spacing w:line="240" w:lineRule="auto" w:before="14"/>
        <w:ind w:left="561" w:right="1100"/>
        <w:jc w:val="left"/>
      </w:pPr>
      <w:r>
        <w:rPr>
          <w:rFonts w:ascii="Times New Roman" w:hAnsi="Times New Roman" w:cs="Times New Roman" w:eastAsia="Times New Roman" w:hint="default"/>
        </w:rPr>
        <w:t>2.</w:t>
      </w:r>
      <w:r>
        <w:rPr/>
        <w:t>资产负债表日的各类金融负债的账面价值</w:t>
      </w:r>
    </w:p>
    <w:p>
      <w:pPr>
        <w:spacing w:line="240" w:lineRule="auto" w:before="3"/>
        <w:rPr>
          <w:rFonts w:ascii="宋体" w:hAnsi="宋体" w:cs="宋体" w:eastAsia="宋体" w:hint="default"/>
          <w:sz w:val="14"/>
          <w:szCs w:val="14"/>
        </w:rPr>
      </w:pPr>
    </w:p>
    <w:p>
      <w:pPr>
        <w:pStyle w:val="BodyText"/>
        <w:spacing w:line="240" w:lineRule="auto"/>
        <w:ind w:left="561" w:right="110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1"/>
        <w:rPr>
          <w:rFonts w:ascii="宋体" w:hAnsi="宋体" w:cs="宋体" w:eastAsia="宋体"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4010"/>
        <w:gridCol w:w="2268"/>
        <w:gridCol w:w="1712"/>
        <w:gridCol w:w="1802"/>
      </w:tblGrid>
      <w:tr>
        <w:trPr>
          <w:trHeight w:val="330" w:hRule="exact"/>
        </w:trPr>
        <w:tc>
          <w:tcPr>
            <w:tcW w:w="4010"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30"/>
              <w:jc w:val="center"/>
              <w:rPr>
                <w:rFonts w:ascii="宋体" w:hAnsi="宋体" w:cs="宋体" w:eastAsia="宋体" w:hint="default"/>
                <w:sz w:val="18"/>
                <w:szCs w:val="18"/>
              </w:rPr>
            </w:pPr>
            <w:r>
              <w:rPr>
                <w:rFonts w:ascii="宋体" w:hAnsi="宋体" w:cs="宋体" w:eastAsia="宋体" w:hint="default"/>
                <w:b/>
                <w:bCs/>
                <w:sz w:val="18"/>
                <w:szCs w:val="18"/>
              </w:rPr>
              <w:t>金融负债项目</w:t>
            </w:r>
            <w:r>
              <w:rPr>
                <w:rFonts w:ascii="宋体" w:hAnsi="宋体" w:cs="宋体" w:eastAsia="宋体" w:hint="default"/>
                <w:sz w:val="18"/>
                <w:szCs w:val="18"/>
              </w:rPr>
            </w:r>
          </w:p>
        </w:tc>
        <w:tc>
          <w:tcPr>
            <w:tcW w:w="3980" w:type="dxa"/>
            <w:gridSpan w:val="2"/>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
        </w:tc>
      </w:tr>
      <w:tr>
        <w:trPr>
          <w:trHeight w:val="661" w:hRule="exact"/>
        </w:trPr>
        <w:tc>
          <w:tcPr>
            <w:tcW w:w="4010" w:type="dxa"/>
            <w:vMerge/>
            <w:tcBorders>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14"/>
              <w:ind w:left="210" w:right="46" w:hanging="180"/>
              <w:jc w:val="left"/>
              <w:rPr>
                <w:rFonts w:ascii="宋体" w:hAnsi="宋体" w:cs="宋体" w:eastAsia="宋体" w:hint="default"/>
                <w:sz w:val="18"/>
                <w:szCs w:val="18"/>
              </w:rPr>
            </w:pPr>
            <w:r>
              <w:rPr>
                <w:rFonts w:ascii="宋体" w:hAnsi="宋体" w:cs="宋体" w:eastAsia="宋体" w:hint="default"/>
                <w:b/>
                <w:bCs/>
                <w:sz w:val="18"/>
                <w:szCs w:val="18"/>
              </w:rPr>
              <w:t>以公允价值计量且其变动计</w:t>
            </w:r>
            <w:r>
              <w:rPr>
                <w:rFonts w:ascii="宋体" w:hAnsi="宋体" w:cs="宋体" w:eastAsia="宋体" w:hint="default"/>
                <w:b/>
                <w:bCs/>
                <w:spacing w:val="-86"/>
                <w:sz w:val="18"/>
                <w:szCs w:val="18"/>
              </w:rPr>
              <w:t> </w:t>
            </w:r>
            <w:r>
              <w:rPr>
                <w:rFonts w:ascii="宋体" w:hAnsi="宋体" w:cs="宋体" w:eastAsia="宋体" w:hint="default"/>
                <w:b/>
                <w:bCs/>
                <w:spacing w:val="-86"/>
                <w:sz w:val="18"/>
                <w:szCs w:val="18"/>
              </w:rPr>
            </w:r>
            <w:r>
              <w:rPr>
                <w:rFonts w:ascii="宋体" w:hAnsi="宋体" w:cs="宋体" w:eastAsia="宋体" w:hint="default"/>
                <w:b/>
                <w:bCs/>
                <w:sz w:val="18"/>
                <w:szCs w:val="18"/>
              </w:rPr>
              <w:t>入当期损益的金融负债</w:t>
            </w:r>
            <w:r>
              <w:rPr>
                <w:rFonts w:ascii="宋体" w:hAnsi="宋体" w:cs="宋体" w:eastAsia="宋体" w:hint="default"/>
                <w:sz w:val="18"/>
                <w:szCs w:val="18"/>
              </w:rPr>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00" w:right="0"/>
              <w:jc w:val="left"/>
              <w:rPr>
                <w:rFonts w:ascii="宋体" w:hAnsi="宋体" w:cs="宋体" w:eastAsia="宋体" w:hint="default"/>
                <w:sz w:val="18"/>
                <w:szCs w:val="18"/>
              </w:rPr>
            </w:pPr>
            <w:r>
              <w:rPr>
                <w:rFonts w:ascii="宋体" w:hAnsi="宋体" w:cs="宋体" w:eastAsia="宋体" w:hint="default"/>
                <w:b/>
                <w:bCs/>
                <w:sz w:val="18"/>
                <w:szCs w:val="18"/>
              </w:rPr>
              <w:t>其他金融负债</w:t>
            </w:r>
            <w:r>
              <w:rPr>
                <w:rFonts w:ascii="宋体" w:hAnsi="宋体" w:cs="宋体" w:eastAsia="宋体" w:hint="default"/>
                <w:sz w:val="18"/>
                <w:szCs w:val="18"/>
              </w:rPr>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2"/>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46" w:hRule="exact"/>
        </w:trPr>
        <w:tc>
          <w:tcPr>
            <w:tcW w:w="4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68"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63,434,870.38</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63,434,870.38</w:t>
            </w:r>
          </w:p>
        </w:tc>
      </w:tr>
      <w:tr>
        <w:trPr>
          <w:trHeight w:val="330" w:hRule="exact"/>
        </w:trPr>
        <w:tc>
          <w:tcPr>
            <w:tcW w:w="40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68"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
              <w:jc w:val="right"/>
              <w:rPr>
                <w:rFonts w:ascii="Times New Roman" w:hAnsi="Times New Roman" w:cs="Times New Roman" w:eastAsia="Times New Roman" w:hint="default"/>
                <w:sz w:val="18"/>
                <w:szCs w:val="18"/>
              </w:rPr>
            </w:pPr>
            <w:r>
              <w:rPr>
                <w:rFonts w:ascii="Times New Roman"/>
                <w:sz w:val="18"/>
              </w:rPr>
              <w:t>3,222,167.38</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3,222,167.38</w:t>
            </w:r>
          </w:p>
        </w:tc>
      </w:tr>
    </w:tbl>
    <w:p>
      <w:pPr>
        <w:pStyle w:val="Heading5"/>
        <w:spacing w:line="271" w:lineRule="exact"/>
        <w:ind w:right="110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8"/>
        <w:rPr>
          <w:rFonts w:ascii="宋体" w:hAnsi="宋体" w:cs="宋体" w:eastAsia="宋体" w:hint="default"/>
          <w:sz w:val="12"/>
          <w:szCs w:val="12"/>
        </w:rPr>
      </w:pPr>
    </w:p>
    <w:tbl>
      <w:tblPr>
        <w:tblW w:w="0" w:type="auto"/>
        <w:jc w:val="left"/>
        <w:tblInd w:w="126" w:type="dxa"/>
        <w:tblLayout w:type="fixed"/>
        <w:tblCellMar>
          <w:top w:w="0" w:type="dxa"/>
          <w:left w:w="0" w:type="dxa"/>
          <w:bottom w:w="0" w:type="dxa"/>
          <w:right w:w="0" w:type="dxa"/>
        </w:tblCellMar>
        <w:tblLook w:val="01E0"/>
      </w:tblPr>
      <w:tblGrid>
        <w:gridCol w:w="4010"/>
        <w:gridCol w:w="2268"/>
        <w:gridCol w:w="1712"/>
        <w:gridCol w:w="1802"/>
      </w:tblGrid>
      <w:tr>
        <w:trPr>
          <w:trHeight w:val="346" w:hRule="exact"/>
        </w:trPr>
        <w:tc>
          <w:tcPr>
            <w:tcW w:w="4010"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30"/>
              <w:jc w:val="center"/>
              <w:rPr>
                <w:rFonts w:ascii="宋体" w:hAnsi="宋体" w:cs="宋体" w:eastAsia="宋体" w:hint="default"/>
                <w:sz w:val="18"/>
                <w:szCs w:val="18"/>
              </w:rPr>
            </w:pPr>
            <w:r>
              <w:rPr>
                <w:rFonts w:ascii="宋体" w:hAnsi="宋体" w:cs="宋体" w:eastAsia="宋体" w:hint="default"/>
                <w:b/>
                <w:bCs/>
                <w:sz w:val="18"/>
                <w:szCs w:val="18"/>
              </w:rPr>
              <w:t>金融负债项目</w:t>
            </w:r>
            <w:r>
              <w:rPr>
                <w:rFonts w:ascii="宋体" w:hAnsi="宋体" w:cs="宋体" w:eastAsia="宋体" w:hint="default"/>
                <w:sz w:val="18"/>
                <w:szCs w:val="18"/>
              </w:rPr>
            </w:r>
          </w:p>
        </w:tc>
        <w:tc>
          <w:tcPr>
            <w:tcW w:w="3980" w:type="dxa"/>
            <w:gridSpan w:val="2"/>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
        </w:tc>
      </w:tr>
      <w:tr>
        <w:trPr>
          <w:trHeight w:val="645" w:hRule="exact"/>
        </w:trPr>
        <w:tc>
          <w:tcPr>
            <w:tcW w:w="4010" w:type="dxa"/>
            <w:vMerge/>
            <w:tcBorders>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210" w:right="46" w:hanging="180"/>
              <w:jc w:val="left"/>
              <w:rPr>
                <w:rFonts w:ascii="宋体" w:hAnsi="宋体" w:cs="宋体" w:eastAsia="宋体" w:hint="default"/>
                <w:sz w:val="18"/>
                <w:szCs w:val="18"/>
              </w:rPr>
            </w:pPr>
            <w:r>
              <w:rPr>
                <w:rFonts w:ascii="宋体" w:hAnsi="宋体" w:cs="宋体" w:eastAsia="宋体" w:hint="default"/>
                <w:b/>
                <w:bCs/>
                <w:sz w:val="18"/>
                <w:szCs w:val="18"/>
              </w:rPr>
              <w:t>以公允价值计量且其变动计</w:t>
            </w:r>
            <w:r>
              <w:rPr>
                <w:rFonts w:ascii="宋体" w:hAnsi="宋体" w:cs="宋体" w:eastAsia="宋体" w:hint="default"/>
                <w:b/>
                <w:bCs/>
                <w:spacing w:val="-86"/>
                <w:sz w:val="18"/>
                <w:szCs w:val="18"/>
              </w:rPr>
              <w:t> </w:t>
            </w:r>
            <w:r>
              <w:rPr>
                <w:rFonts w:ascii="宋体" w:hAnsi="宋体" w:cs="宋体" w:eastAsia="宋体" w:hint="default"/>
                <w:b/>
                <w:bCs/>
                <w:spacing w:val="-86"/>
                <w:sz w:val="18"/>
                <w:szCs w:val="18"/>
              </w:rPr>
            </w:r>
            <w:r>
              <w:rPr>
                <w:rFonts w:ascii="宋体" w:hAnsi="宋体" w:cs="宋体" w:eastAsia="宋体" w:hint="default"/>
                <w:b/>
                <w:bCs/>
                <w:sz w:val="18"/>
                <w:szCs w:val="18"/>
              </w:rPr>
              <w:t>入当期损益的金融负债</w:t>
            </w:r>
            <w:r>
              <w:rPr>
                <w:rFonts w:ascii="宋体" w:hAnsi="宋体" w:cs="宋体" w:eastAsia="宋体" w:hint="default"/>
                <w:sz w:val="18"/>
                <w:szCs w:val="18"/>
              </w:rPr>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00" w:right="0"/>
              <w:jc w:val="left"/>
              <w:rPr>
                <w:rFonts w:ascii="宋体" w:hAnsi="宋体" w:cs="宋体" w:eastAsia="宋体" w:hint="default"/>
                <w:sz w:val="18"/>
                <w:szCs w:val="18"/>
              </w:rPr>
            </w:pPr>
            <w:r>
              <w:rPr>
                <w:rFonts w:ascii="宋体" w:hAnsi="宋体" w:cs="宋体" w:eastAsia="宋体" w:hint="default"/>
                <w:b/>
                <w:bCs/>
                <w:sz w:val="18"/>
                <w:szCs w:val="18"/>
              </w:rPr>
              <w:t>其他金融负债</w:t>
            </w:r>
            <w:r>
              <w:rPr>
                <w:rFonts w:ascii="宋体" w:hAnsi="宋体" w:cs="宋体" w:eastAsia="宋体" w:hint="default"/>
                <w:sz w:val="18"/>
                <w:szCs w:val="18"/>
              </w:rPr>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2"/>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45" w:hRule="exact"/>
        </w:trPr>
        <w:tc>
          <w:tcPr>
            <w:tcW w:w="4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68"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82,563,306.90</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82,563,306.90</w:t>
            </w:r>
          </w:p>
        </w:tc>
      </w:tr>
      <w:tr>
        <w:trPr>
          <w:trHeight w:val="345" w:hRule="exact"/>
        </w:trPr>
        <w:tc>
          <w:tcPr>
            <w:tcW w:w="4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r>
              <w:rPr>
                <w:rFonts w:ascii="宋体" w:hAnsi="宋体" w:cs="宋体" w:eastAsia="宋体" w:hint="default"/>
                <w:i/>
                <w:sz w:val="19"/>
                <w:szCs w:val="19"/>
              </w:rPr>
              <w:t>其他应付款</w:t>
            </w:r>
            <w:r>
              <w:rPr>
                <w:rFonts w:ascii="宋体" w:hAnsi="宋体" w:cs="宋体" w:eastAsia="宋体" w:hint="default"/>
                <w:sz w:val="19"/>
                <w:szCs w:val="19"/>
              </w:rPr>
            </w:r>
          </w:p>
        </w:tc>
        <w:tc>
          <w:tcPr>
            <w:tcW w:w="2268"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6,094,845.83</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6,094,845.83</w:t>
            </w:r>
          </w:p>
        </w:tc>
      </w:tr>
      <w:tr>
        <w:trPr>
          <w:trHeight w:val="330" w:hRule="exact"/>
        </w:trPr>
        <w:tc>
          <w:tcPr>
            <w:tcW w:w="401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0"/>
              <w:jc w:val="left"/>
              <w:rPr>
                <w:rFonts w:ascii="宋体" w:hAnsi="宋体" w:cs="宋体" w:eastAsia="宋体" w:hint="default"/>
                <w:sz w:val="19"/>
                <w:szCs w:val="19"/>
              </w:rPr>
            </w:pPr>
            <w:r>
              <w:rPr>
                <w:rFonts w:ascii="宋体" w:hAnsi="宋体" w:cs="宋体" w:eastAsia="宋体" w:hint="default"/>
                <w:i/>
                <w:sz w:val="19"/>
                <w:szCs w:val="19"/>
              </w:rPr>
              <w:t>一年内到期的非流动负债</w:t>
            </w:r>
            <w:r>
              <w:rPr>
                <w:rFonts w:ascii="宋体" w:hAnsi="宋体" w:cs="宋体" w:eastAsia="宋体" w:hint="default"/>
                <w:sz w:val="19"/>
                <w:szCs w:val="19"/>
              </w:rPr>
            </w:r>
          </w:p>
        </w:tc>
        <w:tc>
          <w:tcPr>
            <w:tcW w:w="2268"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80,514,840.00</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80,514,840.00</w:t>
            </w:r>
          </w:p>
        </w:tc>
      </w:tr>
    </w:tbl>
    <w:p>
      <w:pPr>
        <w:pStyle w:val="BodyText"/>
        <w:spacing w:line="235" w:lineRule="exact"/>
        <w:ind w:left="561" w:right="1100"/>
        <w:jc w:val="left"/>
      </w:pPr>
      <w:r>
        <w:rPr/>
        <w:t>（二）信用风险</w:t>
      </w:r>
    </w:p>
    <w:p>
      <w:pPr>
        <w:spacing w:line="240" w:lineRule="auto" w:before="6"/>
        <w:rPr>
          <w:rFonts w:ascii="宋体" w:hAnsi="宋体" w:cs="宋体" w:eastAsia="宋体" w:hint="default"/>
          <w:sz w:val="16"/>
          <w:szCs w:val="16"/>
        </w:rPr>
      </w:pPr>
    </w:p>
    <w:p>
      <w:pPr>
        <w:pStyle w:val="BodyText"/>
        <w:spacing w:line="288" w:lineRule="auto"/>
        <w:ind w:right="1100" w:firstLine="420"/>
        <w:jc w:val="left"/>
      </w:pPr>
      <w:r>
        <w:rPr/>
        <w:t>信用风险指金融工具的一方不履行义务，造成另一方发生财务损失的风险，截至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日，可能引起本公司财 务损失的最大信用风险敞口主要来自于合同另一方未能履行义务而导致本公司金融资产产生的损失。</w:t>
      </w:r>
    </w:p>
    <w:p>
      <w:pPr>
        <w:spacing w:line="240" w:lineRule="auto" w:before="7"/>
        <w:rPr>
          <w:rFonts w:ascii="宋体" w:hAnsi="宋体" w:cs="宋体" w:eastAsia="宋体" w:hint="default"/>
          <w:sz w:val="12"/>
          <w:szCs w:val="12"/>
        </w:rPr>
      </w:pPr>
    </w:p>
    <w:p>
      <w:pPr>
        <w:pStyle w:val="BodyText"/>
        <w:spacing w:line="314" w:lineRule="auto"/>
        <w:ind w:right="1136" w:firstLine="420"/>
        <w:jc w:val="both"/>
      </w:pPr>
      <w:r>
        <w:rPr/>
        <w:t>本公司的交易对象，多为信誉良好的银行、大型公司，同时为降低信用风险，本公司建立了信用审批机制，对所有客 </w:t>
      </w:r>
      <w:r>
        <w:rPr>
          <w:spacing w:val="-2"/>
        </w:rPr>
        <w:t>户进行信用评级。此外，本公司于每个资产负债表日对应收款项的回收情况进行审核，以确保就无法回收的款项计提充分的</w:t>
      </w:r>
      <w:r>
        <w:rPr>
          <w:spacing w:val="-75"/>
        </w:rPr>
        <w:t> </w:t>
      </w:r>
      <w:r>
        <w:rPr>
          <w:spacing w:val="-75"/>
        </w:rPr>
      </w:r>
      <w:r>
        <w:rPr/>
        <w:t>坏账准备。因此，本公司管理层认为本公司所承担的信用风险已经大为降低。</w:t>
      </w:r>
    </w:p>
    <w:p>
      <w:pPr>
        <w:pStyle w:val="BodyText"/>
        <w:spacing w:line="240" w:lineRule="auto" w:before="144"/>
        <w:ind w:left="561" w:right="1100"/>
        <w:jc w:val="left"/>
      </w:pPr>
      <w:r>
        <w:rPr/>
        <w:t>本公司的流动资金存放在信用评级较高的银行，故流动资金的信用风险较低。</w:t>
      </w:r>
    </w:p>
    <w:p>
      <w:pPr>
        <w:spacing w:line="240" w:lineRule="auto" w:before="4"/>
        <w:rPr>
          <w:rFonts w:ascii="宋体" w:hAnsi="宋体" w:cs="宋体" w:eastAsia="宋体" w:hint="default"/>
          <w:sz w:val="15"/>
          <w:szCs w:val="15"/>
        </w:rPr>
      </w:pPr>
    </w:p>
    <w:p>
      <w:pPr>
        <w:pStyle w:val="BodyText"/>
        <w:spacing w:line="240" w:lineRule="auto"/>
        <w:ind w:left="561" w:right="1100"/>
        <w:jc w:val="left"/>
      </w:pPr>
      <w:r>
        <w:rPr/>
        <w:t>（三）流动风险</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before="44"/>
        <w:ind w:right="1100" w:firstLine="420"/>
        <w:jc w:val="left"/>
      </w:pPr>
      <w:r>
        <w:rPr/>
        <w:t>流动风险是指企业在履行以交付现金或其他金融资产的方式结算的义务时发生资金短缺的风险。管理流动风险时，本 公司保持管理层认为充分的现金及现金等价物并对其进行监控，以满足本公司经营需要，并降低现金流量波动的影响。</w:t>
      </w:r>
    </w:p>
    <w:p>
      <w:pPr>
        <w:pStyle w:val="BodyText"/>
        <w:spacing w:line="240" w:lineRule="auto" w:before="138"/>
        <w:ind w:left="561" w:right="1100"/>
        <w:jc w:val="left"/>
      </w:pPr>
      <w:r>
        <w:rPr/>
        <w:t>（四）市场风险</w:t>
      </w:r>
    </w:p>
    <w:p>
      <w:pPr>
        <w:spacing w:line="240" w:lineRule="auto" w:before="3"/>
        <w:rPr>
          <w:rFonts w:ascii="宋体" w:hAnsi="宋体" w:cs="宋体" w:eastAsia="宋体" w:hint="default"/>
          <w:sz w:val="13"/>
          <w:szCs w:val="13"/>
        </w:rPr>
      </w:pPr>
    </w:p>
    <w:p>
      <w:pPr>
        <w:spacing w:line="304" w:lineRule="auto" w:before="0"/>
        <w:ind w:left="141" w:right="1029" w:firstLine="420"/>
        <w:jc w:val="left"/>
        <w:rPr>
          <w:rFonts w:ascii="宋体" w:hAnsi="宋体" w:cs="宋体" w:eastAsia="宋体" w:hint="default"/>
          <w:sz w:val="19"/>
          <w:szCs w:val="19"/>
        </w:rPr>
      </w:pPr>
      <w:r>
        <w:rPr>
          <w:rFonts w:ascii="宋体" w:hAnsi="宋体" w:cs="宋体" w:eastAsia="宋体" w:hint="default"/>
          <w:i/>
          <w:spacing w:val="-2"/>
          <w:w w:val="95"/>
          <w:sz w:val="19"/>
          <w:szCs w:val="19"/>
        </w:rPr>
        <w:t>市场风险，是指金融工具的公允价值或未来现金流量因市场价格变动而发生波动的风险。市场风险主要包括利率风险、</w:t>
      </w:r>
      <w:r>
        <w:rPr>
          <w:rFonts w:ascii="宋体" w:hAnsi="宋体" w:cs="宋体" w:eastAsia="宋体" w:hint="default"/>
          <w:i/>
          <w:w w:val="94"/>
          <w:sz w:val="19"/>
          <w:szCs w:val="19"/>
        </w:rPr>
        <w:t> </w:t>
      </w:r>
      <w:r>
        <w:rPr>
          <w:rFonts w:ascii="宋体" w:hAnsi="宋体" w:cs="宋体" w:eastAsia="宋体" w:hint="default"/>
          <w:i/>
          <w:sz w:val="19"/>
          <w:szCs w:val="19"/>
        </w:rPr>
        <w:t>外汇风险。</w:t>
      </w:r>
      <w:r>
        <w:rPr>
          <w:rFonts w:ascii="宋体" w:hAnsi="宋体" w:cs="宋体" w:eastAsia="宋体" w:hint="default"/>
          <w:sz w:val="19"/>
          <w:szCs w:val="19"/>
        </w:rPr>
      </w:r>
    </w:p>
    <w:p>
      <w:pPr>
        <w:pStyle w:val="BodyText"/>
        <w:spacing w:line="405" w:lineRule="auto" w:before="161"/>
        <w:ind w:left="561" w:right="3849"/>
        <w:jc w:val="left"/>
      </w:pPr>
      <w:r>
        <w:rPr>
          <w:rFonts w:ascii="Times New Roman" w:hAnsi="Times New Roman" w:cs="Times New Roman" w:eastAsia="Times New Roman" w:hint="default"/>
        </w:rPr>
        <w:t>1.</w:t>
      </w:r>
      <w:r>
        <w:rPr/>
        <w:t>利率风险 截至报告期末，本公司无银行借款及其他浮动利率金融工具，暂不存在利率风险。</w:t>
      </w:r>
    </w:p>
    <w:p>
      <w:pPr>
        <w:pStyle w:val="BodyText"/>
        <w:spacing w:line="240" w:lineRule="auto" w:before="91"/>
        <w:ind w:left="561" w:right="1100"/>
        <w:jc w:val="left"/>
      </w:pPr>
      <w:r>
        <w:rPr>
          <w:rFonts w:ascii="Times New Roman" w:hAnsi="Times New Roman" w:cs="Times New Roman" w:eastAsia="Times New Roman" w:hint="default"/>
        </w:rPr>
        <w:t>2.</w:t>
      </w:r>
      <w:r>
        <w:rPr/>
        <w:t>汇率风险</w:t>
      </w:r>
    </w:p>
    <w:p>
      <w:pPr>
        <w:spacing w:line="240" w:lineRule="auto" w:before="1"/>
        <w:rPr>
          <w:rFonts w:ascii="宋体" w:hAnsi="宋体" w:cs="宋体" w:eastAsia="宋体" w:hint="default"/>
          <w:sz w:val="13"/>
          <w:szCs w:val="13"/>
        </w:rPr>
      </w:pPr>
    </w:p>
    <w:p>
      <w:pPr>
        <w:pStyle w:val="BodyText"/>
        <w:spacing w:line="288" w:lineRule="auto"/>
        <w:ind w:right="1124" w:firstLine="420"/>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日，本公司外币资产及负债余额详见本节七、（五十一）</w:t>
      </w:r>
      <w:r>
        <w:rPr>
          <w:rFonts w:ascii="Times New Roman" w:hAnsi="Times New Roman" w:cs="Times New Roman" w:eastAsia="Times New Roman" w:hint="default"/>
        </w:rPr>
        <w:t>“</w:t>
      </w:r>
      <w:r>
        <w:rPr/>
        <w:t>外币货币性项目</w:t>
      </w:r>
      <w:r>
        <w:rPr>
          <w:rFonts w:ascii="Times New Roman" w:hAnsi="Times New Roman" w:cs="Times New Roman" w:eastAsia="Times New Roman" w:hint="default"/>
        </w:rPr>
        <w:t>”,</w:t>
      </w:r>
      <w:r>
        <w:rPr/>
        <w:t>外币货币性项目产生的 外汇风险可能对本公司的经营业绩产生影响。</w:t>
      </w:r>
    </w:p>
    <w:p>
      <w:pPr>
        <w:spacing w:line="240" w:lineRule="auto" w:before="3"/>
        <w:rPr>
          <w:rFonts w:ascii="宋体" w:hAnsi="宋体" w:cs="宋体" w:eastAsia="宋体" w:hint="default"/>
          <w:sz w:val="23"/>
          <w:szCs w:val="23"/>
        </w:rPr>
      </w:pPr>
    </w:p>
    <w:p>
      <w:pPr>
        <w:pStyle w:val="Heading2"/>
        <w:spacing w:line="240" w:lineRule="auto"/>
        <w:ind w:right="1100"/>
        <w:jc w:val="left"/>
        <w:rPr>
          <w:b w:val="0"/>
          <w:bCs w:val="0"/>
        </w:rPr>
      </w:pPr>
      <w:bookmarkStart w:name="十一、公允价值的披露" w:id="325"/>
      <w:bookmarkEnd w:id="325"/>
      <w:r>
        <w:rPr>
          <w:b w:val="0"/>
          <w:bCs w:val="0"/>
        </w:rPr>
      </w:r>
      <w:r>
        <w:rPr/>
        <w:t>十一、公允价值的披露</w:t>
      </w:r>
      <w:r>
        <w:rPr>
          <w:b w:val="0"/>
          <w:bCs w:val="0"/>
        </w:rPr>
      </w:r>
    </w:p>
    <w:p>
      <w:pPr>
        <w:spacing w:line="240" w:lineRule="auto" w:before="9"/>
        <w:rPr>
          <w:rFonts w:ascii="宋体" w:hAnsi="宋体" w:cs="宋体" w:eastAsia="宋体" w:hint="default"/>
          <w:b/>
          <w:bCs/>
          <w:sz w:val="25"/>
          <w:szCs w:val="25"/>
        </w:rPr>
      </w:pPr>
    </w:p>
    <w:p>
      <w:pPr>
        <w:pStyle w:val="Heading4"/>
        <w:spacing w:line="240" w:lineRule="auto"/>
        <w:ind w:right="1100"/>
        <w:jc w:val="left"/>
        <w:rPr>
          <w:b w:val="0"/>
          <w:bCs w:val="0"/>
        </w:rPr>
      </w:pPr>
      <w:bookmarkStart w:name="1、以公允价值计量的资产和负债的期末公允价值" w:id="326"/>
      <w:bookmarkEnd w:id="326"/>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990"/>
        <w:gridCol w:w="1832"/>
        <w:gridCol w:w="1923"/>
        <w:gridCol w:w="1907"/>
        <w:gridCol w:w="1922"/>
      </w:tblGrid>
      <w:tr>
        <w:trPr>
          <w:trHeight w:val="405" w:hRule="exact"/>
        </w:trPr>
        <w:tc>
          <w:tcPr>
            <w:tcW w:w="199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37"/>
              <w:jc w:val="center"/>
              <w:rPr>
                <w:rFonts w:ascii="宋体" w:hAnsi="宋体" w:cs="宋体" w:eastAsia="宋体" w:hint="default"/>
                <w:sz w:val="18"/>
                <w:szCs w:val="18"/>
              </w:rPr>
            </w:pPr>
            <w:r>
              <w:rPr>
                <w:rFonts w:ascii="宋体" w:hAnsi="宋体" w:cs="宋体" w:eastAsia="宋体" w:hint="default"/>
                <w:sz w:val="18"/>
                <w:szCs w:val="18"/>
              </w:rPr>
              <w:t>项目</w:t>
            </w:r>
          </w:p>
        </w:tc>
        <w:tc>
          <w:tcPr>
            <w:tcW w:w="7584"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58" w:hRule="exact"/>
        </w:trPr>
        <w:tc>
          <w:tcPr>
            <w:tcW w:w="1990" w:type="dxa"/>
            <w:vMerge/>
            <w:tcBorders>
              <w:left w:val="single" w:sz="6" w:space="0" w:color="000000"/>
              <w:right w:val="single" w:sz="6" w:space="0" w:color="000000"/>
            </w:tcBorders>
            <w:shd w:val="clear" w:color="auto" w:fill="D2D2D2"/>
          </w:tcPr>
          <w:p>
            <w:pPr/>
          </w:p>
        </w:tc>
        <w:tc>
          <w:tcPr>
            <w:tcW w:w="1832"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5"/>
              <w:ind w:left="811" w:right="106"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23" w:type="dxa"/>
            <w:tcBorders>
              <w:top w:val="single" w:sz="6" w:space="0" w:color="000000"/>
              <w:left w:val="single" w:sz="6" w:space="0" w:color="000000"/>
              <w:bottom w:val="nil" w:sz="6" w:space="0" w:color="auto"/>
              <w:right w:val="single" w:sz="6" w:space="0" w:color="000000"/>
            </w:tcBorders>
            <w:shd w:val="clear" w:color="auto" w:fill="D2D2D2"/>
          </w:tcPr>
          <w:p>
            <w:pPr/>
          </w:p>
        </w:tc>
        <w:tc>
          <w:tcPr>
            <w:tcW w:w="1907" w:type="dxa"/>
            <w:tcBorders>
              <w:top w:val="single" w:sz="6" w:space="0" w:color="000000"/>
              <w:left w:val="single" w:sz="6" w:space="0" w:color="000000"/>
              <w:bottom w:val="nil" w:sz="6" w:space="0" w:color="auto"/>
              <w:right w:val="single" w:sz="6" w:space="0" w:color="000000"/>
            </w:tcBorders>
            <w:shd w:val="clear" w:color="auto" w:fill="D2D2D2"/>
          </w:tcPr>
          <w:p>
            <w:pPr/>
          </w:p>
        </w:tc>
        <w:tc>
          <w:tcPr>
            <w:tcW w:w="1922"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0" w:hRule="exact"/>
        </w:trPr>
        <w:tc>
          <w:tcPr>
            <w:tcW w:w="1990" w:type="dxa"/>
            <w:vMerge/>
            <w:tcBorders>
              <w:left w:val="single" w:sz="6" w:space="0" w:color="000000"/>
              <w:right w:val="single" w:sz="6" w:space="0" w:color="000000"/>
            </w:tcBorders>
            <w:shd w:val="clear" w:color="auto" w:fill="D2D2D2"/>
          </w:tcPr>
          <w:p>
            <w:pPr/>
          </w:p>
        </w:tc>
        <w:tc>
          <w:tcPr>
            <w:tcW w:w="1832" w:type="dxa"/>
            <w:vMerge/>
            <w:tcBorders>
              <w:left w:val="single" w:sz="6" w:space="0" w:color="000000"/>
              <w:right w:val="single" w:sz="6" w:space="0" w:color="000000"/>
            </w:tcBorders>
            <w:shd w:val="clear" w:color="auto" w:fill="D2D2D2"/>
          </w:tcPr>
          <w:p>
            <w:pPr/>
          </w:p>
        </w:tc>
        <w:tc>
          <w:tcPr>
            <w:tcW w:w="192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0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45"/>
              <w:jc w:val="righ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73" w:hRule="exact"/>
        </w:trPr>
        <w:tc>
          <w:tcPr>
            <w:tcW w:w="1990" w:type="dxa"/>
            <w:vMerge/>
            <w:tcBorders>
              <w:left w:val="single" w:sz="6" w:space="0" w:color="000000"/>
              <w:bottom w:val="single" w:sz="6" w:space="0" w:color="000000"/>
              <w:right w:val="single" w:sz="6" w:space="0" w:color="000000"/>
            </w:tcBorders>
            <w:shd w:val="clear" w:color="auto" w:fill="D2D2D2"/>
          </w:tcPr>
          <w:p>
            <w:pPr/>
          </w:p>
        </w:tc>
        <w:tc>
          <w:tcPr>
            <w:tcW w:w="1832" w:type="dxa"/>
            <w:vMerge/>
            <w:tcBorders>
              <w:left w:val="single" w:sz="6" w:space="0" w:color="000000"/>
              <w:bottom w:val="single" w:sz="6" w:space="0" w:color="000000"/>
              <w:right w:val="single" w:sz="6" w:space="0" w:color="000000"/>
            </w:tcBorders>
            <w:shd w:val="clear" w:color="auto" w:fill="D2D2D2"/>
          </w:tcPr>
          <w:p>
            <w:pPr/>
          </w:p>
        </w:tc>
        <w:tc>
          <w:tcPr>
            <w:tcW w:w="1923" w:type="dxa"/>
            <w:tcBorders>
              <w:top w:val="nil" w:sz="6" w:space="0" w:color="auto"/>
              <w:left w:val="single" w:sz="6" w:space="0" w:color="000000"/>
              <w:bottom w:val="single" w:sz="6" w:space="0" w:color="000000"/>
              <w:right w:val="single" w:sz="6" w:space="0" w:color="000000"/>
            </w:tcBorders>
            <w:shd w:val="clear" w:color="auto" w:fill="D2D2D2"/>
          </w:tcPr>
          <w:p>
            <w:pPr/>
          </w:p>
        </w:tc>
        <w:tc>
          <w:tcPr>
            <w:tcW w:w="1907" w:type="dxa"/>
            <w:tcBorders>
              <w:top w:val="nil" w:sz="6" w:space="0" w:color="auto"/>
              <w:left w:val="single" w:sz="6" w:space="0" w:color="000000"/>
              <w:bottom w:val="single" w:sz="6" w:space="0" w:color="000000"/>
              <w:right w:val="single" w:sz="6" w:space="0" w:color="000000"/>
            </w:tcBorders>
            <w:shd w:val="clear" w:color="auto" w:fill="D2D2D2"/>
          </w:tcPr>
          <w:p>
            <w:pPr/>
          </w:p>
        </w:tc>
        <w:tc>
          <w:tcPr>
            <w:tcW w:w="1922"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390" w:hRule="exact"/>
        </w:trPr>
        <w:tc>
          <w:tcPr>
            <w:tcW w:w="19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5"/>
                <w:sz w:val="18"/>
                <w:szCs w:val="18"/>
              </w:rPr>
              <w:t>一、持续的公允价值计量</w:t>
            </w:r>
          </w:p>
        </w:tc>
        <w:tc>
          <w:tcPr>
            <w:tcW w:w="18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4"/>
              <w:jc w:val="center"/>
              <w:rPr>
                <w:rFonts w:ascii="Times New Roman" w:hAnsi="Times New Roman" w:cs="Times New Roman" w:eastAsia="Times New Roman" w:hint="default"/>
                <w:sz w:val="18"/>
                <w:szCs w:val="18"/>
              </w:rPr>
            </w:pPr>
            <w:r>
              <w:rPr>
                <w:rFonts w:ascii="Times New Roman"/>
                <w:sz w:val="18"/>
              </w:rPr>
              <w:t>--</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5" w:right="0"/>
              <w:jc w:val="center"/>
              <w:rPr>
                <w:rFonts w:ascii="Times New Roman" w:hAnsi="Times New Roman" w:cs="Times New Roman" w:eastAsia="Times New Roman" w:hint="default"/>
                <w:sz w:val="18"/>
                <w:szCs w:val="18"/>
              </w:rPr>
            </w:pPr>
            <w:r>
              <w:rPr>
                <w:rFonts w:ascii="Times New Roman"/>
                <w:sz w:val="18"/>
              </w:rPr>
              <w:t>--</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w:t>
            </w:r>
          </w:p>
        </w:tc>
      </w:tr>
      <w:tr>
        <w:trPr>
          <w:trHeight w:val="1036" w:hRule="exact"/>
        </w:trPr>
        <w:tc>
          <w:tcPr>
            <w:tcW w:w="19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7"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 动计入当期损益的金融 资产</w:t>
            </w:r>
          </w:p>
        </w:tc>
        <w:tc>
          <w:tcPr>
            <w:tcW w:w="1832" w:type="dxa"/>
            <w:tcBorders>
              <w:top w:val="single" w:sz="6" w:space="0" w:color="000000"/>
              <w:left w:val="single" w:sz="12"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746,272,637.59</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746,272,637.59</w:t>
            </w:r>
          </w:p>
        </w:tc>
      </w:tr>
      <w:tr>
        <w:trPr>
          <w:trHeight w:val="405" w:hRule="exact"/>
        </w:trPr>
        <w:tc>
          <w:tcPr>
            <w:tcW w:w="19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832" w:type="dxa"/>
            <w:tcBorders>
              <w:top w:val="single" w:sz="6" w:space="0" w:color="000000"/>
              <w:left w:val="single" w:sz="12"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746,272,637.59</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746,272,637.59</w:t>
            </w:r>
          </w:p>
        </w:tc>
      </w:tr>
      <w:tr>
        <w:trPr>
          <w:trHeight w:val="390" w:hRule="exact"/>
        </w:trPr>
        <w:tc>
          <w:tcPr>
            <w:tcW w:w="19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5"/>
                <w:sz w:val="18"/>
                <w:szCs w:val="18"/>
              </w:rPr>
              <w:t>（三）其他权益工具投资</w:t>
            </w:r>
          </w:p>
        </w:tc>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758" w:right="0"/>
              <w:jc w:val="left"/>
              <w:rPr>
                <w:rFonts w:ascii="Times New Roman" w:hAnsi="Times New Roman" w:cs="Times New Roman" w:eastAsia="Times New Roman" w:hint="default"/>
                <w:sz w:val="18"/>
                <w:szCs w:val="18"/>
              </w:rPr>
            </w:pPr>
            <w:r>
              <w:rPr>
                <w:rFonts w:ascii="Times New Roman"/>
                <w:sz w:val="18"/>
              </w:rPr>
              <w:t>18,348,394.04</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20,000,000.00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38,348,394.04</w:t>
            </w:r>
          </w:p>
        </w:tc>
      </w:tr>
      <w:tr>
        <w:trPr>
          <w:trHeight w:val="173" w:hRule="exact"/>
        </w:trPr>
        <w:tc>
          <w:tcPr>
            <w:tcW w:w="1990"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44"/>
              <w:ind w:left="7" w:right="30"/>
              <w:jc w:val="left"/>
              <w:rPr>
                <w:rFonts w:ascii="宋体" w:hAnsi="宋体" w:cs="宋体" w:eastAsia="宋体" w:hint="default"/>
                <w:sz w:val="18"/>
                <w:szCs w:val="18"/>
              </w:rPr>
            </w:pPr>
            <w:r>
              <w:rPr>
                <w:rFonts w:ascii="宋体" w:hAnsi="宋体" w:cs="宋体" w:eastAsia="宋体" w:hint="default"/>
                <w:spacing w:val="-5"/>
                <w:sz w:val="18"/>
                <w:szCs w:val="18"/>
              </w:rPr>
              <w:t>二、非持续的公允价值计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量</w:t>
            </w:r>
          </w:p>
        </w:tc>
        <w:tc>
          <w:tcPr>
            <w:tcW w:w="1832" w:type="dxa"/>
            <w:tcBorders>
              <w:top w:val="single" w:sz="6" w:space="0" w:color="000000"/>
              <w:left w:val="single" w:sz="6" w:space="0" w:color="000000"/>
              <w:bottom w:val="nil" w:sz="6" w:space="0" w:color="auto"/>
              <w:right w:val="single" w:sz="6" w:space="0" w:color="000000"/>
            </w:tcBorders>
            <w:shd w:val="clear" w:color="auto" w:fill="D2D2D2"/>
          </w:tcPr>
          <w:p>
            <w:pPr/>
          </w:p>
        </w:tc>
        <w:tc>
          <w:tcPr>
            <w:tcW w:w="1923" w:type="dxa"/>
            <w:tcBorders>
              <w:top w:val="single" w:sz="6" w:space="0" w:color="000000"/>
              <w:left w:val="single" w:sz="6" w:space="0" w:color="000000"/>
              <w:bottom w:val="nil" w:sz="6" w:space="0" w:color="auto"/>
              <w:right w:val="single" w:sz="6" w:space="0" w:color="000000"/>
            </w:tcBorders>
            <w:shd w:val="clear" w:color="auto" w:fill="D2D2D2"/>
          </w:tcPr>
          <w:p>
            <w:pPr/>
          </w:p>
        </w:tc>
        <w:tc>
          <w:tcPr>
            <w:tcW w:w="1907" w:type="dxa"/>
            <w:tcBorders>
              <w:top w:val="single" w:sz="6" w:space="0" w:color="000000"/>
              <w:left w:val="single" w:sz="6" w:space="0" w:color="000000"/>
              <w:bottom w:val="nil" w:sz="6" w:space="0" w:color="auto"/>
              <w:right w:val="single" w:sz="6" w:space="0" w:color="000000"/>
            </w:tcBorders>
            <w:shd w:val="clear" w:color="auto" w:fill="D2D2D2"/>
          </w:tcPr>
          <w:p>
            <w:pPr/>
          </w:p>
        </w:tc>
        <w:tc>
          <w:tcPr>
            <w:tcW w:w="1922"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0" w:hRule="exact"/>
        </w:trPr>
        <w:tc>
          <w:tcPr>
            <w:tcW w:w="1990" w:type="dxa"/>
            <w:vMerge/>
            <w:tcBorders>
              <w:left w:val="single" w:sz="6" w:space="0" w:color="000000"/>
              <w:right w:val="single" w:sz="6" w:space="0" w:color="000000"/>
            </w:tcBorders>
            <w:shd w:val="clear" w:color="auto" w:fill="D2D2D2"/>
          </w:tcPr>
          <w:p>
            <w:pPr/>
          </w:p>
        </w:tc>
        <w:tc>
          <w:tcPr>
            <w:tcW w:w="183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1"/>
              <w:ind w:right="14"/>
              <w:jc w:val="center"/>
              <w:rPr>
                <w:rFonts w:ascii="Times New Roman" w:hAnsi="Times New Roman" w:cs="Times New Roman" w:eastAsia="Times New Roman" w:hint="default"/>
                <w:sz w:val="18"/>
                <w:szCs w:val="18"/>
              </w:rPr>
            </w:pPr>
            <w:r>
              <w:rPr>
                <w:rFonts w:ascii="Times New Roman"/>
                <w:sz w:val="18"/>
              </w:rPr>
              <w:t>--</w:t>
            </w:r>
          </w:p>
        </w:tc>
        <w:tc>
          <w:tcPr>
            <w:tcW w:w="192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1"/>
              <w:ind w:left="15" w:right="0"/>
              <w:jc w:val="center"/>
              <w:rPr>
                <w:rFonts w:ascii="Times New Roman" w:hAnsi="Times New Roman" w:cs="Times New Roman" w:eastAsia="Times New Roman" w:hint="default"/>
                <w:sz w:val="18"/>
                <w:szCs w:val="18"/>
              </w:rPr>
            </w:pPr>
            <w:r>
              <w:rPr>
                <w:rFonts w:ascii="Times New Roman"/>
                <w:sz w:val="18"/>
              </w:rPr>
              <w:t>--</w:t>
            </w:r>
          </w:p>
        </w:tc>
        <w:tc>
          <w:tcPr>
            <w:tcW w:w="190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w:t>
            </w:r>
          </w:p>
        </w:tc>
        <w:tc>
          <w:tcPr>
            <w:tcW w:w="19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1"/>
              <w:ind w:left="14" w:right="0"/>
              <w:jc w:val="center"/>
              <w:rPr>
                <w:rFonts w:ascii="Times New Roman" w:hAnsi="Times New Roman" w:cs="Times New Roman" w:eastAsia="Times New Roman" w:hint="default"/>
                <w:sz w:val="18"/>
                <w:szCs w:val="18"/>
              </w:rPr>
            </w:pPr>
            <w:r>
              <w:rPr>
                <w:rFonts w:ascii="Times New Roman"/>
                <w:sz w:val="18"/>
              </w:rPr>
              <w:t>--</w:t>
            </w:r>
          </w:p>
        </w:tc>
      </w:tr>
      <w:tr>
        <w:trPr>
          <w:trHeight w:val="158" w:hRule="exact"/>
        </w:trPr>
        <w:tc>
          <w:tcPr>
            <w:tcW w:w="1990" w:type="dxa"/>
            <w:vMerge/>
            <w:tcBorders>
              <w:left w:val="single" w:sz="6" w:space="0" w:color="000000"/>
              <w:bottom w:val="single" w:sz="6" w:space="0" w:color="000000"/>
              <w:right w:val="single" w:sz="6" w:space="0" w:color="000000"/>
            </w:tcBorders>
            <w:shd w:val="clear" w:color="auto" w:fill="D2D2D2"/>
          </w:tcPr>
          <w:p>
            <w:pPr/>
          </w:p>
        </w:tc>
        <w:tc>
          <w:tcPr>
            <w:tcW w:w="1832" w:type="dxa"/>
            <w:tcBorders>
              <w:top w:val="nil" w:sz="6" w:space="0" w:color="auto"/>
              <w:left w:val="single" w:sz="6" w:space="0" w:color="000000"/>
              <w:bottom w:val="single" w:sz="6" w:space="0" w:color="000000"/>
              <w:right w:val="single" w:sz="6" w:space="0" w:color="000000"/>
            </w:tcBorders>
            <w:shd w:val="clear" w:color="auto" w:fill="D2D2D2"/>
          </w:tcPr>
          <w:p>
            <w:pPr/>
          </w:p>
        </w:tc>
        <w:tc>
          <w:tcPr>
            <w:tcW w:w="1923" w:type="dxa"/>
            <w:tcBorders>
              <w:top w:val="nil" w:sz="6" w:space="0" w:color="auto"/>
              <w:left w:val="single" w:sz="6" w:space="0" w:color="000000"/>
              <w:bottom w:val="single" w:sz="6" w:space="0" w:color="000000"/>
              <w:right w:val="single" w:sz="6" w:space="0" w:color="000000"/>
            </w:tcBorders>
            <w:shd w:val="clear" w:color="auto" w:fill="D2D2D2"/>
          </w:tcPr>
          <w:p>
            <w:pPr/>
          </w:p>
        </w:tc>
        <w:tc>
          <w:tcPr>
            <w:tcW w:w="1907" w:type="dxa"/>
            <w:tcBorders>
              <w:top w:val="nil" w:sz="6" w:space="0" w:color="auto"/>
              <w:left w:val="single" w:sz="6" w:space="0" w:color="000000"/>
              <w:bottom w:val="single" w:sz="6" w:space="0" w:color="000000"/>
              <w:right w:val="single" w:sz="6" w:space="0" w:color="000000"/>
            </w:tcBorders>
            <w:shd w:val="clear" w:color="auto" w:fill="D2D2D2"/>
          </w:tcPr>
          <w:p>
            <w:pPr/>
          </w:p>
        </w:tc>
        <w:tc>
          <w:tcPr>
            <w:tcW w:w="1922" w:type="dxa"/>
            <w:tcBorders>
              <w:top w:val="nil" w:sz="6" w:space="0" w:color="auto"/>
              <w:left w:val="single" w:sz="6" w:space="0" w:color="000000"/>
              <w:bottom w:val="single" w:sz="6" w:space="0" w:color="000000"/>
              <w:right w:val="single" w:sz="6" w:space="0" w:color="000000"/>
            </w:tcBorders>
            <w:shd w:val="clear" w:color="auto" w:fill="D2D2D2"/>
          </w:tcPr>
          <w:p>
            <w:pP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2、持续和非持续第一层次公允价值计量项目市价的确定依据" w:id="327"/>
      <w:bookmarkEnd w:id="327"/>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561" w:right="1100"/>
        <w:jc w:val="left"/>
      </w:pPr>
      <w:r>
        <w:rPr/>
        <w:t>在计量日能够取得的相同资产或负债在活跃市场上未经调整的报价。</w:t>
      </w:r>
    </w:p>
    <w:p>
      <w:pPr>
        <w:spacing w:line="240" w:lineRule="auto" w:before="0"/>
        <w:rPr>
          <w:rFonts w:ascii="宋体" w:hAnsi="宋体" w:cs="宋体" w:eastAsia="宋体" w:hint="default"/>
          <w:sz w:val="18"/>
          <w:szCs w:val="18"/>
        </w:rPr>
      </w:pPr>
    </w:p>
    <w:p>
      <w:pPr>
        <w:pStyle w:val="Heading4"/>
        <w:spacing w:line="240" w:lineRule="auto" w:before="124"/>
        <w:ind w:right="1100"/>
        <w:jc w:val="left"/>
        <w:rPr>
          <w:b w:val="0"/>
          <w:bCs w:val="0"/>
        </w:rPr>
      </w:pPr>
      <w:bookmarkStart w:name="3、持续和非持续第三层次公允价值计量项目，采用的估值技术和重要参数的定性及定量信" w:id="328"/>
      <w:bookmarkEnd w:id="328"/>
      <w:r>
        <w:rPr>
          <w:b w:val="0"/>
          <w:bCs w:val="0"/>
        </w:rPr>
      </w:r>
      <w:r>
        <w:rPr>
          <w:rFonts w:ascii="Times New Roman" w:hAnsi="Times New Roman" w:cs="Times New Roman" w:eastAsia="Times New Roman" w:hint="default"/>
        </w:rPr>
        <w:t>3</w:t>
      </w:r>
      <w:r>
        <w:rPr/>
        <w:t>、持续和非持续第三层次公允价值计量项目，采用的估值技术和重要参数的定性及定量信息</w:t>
      </w:r>
      <w:r>
        <w:rPr>
          <w:b w:val="0"/>
          <w:bCs w:val="0"/>
        </w:rPr>
      </w:r>
    </w:p>
    <w:p>
      <w:pPr>
        <w:pStyle w:val="BodyText"/>
        <w:spacing w:line="430" w:lineRule="atLeast" w:before="135"/>
        <w:ind w:left="561" w:right="1100"/>
        <w:jc w:val="left"/>
      </w:pPr>
      <w:r>
        <w:rPr/>
        <w:t>公司债务工具投资为银行理财产品及结构性存款，其公允价值按预期收益率进行测算。 公司持有的在市场上无可用的观察输入值及估值技术的其他权益工具投资，被投资企业深圳市万通顺达科技股份有限</w:t>
      </w:r>
    </w:p>
    <w:p>
      <w:pPr>
        <w:pStyle w:val="BodyText"/>
        <w:spacing w:line="240" w:lineRule="auto" w:before="79"/>
        <w:ind w:right="1100"/>
        <w:jc w:val="left"/>
      </w:pPr>
      <w:r>
        <w:rPr/>
        <w:t>公司经营环境和经营情况、财务状况未发生重大变化，以原投资成本作为公允价值的确定基础。</w:t>
      </w:r>
    </w:p>
    <w:p>
      <w:pPr>
        <w:spacing w:after="0" w:line="240" w:lineRule="auto"/>
        <w:jc w:val="left"/>
        <w:sectPr>
          <w:pgSz w:w="11910" w:h="16850"/>
          <w:pgMar w:header="731" w:footer="981" w:top="1040" w:bottom="1180" w:left="1000" w:right="0"/>
        </w:sectPr>
      </w:pPr>
    </w:p>
    <w:p>
      <w:pPr>
        <w:spacing w:line="240" w:lineRule="auto" w:before="5"/>
        <w:rPr>
          <w:rFonts w:ascii="宋体" w:hAnsi="宋体" w:cs="宋体" w:eastAsia="宋体" w:hint="default"/>
          <w:sz w:val="24"/>
          <w:szCs w:val="24"/>
        </w:rPr>
      </w:pPr>
    </w:p>
    <w:p>
      <w:pPr>
        <w:pStyle w:val="Heading2"/>
        <w:spacing w:line="240" w:lineRule="auto" w:before="26"/>
        <w:ind w:right="1100"/>
        <w:jc w:val="left"/>
        <w:rPr>
          <w:b w:val="0"/>
          <w:bCs w:val="0"/>
        </w:rPr>
      </w:pPr>
      <w:bookmarkStart w:name="十二、关联方及关联交易" w:id="329"/>
      <w:bookmarkEnd w:id="329"/>
      <w:r>
        <w:rPr>
          <w:b w:val="0"/>
          <w:bCs w:val="0"/>
        </w:rPr>
      </w:r>
      <w:r>
        <w:rPr/>
        <w:t>十二、关联方及关联交易</w:t>
      </w:r>
      <w:r>
        <w:rPr>
          <w:b w:val="0"/>
          <w:bCs w:val="0"/>
        </w:rPr>
      </w:r>
    </w:p>
    <w:p>
      <w:pPr>
        <w:spacing w:line="240" w:lineRule="auto" w:before="9"/>
        <w:rPr>
          <w:rFonts w:ascii="宋体" w:hAnsi="宋体" w:cs="宋体" w:eastAsia="宋体" w:hint="default"/>
          <w:b/>
          <w:bCs/>
          <w:sz w:val="25"/>
          <w:szCs w:val="25"/>
        </w:rPr>
      </w:pPr>
    </w:p>
    <w:p>
      <w:pPr>
        <w:pStyle w:val="Heading4"/>
        <w:spacing w:line="240" w:lineRule="auto"/>
        <w:ind w:right="1100"/>
        <w:jc w:val="left"/>
        <w:rPr>
          <w:b w:val="0"/>
          <w:bCs w:val="0"/>
        </w:rPr>
      </w:pPr>
      <w:bookmarkStart w:name="1、本企业的母公司情况" w:id="330"/>
      <w:bookmarkEnd w:id="330"/>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3"/>
        <w:rPr>
          <w:rFonts w:ascii="宋体" w:hAnsi="宋体" w:cs="宋体" w:eastAsia="宋体" w:hint="default"/>
          <w:b/>
          <w:bCs/>
          <w:sz w:val="25"/>
          <w:szCs w:val="25"/>
        </w:rPr>
      </w:pPr>
    </w:p>
    <w:p>
      <w:pPr>
        <w:pStyle w:val="BodyText"/>
        <w:spacing w:line="352" w:lineRule="auto"/>
        <w:ind w:right="8589"/>
        <w:jc w:val="left"/>
      </w:pPr>
      <w:r>
        <w:rPr/>
        <w:t>本企业最终控制方是黄煜。 其他说明：</w:t>
      </w:r>
    </w:p>
    <w:p>
      <w:pPr>
        <w:pStyle w:val="BodyText"/>
        <w:spacing w:line="240" w:lineRule="auto" w:before="55"/>
        <w:ind w:right="1100"/>
        <w:jc w:val="left"/>
      </w:pPr>
      <w:r>
        <w:rPr/>
        <w:t>本公司的实际控制人是自然人黄煜，持股比例为</w:t>
      </w:r>
      <w:r>
        <w:rPr>
          <w:rFonts w:ascii="Times New Roman" w:hAnsi="Times New Roman" w:cs="Times New Roman" w:eastAsia="Times New Roman" w:hint="default"/>
        </w:rPr>
        <w:t>30.94</w:t>
      </w:r>
      <w:r>
        <w:rPr/>
        <w:t>。</w:t>
      </w:r>
    </w:p>
    <w:p>
      <w:pPr>
        <w:spacing w:line="240" w:lineRule="auto" w:before="6"/>
        <w:rPr>
          <w:rFonts w:ascii="宋体" w:hAnsi="宋体" w:cs="宋体" w:eastAsia="宋体" w:hint="default"/>
          <w:sz w:val="26"/>
          <w:szCs w:val="26"/>
        </w:rPr>
      </w:pPr>
    </w:p>
    <w:p>
      <w:pPr>
        <w:pStyle w:val="Heading4"/>
        <w:spacing w:line="240" w:lineRule="auto"/>
        <w:ind w:right="1100"/>
        <w:jc w:val="left"/>
        <w:rPr>
          <w:b w:val="0"/>
          <w:bCs w:val="0"/>
        </w:rPr>
      </w:pPr>
      <w:bookmarkStart w:name="2、本企业的子公司情况" w:id="331"/>
      <w:bookmarkEnd w:id="331"/>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1100"/>
        <w:jc w:val="left"/>
      </w:pPr>
      <w:r>
        <w:rPr/>
        <w:t>本企业子公司的情况详见附注九、</w:t>
      </w:r>
      <w:r>
        <w:rPr>
          <w:rFonts w:ascii="Times New Roman" w:hAnsi="Times New Roman" w:cs="Times New Roman" w:eastAsia="Times New Roman" w:hint="default"/>
        </w:rPr>
        <w:t>1“</w:t>
      </w:r>
      <w:r>
        <w:rPr/>
        <w:t>在子公司中的权益</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pStyle w:val="Heading4"/>
        <w:spacing w:line="240" w:lineRule="auto" w:before="126"/>
        <w:ind w:right="1100"/>
        <w:jc w:val="left"/>
        <w:rPr>
          <w:b w:val="0"/>
          <w:bCs w:val="0"/>
        </w:rPr>
      </w:pPr>
      <w:bookmarkStart w:name="3、本企业合营和联营企业情况" w:id="332"/>
      <w:bookmarkEnd w:id="332"/>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3"/>
        <w:rPr>
          <w:rFonts w:ascii="宋体" w:hAnsi="宋体" w:cs="宋体" w:eastAsia="宋体" w:hint="default"/>
          <w:b/>
          <w:bCs/>
          <w:sz w:val="25"/>
          <w:szCs w:val="25"/>
        </w:rPr>
      </w:pPr>
    </w:p>
    <w:p>
      <w:pPr>
        <w:pStyle w:val="BodyText"/>
        <w:spacing w:line="331" w:lineRule="auto"/>
        <w:ind w:right="2289"/>
        <w:jc w:val="left"/>
      </w:pPr>
      <w:r>
        <w:rPr/>
        <w:t>本企业重要的合营或联营企业详见附注九、</w:t>
      </w:r>
      <w:r>
        <w:rPr>
          <w:rFonts w:ascii="Times New Roman" w:hAnsi="Times New Roman" w:cs="Times New Roman" w:eastAsia="Times New Roman" w:hint="default"/>
        </w:rPr>
        <w:t>2“</w:t>
      </w:r>
      <w:r>
        <w:rPr/>
        <w:t>在合营安排或联营企业中的权益</w:t>
      </w:r>
      <w:r>
        <w:rPr>
          <w:rFonts w:ascii="Times New Roman" w:hAnsi="Times New Roman" w:cs="Times New Roman" w:eastAsia="Times New Roman" w:hint="default"/>
        </w:rPr>
        <w:t>”</w:t>
      </w:r>
      <w:r>
        <w:rPr/>
        <w:t>。</w:t>
      </w:r>
      <w:r>
        <w:rPr>
          <w:spacing w:val="-79"/>
        </w:rPr>
        <w:t> </w:t>
      </w:r>
      <w:r>
        <w:rPr/>
        <w:t>本期与本公司发生关联方交易，或前期与本公司发生关联方交易形成余额的其他合营或联营企业情况如下：</w:t>
      </w:r>
    </w:p>
    <w:p>
      <w:pPr>
        <w:spacing w:line="240" w:lineRule="auto" w:before="2"/>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62"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HyperSecu Information Systems</w:t>
            </w:r>
            <w:r>
              <w:rPr>
                <w:rFonts w:ascii="Times New Roman"/>
                <w:spacing w:val="-5"/>
                <w:sz w:val="18"/>
              </w:rPr>
              <w:t> </w:t>
            </w:r>
            <w:r>
              <w:rPr>
                <w:rFonts w:ascii="Times New Roman"/>
                <w:sz w:val="18"/>
              </w:rPr>
              <w:t>Inc</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本公司联营企业</w:t>
            </w:r>
          </w:p>
        </w:tc>
      </w:tr>
      <w:tr>
        <w:trPr>
          <w:trHeight w:val="7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中山市瑞福达触控显示技术有限公司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8"/>
              <w:jc w:val="left"/>
              <w:rPr>
                <w:rFonts w:ascii="宋体" w:hAnsi="宋体" w:cs="宋体" w:eastAsia="宋体" w:hint="default"/>
                <w:sz w:val="18"/>
                <w:szCs w:val="18"/>
              </w:rPr>
            </w:pPr>
            <w:r>
              <w:rPr>
                <w:rFonts w:ascii="宋体" w:hAnsi="宋体" w:cs="宋体" w:eastAsia="宋体" w:hint="default"/>
                <w:sz w:val="18"/>
                <w:szCs w:val="18"/>
              </w:rPr>
              <w:t>本公司联营企业深圳市瑞福达液晶显示技术股份有限公司之 子公司。</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广州飞天诚信云商科技有限公司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本公司联营企业</w:t>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4、其他关联方情况" w:id="333"/>
      <w:bookmarkEnd w:id="333"/>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3"/>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390"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381"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李伟</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董事、总经理</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陆舟</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董事、副总经理、总工程师</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黄涛</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李琪</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391"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田端</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监事会主席、人力资源总监</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张英魁</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职工监事、读卡器部经理</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孙晓东</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监事、销售经理</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于华章</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郑相启</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谢梁</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闫岩</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李懋</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郁群慧</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副总经理</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b/>
          <w:bCs/>
          <w:sz w:val="29"/>
          <w:szCs w:val="29"/>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朱宝祥</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财务总监</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吴彼</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董事会秘书、市场总监</w:t>
            </w:r>
          </w:p>
        </w:tc>
      </w:tr>
    </w:tbl>
    <w:p>
      <w:pPr>
        <w:spacing w:line="240" w:lineRule="auto" w:before="11"/>
        <w:rPr>
          <w:rFonts w:ascii="宋体" w:hAnsi="宋体" w:cs="宋体" w:eastAsia="宋体" w:hint="default"/>
          <w:b/>
          <w:bCs/>
          <w:sz w:val="19"/>
          <w:szCs w:val="19"/>
        </w:rPr>
      </w:pPr>
    </w:p>
    <w:p>
      <w:pPr>
        <w:pStyle w:val="Heading4"/>
        <w:spacing w:line="240" w:lineRule="auto" w:before="35"/>
        <w:ind w:right="1100"/>
        <w:jc w:val="left"/>
        <w:rPr>
          <w:b w:val="0"/>
          <w:bCs w:val="0"/>
        </w:rPr>
      </w:pPr>
      <w:bookmarkStart w:name="5、关联交易情况" w:id="334"/>
      <w:bookmarkEnd w:id="334"/>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1100"/>
        <w:jc w:val="left"/>
        <w:rPr>
          <w:b w:val="0"/>
          <w:bCs w:val="0"/>
        </w:rPr>
      </w:pPr>
      <w:bookmarkStart w:name="（1）购销商品、提供和接受劳务的关联交易" w:id="335"/>
      <w:bookmarkEnd w:id="335"/>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0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96"/>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47"/>
        <w:gridCol w:w="1456"/>
        <w:gridCol w:w="1457"/>
        <w:gridCol w:w="1697"/>
        <w:gridCol w:w="1712"/>
        <w:gridCol w:w="1712"/>
      </w:tblGrid>
      <w:tr>
        <w:trPr>
          <w:trHeight w:val="405" w:hRule="exact"/>
        </w:trPr>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8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6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5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5"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0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06"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5"/>
              <w:jc w:val="left"/>
              <w:rPr>
                <w:rFonts w:ascii="宋体" w:hAnsi="宋体" w:cs="宋体" w:eastAsia="宋体" w:hint="default"/>
                <w:sz w:val="18"/>
                <w:szCs w:val="18"/>
              </w:rPr>
            </w:pPr>
            <w:r>
              <w:rPr>
                <w:rFonts w:ascii="宋体" w:hAnsi="宋体" w:cs="宋体" w:eastAsia="宋体" w:hint="default"/>
                <w:sz w:val="18"/>
                <w:szCs w:val="18"/>
              </w:rPr>
              <w:t>广州飞天诚信云商 科技有限公司</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1,059,381.88</w:t>
            </w:r>
          </w:p>
        </w:tc>
        <w:tc>
          <w:tcPr>
            <w:tcW w:w="1697"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75"/>
              <w:jc w:val="left"/>
              <w:rPr>
                <w:rFonts w:ascii="宋体" w:hAnsi="宋体" w:cs="宋体" w:eastAsia="宋体" w:hint="default"/>
                <w:sz w:val="18"/>
                <w:szCs w:val="18"/>
              </w:rPr>
            </w:pPr>
            <w:r>
              <w:rPr>
                <w:rFonts w:ascii="宋体" w:hAnsi="宋体" w:cs="宋体" w:eastAsia="宋体" w:hint="default"/>
                <w:sz w:val="18"/>
                <w:szCs w:val="18"/>
              </w:rPr>
              <w:t>中山市瑞福达触控 显示技术有限公司</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3,728,772.47</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30" w:right="0"/>
              <w:jc w:val="left"/>
              <w:rPr>
                <w:rFonts w:ascii="Times New Roman" w:hAnsi="Times New Roman" w:cs="Times New Roman" w:eastAsia="Times New Roman" w:hint="default"/>
                <w:sz w:val="18"/>
                <w:szCs w:val="18"/>
              </w:rPr>
            </w:pPr>
            <w:r>
              <w:rPr>
                <w:rFonts w:ascii="Times New Roman"/>
                <w:sz w:val="18"/>
              </w:rPr>
              <w:t>40,000,000.00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75"/>
              <w:jc w:val="both"/>
              <w:rPr>
                <w:rFonts w:ascii="宋体" w:hAnsi="宋体" w:cs="宋体" w:eastAsia="宋体" w:hint="default"/>
                <w:sz w:val="18"/>
                <w:szCs w:val="18"/>
              </w:rPr>
            </w:pPr>
            <w:r>
              <w:rPr>
                <w:rFonts w:ascii="宋体" w:hAnsi="宋体" w:cs="宋体" w:eastAsia="宋体" w:hint="default"/>
                <w:sz w:val="18"/>
                <w:szCs w:val="18"/>
              </w:rPr>
              <w:t>深圳市瑞福达液晶 显示技术股份有限 公司</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7"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45" w:right="0"/>
              <w:jc w:val="left"/>
              <w:rPr>
                <w:rFonts w:ascii="Times New Roman" w:hAnsi="Times New Roman" w:cs="Times New Roman" w:eastAsia="Times New Roman" w:hint="default"/>
                <w:sz w:val="18"/>
                <w:szCs w:val="18"/>
              </w:rPr>
            </w:pPr>
            <w:r>
              <w:rPr>
                <w:rFonts w:ascii="Times New Roman"/>
                <w:sz w:val="18"/>
              </w:rPr>
              <w:t>16,278,078.85</w:t>
            </w:r>
          </w:p>
        </w:tc>
      </w:tr>
    </w:tbl>
    <w:p>
      <w:pPr>
        <w:pStyle w:val="BodyText"/>
        <w:spacing w:line="240" w:lineRule="auto" w:before="59"/>
        <w:ind w:right="110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81"/>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403"/>
        <w:gridCol w:w="2252"/>
        <w:gridCol w:w="2268"/>
        <w:gridCol w:w="2658"/>
      </w:tblGrid>
      <w:tr>
        <w:trPr>
          <w:trHeight w:val="390" w:hRule="exact"/>
        </w:trPr>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7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7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85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21"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31"/>
              <w:jc w:val="left"/>
              <w:rPr>
                <w:rFonts w:ascii="宋体" w:hAnsi="宋体" w:cs="宋体" w:eastAsia="宋体" w:hint="default"/>
                <w:sz w:val="18"/>
                <w:szCs w:val="18"/>
              </w:rPr>
            </w:pPr>
            <w:r>
              <w:rPr>
                <w:rFonts w:ascii="宋体" w:hAnsi="宋体" w:cs="宋体" w:eastAsia="宋体" w:hint="default"/>
                <w:sz w:val="18"/>
                <w:szCs w:val="18"/>
              </w:rPr>
              <w:t>广州飞天诚信云商科技有限公 司</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17,288.49</w:t>
            </w:r>
          </w:p>
        </w:tc>
        <w:tc>
          <w:tcPr>
            <w:tcW w:w="2658"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48" w:lineRule="auto" w:before="102"/>
              <w:ind w:left="15" w:right="676"/>
              <w:jc w:val="left"/>
              <w:rPr>
                <w:rFonts w:ascii="Times New Roman" w:hAnsi="Times New Roman" w:cs="Times New Roman" w:eastAsia="Times New Roman" w:hint="default"/>
                <w:sz w:val="18"/>
                <w:szCs w:val="18"/>
              </w:rPr>
            </w:pPr>
            <w:r>
              <w:rPr>
                <w:rFonts w:ascii="Times New Roman"/>
                <w:sz w:val="18"/>
              </w:rPr>
              <w:t>HyperSecu</w:t>
            </w:r>
            <w:r>
              <w:rPr>
                <w:rFonts w:ascii="Times New Roman"/>
                <w:spacing w:val="-10"/>
                <w:sz w:val="18"/>
              </w:rPr>
              <w:t> </w:t>
            </w:r>
            <w:r>
              <w:rPr>
                <w:rFonts w:ascii="Times New Roman"/>
                <w:sz w:val="18"/>
              </w:rPr>
              <w:t>Information</w:t>
            </w:r>
            <w:r>
              <w:rPr>
                <w:rFonts w:ascii="Times New Roman"/>
                <w:sz w:val="18"/>
              </w:rPr>
              <w:t> Systems</w:t>
            </w:r>
            <w:r>
              <w:rPr>
                <w:rFonts w:ascii="Times New Roman"/>
                <w:spacing w:val="9"/>
                <w:sz w:val="18"/>
              </w:rPr>
              <w:t> </w:t>
            </w:r>
            <w:r>
              <w:rPr>
                <w:rFonts w:ascii="Times New Roman"/>
                <w:sz w:val="18"/>
              </w:rPr>
              <w:t>Inc</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19,228,961.39</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77" w:right="0"/>
              <w:jc w:val="left"/>
              <w:rPr>
                <w:rFonts w:ascii="Times New Roman" w:hAnsi="Times New Roman" w:cs="Times New Roman" w:eastAsia="Times New Roman" w:hint="default"/>
                <w:sz w:val="18"/>
                <w:szCs w:val="18"/>
              </w:rPr>
            </w:pPr>
            <w:r>
              <w:rPr>
                <w:rFonts w:ascii="Times New Roman"/>
                <w:sz w:val="18"/>
              </w:rPr>
              <w:t>17,787,009.21</w:t>
            </w:r>
          </w:p>
        </w:tc>
      </w:tr>
    </w:tbl>
    <w:p>
      <w:pPr>
        <w:pStyle w:val="BodyText"/>
        <w:spacing w:line="240" w:lineRule="auto" w:before="45"/>
        <w:ind w:right="1100"/>
        <w:jc w:val="left"/>
      </w:pPr>
      <w:r>
        <w:rPr/>
        <w:t>购销商品、提供和接受劳务的关联交易说明</w:t>
      </w:r>
    </w:p>
    <w:p>
      <w:pPr>
        <w:spacing w:line="240" w:lineRule="auto" w:before="0"/>
        <w:rPr>
          <w:rFonts w:ascii="宋体" w:hAnsi="宋体" w:cs="宋体" w:eastAsia="宋体" w:hint="default"/>
          <w:sz w:val="18"/>
          <w:szCs w:val="18"/>
        </w:rPr>
      </w:pPr>
    </w:p>
    <w:p>
      <w:pPr>
        <w:pStyle w:val="Heading4"/>
        <w:spacing w:line="240" w:lineRule="auto" w:before="139"/>
        <w:ind w:right="1100"/>
        <w:jc w:val="left"/>
        <w:rPr>
          <w:b w:val="0"/>
          <w:bCs w:val="0"/>
        </w:rPr>
      </w:pPr>
      <w:bookmarkStart w:name="（2）关键管理人员报酬" w:id="336"/>
      <w:bookmarkEnd w:id="336"/>
      <w:r>
        <w:rPr>
          <w:b w:val="0"/>
          <w:bCs w:val="0"/>
        </w:rPr>
      </w:r>
      <w:r>
        <w:rPr/>
        <w:t>（</w:t>
      </w:r>
      <w:r>
        <w:rPr>
          <w:rFonts w:ascii="Times New Roman" w:hAnsi="Times New Roman" w:cs="Times New Roman" w:eastAsia="Times New Roman" w:hint="default"/>
        </w:rPr>
        <w:t>2</w:t>
      </w:r>
      <w:r>
        <w:rPr/>
        <w:t>）关键管理人员报酬</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8,549,818.99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8,653,200.00</w:t>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6、关联方应收应付款项" w:id="337"/>
      <w:bookmarkEnd w:id="337"/>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1100"/>
        <w:jc w:val="left"/>
        <w:rPr>
          <w:b w:val="0"/>
          <w:bCs w:val="0"/>
        </w:rPr>
      </w:pPr>
      <w:bookmarkStart w:name="（1）应收项目" w:id="338"/>
      <w:bookmarkEnd w:id="338"/>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391" w:hRule="exact"/>
        </w:trPr>
        <w:tc>
          <w:tcPr>
            <w:tcW w:w="15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592" w:type="dxa"/>
            <w:vMerge/>
            <w:tcBorders>
              <w:left w:val="single" w:sz="6" w:space="0" w:color="000000"/>
              <w:bottom w:val="single" w:sz="6" w:space="0" w:color="000000"/>
              <w:right w:val="single" w:sz="6" w:space="0" w:color="000000"/>
            </w:tcBorders>
            <w:shd w:val="clear" w:color="auto" w:fill="D2D2D2"/>
          </w:tcPr>
          <w:p>
            <w:pPr/>
          </w:p>
        </w:tc>
        <w:tc>
          <w:tcPr>
            <w:tcW w:w="1607" w:type="dxa"/>
            <w:vMerge/>
            <w:tcBorders>
              <w:left w:val="single" w:sz="6" w:space="0" w:color="000000"/>
              <w:bottom w:val="single" w:sz="6" w:space="0" w:color="000000"/>
              <w:right w:val="single" w:sz="6" w:space="0" w:color="000000"/>
            </w:tcBorders>
            <w:shd w:val="clear" w:color="auto" w:fill="D2D2D2"/>
          </w:tcPr>
          <w:p>
            <w:pP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1020"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102"/>
              <w:ind w:left="30" w:right="50"/>
              <w:jc w:val="left"/>
              <w:rPr>
                <w:rFonts w:ascii="Times New Roman" w:hAnsi="Times New Roman" w:cs="Times New Roman" w:eastAsia="Times New Roman" w:hint="default"/>
                <w:sz w:val="18"/>
                <w:szCs w:val="18"/>
              </w:rPr>
            </w:pPr>
            <w:r>
              <w:rPr>
                <w:rFonts w:ascii="Times New Roman"/>
                <w:sz w:val="18"/>
              </w:rPr>
              <w:t>HyperSecu Information</w:t>
            </w:r>
            <w:r>
              <w:rPr>
                <w:rFonts w:ascii="Times New Roman"/>
                <w:spacing w:val="-1"/>
                <w:sz w:val="18"/>
              </w:rPr>
              <w:t> </w:t>
            </w:r>
            <w:r>
              <w:rPr>
                <w:rFonts w:ascii="Times New Roman"/>
                <w:sz w:val="18"/>
              </w:rPr>
              <w:t>Systems</w:t>
            </w:r>
            <w:r>
              <w:rPr>
                <w:rFonts w:ascii="Times New Roman"/>
                <w:w w:val="99"/>
                <w:sz w:val="18"/>
              </w:rPr>
              <w:t> </w:t>
            </w:r>
            <w:r>
              <w:rPr>
                <w:rFonts w:ascii="Times New Roman"/>
                <w:sz w:val="18"/>
              </w:rPr>
              <w:t>Inc</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1,773,629.09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88,681.45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55" w:right="0"/>
              <w:jc w:val="left"/>
              <w:rPr>
                <w:rFonts w:ascii="Times New Roman" w:hAnsi="Times New Roman" w:cs="Times New Roman" w:eastAsia="Times New Roman" w:hint="default"/>
                <w:sz w:val="18"/>
                <w:szCs w:val="18"/>
              </w:rPr>
            </w:pPr>
            <w:r>
              <w:rPr>
                <w:rFonts w:ascii="Times New Roman"/>
                <w:sz w:val="18"/>
              </w:rPr>
              <w:t>95,710.07</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46" w:right="0"/>
              <w:jc w:val="left"/>
              <w:rPr>
                <w:rFonts w:ascii="Times New Roman" w:hAnsi="Times New Roman" w:cs="Times New Roman" w:eastAsia="Times New Roman" w:hint="default"/>
                <w:sz w:val="18"/>
                <w:szCs w:val="18"/>
              </w:rPr>
            </w:pPr>
            <w:r>
              <w:rPr>
                <w:rFonts w:ascii="Times New Roman"/>
                <w:sz w:val="18"/>
              </w:rPr>
              <w:t>4,785.50</w:t>
            </w:r>
          </w:p>
        </w:tc>
      </w:tr>
      <w:tr>
        <w:trPr>
          <w:trHeight w:val="72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30" w:right="121"/>
              <w:jc w:val="left"/>
              <w:rPr>
                <w:rFonts w:ascii="宋体" w:hAnsi="宋体" w:cs="宋体" w:eastAsia="宋体" w:hint="default"/>
                <w:sz w:val="18"/>
                <w:szCs w:val="18"/>
              </w:rPr>
            </w:pPr>
            <w:r>
              <w:rPr>
                <w:rFonts w:ascii="宋体" w:hAnsi="宋体" w:cs="宋体" w:eastAsia="宋体" w:hint="default"/>
                <w:sz w:val="18"/>
                <w:szCs w:val="18"/>
              </w:rPr>
              <w:t>广州飞天诚信云商 科技有限公司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19,536.00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976.80</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2）应付项目" w:id="339"/>
      <w:bookmarkEnd w:id="339"/>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4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6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197"/>
              <w:jc w:val="left"/>
              <w:rPr>
                <w:rFonts w:ascii="宋体" w:hAnsi="宋体" w:cs="宋体" w:eastAsia="宋体" w:hint="default"/>
                <w:sz w:val="18"/>
                <w:szCs w:val="18"/>
              </w:rPr>
            </w:pPr>
            <w:r>
              <w:rPr>
                <w:rFonts w:ascii="宋体" w:hAnsi="宋体" w:cs="宋体" w:eastAsia="宋体" w:hint="default"/>
                <w:sz w:val="18"/>
                <w:szCs w:val="18"/>
              </w:rPr>
              <w:t>中山市瑞福达触控显示技术 有限公司</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11" w:right="0"/>
              <w:jc w:val="left"/>
              <w:rPr>
                <w:rFonts w:ascii="Times New Roman" w:hAnsi="Times New Roman" w:cs="Times New Roman" w:eastAsia="Times New Roman" w:hint="default"/>
                <w:sz w:val="18"/>
                <w:szCs w:val="18"/>
              </w:rPr>
            </w:pPr>
            <w:r>
              <w:rPr>
                <w:rFonts w:ascii="Times New Roman"/>
                <w:sz w:val="18"/>
              </w:rPr>
              <w:t>2,138,932.96</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30" w:right="197"/>
              <w:jc w:val="left"/>
              <w:rPr>
                <w:rFonts w:ascii="宋体" w:hAnsi="宋体" w:cs="宋体" w:eastAsia="宋体" w:hint="default"/>
                <w:sz w:val="18"/>
                <w:szCs w:val="18"/>
              </w:rPr>
            </w:pPr>
            <w:r>
              <w:rPr>
                <w:rFonts w:ascii="宋体" w:hAnsi="宋体" w:cs="宋体" w:eastAsia="宋体" w:hint="default"/>
                <w:sz w:val="18"/>
                <w:szCs w:val="18"/>
              </w:rPr>
              <w:t>深圳市瑞福达液晶显示技术 股份有限公司</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26" w:right="0"/>
              <w:jc w:val="left"/>
              <w:rPr>
                <w:rFonts w:ascii="Times New Roman" w:hAnsi="Times New Roman" w:cs="Times New Roman" w:eastAsia="Times New Roman" w:hint="default"/>
                <w:sz w:val="18"/>
                <w:szCs w:val="18"/>
              </w:rPr>
            </w:pPr>
            <w:r>
              <w:rPr>
                <w:rFonts w:ascii="Times New Roman"/>
                <w:sz w:val="18"/>
              </w:rPr>
              <w:t>1,743,980.00</w:t>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7、关联方承诺" w:id="340"/>
      <w:bookmarkEnd w:id="340"/>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61" w:right="1100"/>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日，本公司无需要披露的关联方承诺事项。</w:t>
      </w:r>
    </w:p>
    <w:p>
      <w:pPr>
        <w:spacing w:line="240" w:lineRule="auto" w:before="8"/>
        <w:rPr>
          <w:rFonts w:ascii="宋体" w:hAnsi="宋体" w:cs="宋体" w:eastAsia="宋体" w:hint="default"/>
          <w:sz w:val="22"/>
          <w:szCs w:val="22"/>
        </w:rPr>
      </w:pPr>
    </w:p>
    <w:p>
      <w:pPr>
        <w:pStyle w:val="Heading2"/>
        <w:spacing w:line="240" w:lineRule="auto"/>
        <w:ind w:right="1100"/>
        <w:jc w:val="left"/>
        <w:rPr>
          <w:b w:val="0"/>
          <w:bCs w:val="0"/>
        </w:rPr>
      </w:pPr>
      <w:bookmarkStart w:name="十三、股份支付" w:id="341"/>
      <w:bookmarkEnd w:id="341"/>
      <w:r>
        <w:rPr>
          <w:b w:val="0"/>
          <w:bCs w:val="0"/>
        </w:rPr>
      </w:r>
      <w:r>
        <w:rPr/>
        <w:t>十三、股份支付</w:t>
      </w:r>
      <w:r>
        <w:rPr>
          <w:b w:val="0"/>
          <w:bCs w:val="0"/>
        </w:rPr>
      </w:r>
    </w:p>
    <w:p>
      <w:pPr>
        <w:spacing w:line="240" w:lineRule="auto" w:before="9"/>
        <w:rPr>
          <w:rFonts w:ascii="宋体" w:hAnsi="宋体" w:cs="宋体" w:eastAsia="宋体" w:hint="default"/>
          <w:b/>
          <w:bCs/>
          <w:sz w:val="25"/>
          <w:szCs w:val="25"/>
        </w:rPr>
      </w:pPr>
    </w:p>
    <w:p>
      <w:pPr>
        <w:pStyle w:val="Heading4"/>
        <w:spacing w:line="240" w:lineRule="auto"/>
        <w:ind w:right="1100"/>
        <w:jc w:val="left"/>
        <w:rPr>
          <w:b w:val="0"/>
          <w:bCs w:val="0"/>
        </w:rPr>
      </w:pPr>
      <w:bookmarkStart w:name="1、股份支付总体情况" w:id="342"/>
      <w:bookmarkEnd w:id="342"/>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4"/>
        <w:spacing w:line="240" w:lineRule="auto" w:before="125"/>
        <w:ind w:right="1100"/>
        <w:jc w:val="left"/>
        <w:rPr>
          <w:b w:val="0"/>
          <w:bCs w:val="0"/>
        </w:rPr>
      </w:pPr>
      <w:bookmarkStart w:name="2、以权益结算的股份支付情况" w:id="343"/>
      <w:bookmarkEnd w:id="343"/>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7"/>
        <w:rPr>
          <w:rFonts w:ascii="宋体" w:hAnsi="宋体" w:cs="宋体" w:eastAsia="宋体" w:hint="default"/>
          <w:sz w:val="26"/>
          <w:szCs w:val="26"/>
        </w:rPr>
      </w:pPr>
    </w:p>
    <w:p>
      <w:pPr>
        <w:pStyle w:val="Heading4"/>
        <w:spacing w:line="240" w:lineRule="auto"/>
        <w:ind w:right="1100"/>
        <w:jc w:val="left"/>
        <w:rPr>
          <w:b w:val="0"/>
          <w:bCs w:val="0"/>
        </w:rPr>
      </w:pPr>
      <w:bookmarkStart w:name="3、以现金结算的股份支付情况" w:id="344"/>
      <w:bookmarkEnd w:id="344"/>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4"/>
        <w:spacing w:line="240" w:lineRule="auto"/>
        <w:ind w:right="1100"/>
        <w:jc w:val="left"/>
        <w:rPr>
          <w:b w:val="0"/>
          <w:bCs w:val="0"/>
        </w:rPr>
      </w:pPr>
      <w:bookmarkStart w:name="4、股份支付的修改、终止情况" w:id="345"/>
      <w:bookmarkEnd w:id="345"/>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1100"/>
        <w:jc w:val="left"/>
      </w:pPr>
      <w:r>
        <w:rPr/>
        <w:t>无</w:t>
      </w:r>
    </w:p>
    <w:p>
      <w:pPr>
        <w:spacing w:line="240" w:lineRule="auto" w:before="13"/>
        <w:rPr>
          <w:rFonts w:ascii="宋体" w:hAnsi="宋体" w:cs="宋体" w:eastAsia="宋体" w:hint="default"/>
          <w:sz w:val="25"/>
          <w:szCs w:val="25"/>
        </w:rPr>
      </w:pPr>
    </w:p>
    <w:p>
      <w:pPr>
        <w:pStyle w:val="Heading2"/>
        <w:spacing w:line="240" w:lineRule="auto"/>
        <w:ind w:right="1100"/>
        <w:jc w:val="left"/>
        <w:rPr>
          <w:b w:val="0"/>
          <w:bCs w:val="0"/>
        </w:rPr>
      </w:pPr>
      <w:bookmarkStart w:name="十四、承诺及或有事项" w:id="346"/>
      <w:bookmarkEnd w:id="346"/>
      <w:r>
        <w:rPr>
          <w:b w:val="0"/>
          <w:bCs w:val="0"/>
        </w:rPr>
      </w:r>
      <w:r>
        <w:rPr/>
        <w:t>十四、承诺及或有事项</w:t>
      </w:r>
      <w:r>
        <w:rPr>
          <w:b w:val="0"/>
          <w:bCs w:val="0"/>
        </w:rPr>
      </w:r>
    </w:p>
    <w:p>
      <w:pPr>
        <w:spacing w:line="240" w:lineRule="auto" w:before="9"/>
        <w:rPr>
          <w:rFonts w:ascii="宋体" w:hAnsi="宋体" w:cs="宋体" w:eastAsia="宋体" w:hint="default"/>
          <w:b/>
          <w:bCs/>
          <w:sz w:val="25"/>
          <w:szCs w:val="25"/>
        </w:rPr>
      </w:pPr>
    </w:p>
    <w:p>
      <w:pPr>
        <w:pStyle w:val="Heading4"/>
        <w:spacing w:line="240" w:lineRule="auto"/>
        <w:ind w:right="1100"/>
        <w:jc w:val="left"/>
        <w:rPr>
          <w:b w:val="0"/>
          <w:bCs w:val="0"/>
        </w:rPr>
      </w:pPr>
      <w:bookmarkStart w:name="1、重要承诺事项" w:id="347"/>
      <w:bookmarkEnd w:id="347"/>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1100"/>
        <w:jc w:val="left"/>
      </w:pPr>
      <w:r>
        <w:rPr/>
        <w:t>资产负债表日存在的重要承诺</w:t>
      </w:r>
    </w:p>
    <w:p>
      <w:pPr>
        <w:pStyle w:val="Heading5"/>
        <w:spacing w:line="240" w:lineRule="auto" w:before="90"/>
        <w:ind w:right="1100"/>
        <w:jc w:val="left"/>
      </w:pPr>
      <w:r>
        <w:rPr/>
        <w:t>至资产负债表日止，本公司对外签订的不可撤销的经营租赁合约情况如下：</w:t>
      </w:r>
    </w:p>
    <w:p>
      <w:pPr>
        <w:spacing w:after="0" w:line="240" w:lineRule="auto"/>
        <w:jc w:val="lef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11" w:type="dxa"/>
        <w:tblLayout w:type="fixed"/>
        <w:tblCellMar>
          <w:top w:w="0" w:type="dxa"/>
          <w:left w:w="0" w:type="dxa"/>
          <w:bottom w:w="0" w:type="dxa"/>
          <w:right w:w="0" w:type="dxa"/>
        </w:tblCellMar>
        <w:tblLook w:val="01E0"/>
      </w:tblPr>
      <w:tblGrid>
        <w:gridCol w:w="5422"/>
        <w:gridCol w:w="2073"/>
        <w:gridCol w:w="2177"/>
      </w:tblGrid>
      <w:tr>
        <w:trPr>
          <w:trHeight w:val="345" w:hRule="exact"/>
        </w:trPr>
        <w:tc>
          <w:tcPr>
            <w:tcW w:w="542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b/>
                <w:bCs/>
                <w:sz w:val="18"/>
                <w:szCs w:val="18"/>
              </w:rPr>
              <w:t>剩余租赁期</w:t>
            </w:r>
            <w:r>
              <w:rPr>
                <w:rFonts w:ascii="宋体" w:hAnsi="宋体" w:cs="宋体" w:eastAsia="宋体" w:hint="default"/>
                <w:sz w:val="18"/>
                <w:szCs w:val="18"/>
              </w:rPr>
            </w:r>
          </w:p>
        </w:tc>
        <w:tc>
          <w:tcPr>
            <w:tcW w:w="20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67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720"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45" w:hRule="exact"/>
        </w:trPr>
        <w:tc>
          <w:tcPr>
            <w:tcW w:w="5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2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p>
        </w:tc>
        <w:tc>
          <w:tcPr>
            <w:tcW w:w="2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71"/>
              <w:jc w:val="right"/>
              <w:rPr>
                <w:rFonts w:ascii="Times New Roman" w:hAnsi="Times New Roman" w:cs="Times New Roman" w:eastAsia="Times New Roman" w:hint="default"/>
                <w:sz w:val="18"/>
                <w:szCs w:val="18"/>
              </w:rPr>
            </w:pPr>
            <w:r>
              <w:rPr>
                <w:rFonts w:ascii="Times New Roman"/>
                <w:sz w:val="18"/>
              </w:rPr>
              <w:t>17,487,016.43</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344"/>
              <w:jc w:val="right"/>
              <w:rPr>
                <w:rFonts w:ascii="Times New Roman" w:hAnsi="Times New Roman" w:cs="Times New Roman" w:eastAsia="Times New Roman" w:hint="default"/>
                <w:sz w:val="18"/>
                <w:szCs w:val="18"/>
              </w:rPr>
            </w:pPr>
            <w:r>
              <w:rPr>
                <w:rFonts w:ascii="Times New Roman"/>
                <w:sz w:val="18"/>
              </w:rPr>
              <w:t>7,678,294.57</w:t>
            </w:r>
          </w:p>
        </w:tc>
      </w:tr>
      <w:tr>
        <w:trPr>
          <w:trHeight w:val="330" w:hRule="exact"/>
        </w:trPr>
        <w:tc>
          <w:tcPr>
            <w:tcW w:w="5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2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年至</w:t>
            </w:r>
            <w:r>
              <w:rPr>
                <w:rFonts w:ascii="Times New Roman" w:hAnsi="Times New Roman" w:cs="Times New Roman" w:eastAsia="Times New Roman" w:hint="default"/>
                <w:sz w:val="18"/>
                <w:szCs w:val="18"/>
              </w:rPr>
              <w:t>2</w:t>
            </w:r>
            <w:r>
              <w:rPr>
                <w:rFonts w:ascii="宋体" w:hAnsi="宋体" w:cs="宋体" w:eastAsia="宋体" w:hint="default"/>
                <w:sz w:val="18"/>
                <w:szCs w:val="18"/>
              </w:rPr>
              <w:t>年（含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p>
        </w:tc>
        <w:tc>
          <w:tcPr>
            <w:tcW w:w="2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71"/>
              <w:jc w:val="right"/>
              <w:rPr>
                <w:rFonts w:ascii="Times New Roman" w:hAnsi="Times New Roman" w:cs="Times New Roman" w:eastAsia="Times New Roman" w:hint="default"/>
                <w:sz w:val="18"/>
                <w:szCs w:val="18"/>
              </w:rPr>
            </w:pPr>
            <w:r>
              <w:rPr>
                <w:rFonts w:ascii="Times New Roman"/>
                <w:sz w:val="18"/>
              </w:rPr>
              <w:t>6,936,747.55</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344"/>
              <w:jc w:val="right"/>
              <w:rPr>
                <w:rFonts w:ascii="Times New Roman" w:hAnsi="Times New Roman" w:cs="Times New Roman" w:eastAsia="Times New Roman" w:hint="default"/>
                <w:sz w:val="18"/>
                <w:szCs w:val="18"/>
              </w:rPr>
            </w:pPr>
            <w:r>
              <w:rPr>
                <w:rFonts w:ascii="Times New Roman"/>
                <w:sz w:val="18"/>
              </w:rPr>
              <w:t>1,902,159.42</w:t>
            </w:r>
          </w:p>
        </w:tc>
      </w:tr>
      <w:tr>
        <w:trPr>
          <w:trHeight w:val="345" w:hRule="exact"/>
        </w:trPr>
        <w:tc>
          <w:tcPr>
            <w:tcW w:w="5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2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年至</w:t>
            </w:r>
            <w:r>
              <w:rPr>
                <w:rFonts w:ascii="Times New Roman" w:hAnsi="Times New Roman" w:cs="Times New Roman" w:eastAsia="Times New Roman" w:hint="default"/>
                <w:sz w:val="18"/>
                <w:szCs w:val="18"/>
              </w:rPr>
              <w:t>3</w:t>
            </w:r>
            <w:r>
              <w:rPr>
                <w:rFonts w:ascii="宋体" w:hAnsi="宋体" w:cs="宋体" w:eastAsia="宋体" w:hint="default"/>
                <w:sz w:val="18"/>
                <w:szCs w:val="18"/>
              </w:rPr>
              <w:t>年（含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p>
        </w:tc>
        <w:tc>
          <w:tcPr>
            <w:tcW w:w="2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69"/>
              <w:jc w:val="right"/>
              <w:rPr>
                <w:rFonts w:ascii="Times New Roman" w:hAnsi="Times New Roman" w:cs="Times New Roman" w:eastAsia="Times New Roman" w:hint="default"/>
                <w:sz w:val="18"/>
                <w:szCs w:val="18"/>
              </w:rPr>
            </w:pPr>
            <w:r>
              <w:rPr>
                <w:rFonts w:ascii="Times New Roman"/>
                <w:sz w:val="18"/>
              </w:rPr>
              <w:t>200,353.12</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344"/>
              <w:jc w:val="right"/>
              <w:rPr>
                <w:rFonts w:ascii="Times New Roman" w:hAnsi="Times New Roman" w:cs="Times New Roman" w:eastAsia="Times New Roman" w:hint="default"/>
                <w:sz w:val="18"/>
                <w:szCs w:val="18"/>
              </w:rPr>
            </w:pPr>
            <w:r>
              <w:rPr>
                <w:rFonts w:ascii="Times New Roman"/>
                <w:sz w:val="18"/>
              </w:rPr>
              <w:t>372,713.86</w:t>
            </w:r>
          </w:p>
        </w:tc>
      </w:tr>
      <w:tr>
        <w:trPr>
          <w:trHeight w:val="346" w:hRule="exact"/>
        </w:trPr>
        <w:tc>
          <w:tcPr>
            <w:tcW w:w="5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2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7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24,624,117.10</w:t>
            </w:r>
            <w:r>
              <w:rPr>
                <w:rFonts w:ascii="Times New Roman"/>
                <w:sz w:val="18"/>
              </w:rPr>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344"/>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9,953,167.85</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Heading4"/>
        <w:spacing w:line="240" w:lineRule="auto" w:before="35"/>
        <w:ind w:right="0"/>
        <w:jc w:val="both"/>
        <w:rPr>
          <w:b w:val="0"/>
          <w:bCs w:val="0"/>
        </w:rPr>
      </w:pPr>
      <w:bookmarkStart w:name="2、或有事项" w:id="348"/>
      <w:bookmarkEnd w:id="348"/>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0"/>
        <w:jc w:val="both"/>
        <w:rPr>
          <w:b w:val="0"/>
          <w:bCs w:val="0"/>
        </w:rPr>
      </w:pPr>
      <w:bookmarkStart w:name="（1）资产负债表日存在的重要或有事项" w:id="349"/>
      <w:bookmarkEnd w:id="349"/>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61" w:right="1100"/>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日，本公司无需要披露的或有事项。</w:t>
      </w:r>
    </w:p>
    <w:p>
      <w:pPr>
        <w:spacing w:line="240" w:lineRule="auto" w:before="6"/>
        <w:rPr>
          <w:rFonts w:ascii="宋体" w:hAnsi="宋体" w:cs="宋体" w:eastAsia="宋体" w:hint="default"/>
          <w:sz w:val="26"/>
          <w:szCs w:val="26"/>
        </w:rPr>
      </w:pPr>
    </w:p>
    <w:p>
      <w:pPr>
        <w:pStyle w:val="Heading4"/>
        <w:spacing w:line="240" w:lineRule="auto"/>
        <w:ind w:right="0"/>
        <w:jc w:val="both"/>
        <w:rPr>
          <w:b w:val="0"/>
          <w:bCs w:val="0"/>
        </w:rPr>
      </w:pPr>
      <w:bookmarkStart w:name="（2）公司没有需要披露的重要或有事项，也应予以说明" w:id="350"/>
      <w:bookmarkEnd w:id="350"/>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both"/>
      </w:pPr>
      <w:r>
        <w:rPr/>
        <w:t>公司不存在需要披露的重要或有事项。</w:t>
      </w:r>
    </w:p>
    <w:p>
      <w:pPr>
        <w:spacing w:line="240" w:lineRule="auto" w:before="13"/>
        <w:rPr>
          <w:rFonts w:ascii="宋体" w:hAnsi="宋体" w:cs="宋体" w:eastAsia="宋体" w:hint="default"/>
          <w:sz w:val="25"/>
          <w:szCs w:val="25"/>
        </w:rPr>
      </w:pPr>
    </w:p>
    <w:p>
      <w:pPr>
        <w:pStyle w:val="Heading2"/>
        <w:spacing w:line="240" w:lineRule="auto"/>
        <w:ind w:right="0"/>
        <w:jc w:val="both"/>
        <w:rPr>
          <w:b w:val="0"/>
          <w:bCs w:val="0"/>
        </w:rPr>
      </w:pPr>
      <w:bookmarkStart w:name="十五、资产负债表日后事项" w:id="351"/>
      <w:bookmarkEnd w:id="351"/>
      <w:r>
        <w:rPr>
          <w:b w:val="0"/>
          <w:bCs w:val="0"/>
        </w:rPr>
      </w:r>
      <w:r>
        <w:rPr/>
        <w:t>十五、资产负债表日后事项</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0"/>
        <w:jc w:val="both"/>
        <w:rPr>
          <w:b w:val="0"/>
          <w:bCs w:val="0"/>
        </w:rPr>
      </w:pPr>
      <w:bookmarkStart w:name="1、其他资产负债表日后事项说明" w:id="352"/>
      <w:bookmarkEnd w:id="352"/>
      <w:r>
        <w:rPr>
          <w:b w:val="0"/>
          <w:bCs w:val="0"/>
        </w:rPr>
      </w:r>
      <w:r>
        <w:rPr>
          <w:rFonts w:ascii="Times New Roman" w:hAnsi="Times New Roman" w:cs="Times New Roman" w:eastAsia="Times New Roman" w:hint="default"/>
        </w:rPr>
        <w:t>1</w:t>
      </w:r>
      <w:r>
        <w:rPr/>
        <w:t>、其他资产负债表日后事项说明</w:t>
      </w:r>
      <w:r>
        <w:rPr>
          <w:b w:val="0"/>
          <w:bCs w:val="0"/>
        </w:rPr>
      </w:r>
    </w:p>
    <w:p>
      <w:pPr>
        <w:pStyle w:val="BodyText"/>
        <w:spacing w:line="430" w:lineRule="atLeast" w:before="120"/>
        <w:ind w:left="561" w:right="1100"/>
        <w:jc w:val="left"/>
      </w:pPr>
      <w:r>
        <w:rPr/>
        <w:t>注销非全资子公司 公司第二届董事会第六次会议审议通过了《关于与昆吾九鼎投资管理有限公司设立并购基金的议案》，同意公司与昆</w:t>
      </w:r>
    </w:p>
    <w:p>
      <w:pPr>
        <w:pStyle w:val="BodyText"/>
        <w:spacing w:line="304" w:lineRule="auto" w:before="95"/>
        <w:ind w:right="1127"/>
        <w:jc w:val="both"/>
      </w:pPr>
      <w:r>
        <w:rPr/>
        <w:t>吾九鼎投资管理有限公司合作设立上海温鼎投资中心（有限合伙）（以下简称</w:t>
      </w:r>
      <w:r>
        <w:rPr>
          <w:rFonts w:ascii="Times New Roman" w:hAnsi="Times New Roman" w:cs="Times New Roman" w:eastAsia="Times New Roman" w:hint="default"/>
        </w:rPr>
        <w:t>“</w:t>
      </w:r>
      <w:r>
        <w:rPr/>
        <w:t>温鼎基金</w:t>
      </w:r>
      <w:r>
        <w:rPr>
          <w:rFonts w:ascii="Times New Roman" w:hAnsi="Times New Roman" w:cs="Times New Roman" w:eastAsia="Times New Roman" w:hint="default"/>
        </w:rPr>
        <w:t>”</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12</w:t>
      </w:r>
      <w:r>
        <w:rPr/>
        <w:t>日，温鼎基金完</w:t>
      </w:r>
      <w:r>
        <w:rPr>
          <w:spacing w:val="-62"/>
        </w:rPr>
        <w:t> </w:t>
      </w:r>
      <w:r>
        <w:rPr/>
        <w:t>成工商注册登记手续取得了营业执照。截至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日，公司在温鼎基金的实缴出资金额为</w:t>
      </w:r>
      <w:r>
        <w:rPr>
          <w:rFonts w:ascii="Times New Roman" w:hAnsi="Times New Roman" w:cs="Times New Roman" w:eastAsia="Times New Roman" w:hint="default"/>
        </w:rPr>
        <w:t>14,520.5</w:t>
      </w:r>
      <w:r>
        <w:rPr/>
        <w:t>万元，占实缴出资</w:t>
      </w:r>
      <w:r>
        <w:rPr>
          <w:spacing w:val="-84"/>
        </w:rPr>
        <w:t> </w:t>
      </w:r>
      <w:r>
        <w:rPr/>
        <w:t>比例的</w:t>
      </w:r>
      <w:r>
        <w:rPr>
          <w:rFonts w:ascii="Times New Roman" w:hAnsi="Times New Roman" w:cs="Times New Roman" w:eastAsia="Times New Roman" w:hint="default"/>
        </w:rPr>
        <w:t>99.05%</w:t>
      </w:r>
      <w:r>
        <w:rPr/>
        <w:t>。</w:t>
      </w:r>
    </w:p>
    <w:p>
      <w:pPr>
        <w:pStyle w:val="BodyText"/>
        <w:spacing w:line="321" w:lineRule="auto" w:before="102"/>
        <w:ind w:right="1136" w:firstLine="420"/>
        <w:jc w:val="both"/>
      </w:pPr>
      <w:r>
        <w:rPr/>
        <w:t>截至本报告日，温鼎基金所投项目已实现全部退出，并依照投资决策程序对该项目投资所得进行了初步分配，公司已 收回全部投资本金。</w:t>
      </w:r>
    </w:p>
    <w:p>
      <w:pPr>
        <w:pStyle w:val="BodyText"/>
        <w:spacing w:line="312" w:lineRule="auto" w:before="153"/>
        <w:ind w:right="1106" w:firstLine="420"/>
        <w:jc w:val="both"/>
      </w:pPr>
      <w:r>
        <w:rPr/>
        <w:t>截至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月，基金设立协议约定的五年存续期已届满，结合目前投资市场环境和未来预期，公司于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 </w:t>
      </w:r>
      <w:r>
        <w:rPr>
          <w:spacing w:val="-2"/>
        </w:rPr>
        <w:t>召开第三届董事会第二十七次会议审议通过了《关于注销并购基金的议案》，并授权相关人员签署基金注销文件、办理注销</w:t>
      </w:r>
      <w:r>
        <w:rPr>
          <w:spacing w:val="-42"/>
        </w:rPr>
        <w:t> </w:t>
      </w:r>
      <w:r>
        <w:rPr>
          <w:spacing w:val="-42"/>
        </w:rPr>
      </w:r>
      <w:r>
        <w:rPr/>
        <w:t>清算手续等事宜，于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日完成税务注销。</w:t>
      </w:r>
    </w:p>
    <w:p>
      <w:pPr>
        <w:spacing w:line="240" w:lineRule="auto" w:before="1"/>
        <w:rPr>
          <w:rFonts w:ascii="宋体" w:hAnsi="宋体" w:cs="宋体" w:eastAsia="宋体" w:hint="default"/>
          <w:sz w:val="18"/>
          <w:szCs w:val="18"/>
        </w:rPr>
      </w:pPr>
    </w:p>
    <w:p>
      <w:pPr>
        <w:pStyle w:val="Heading2"/>
        <w:spacing w:line="240" w:lineRule="auto"/>
        <w:ind w:right="0"/>
        <w:jc w:val="both"/>
        <w:rPr>
          <w:b w:val="0"/>
          <w:bCs w:val="0"/>
        </w:rPr>
      </w:pPr>
      <w:bookmarkStart w:name="十六、其他重要事项" w:id="353"/>
      <w:bookmarkEnd w:id="353"/>
      <w:r>
        <w:rPr>
          <w:b w:val="0"/>
          <w:bCs w:val="0"/>
        </w:rPr>
      </w:r>
      <w:r>
        <w:rPr/>
        <w:t>十六、其他重要事项</w:t>
      </w:r>
      <w:r>
        <w:rPr>
          <w:b w:val="0"/>
          <w:bCs w:val="0"/>
        </w:rPr>
      </w:r>
    </w:p>
    <w:p>
      <w:pPr>
        <w:spacing w:line="240" w:lineRule="auto" w:before="9"/>
        <w:rPr>
          <w:rFonts w:ascii="宋体" w:hAnsi="宋体" w:cs="宋体" w:eastAsia="宋体" w:hint="default"/>
          <w:b/>
          <w:bCs/>
          <w:sz w:val="25"/>
          <w:szCs w:val="25"/>
        </w:rPr>
      </w:pPr>
    </w:p>
    <w:p>
      <w:pPr>
        <w:pStyle w:val="Heading4"/>
        <w:spacing w:line="240" w:lineRule="auto"/>
        <w:ind w:right="0"/>
        <w:jc w:val="both"/>
        <w:rPr>
          <w:b w:val="0"/>
          <w:bCs w:val="0"/>
        </w:rPr>
      </w:pPr>
      <w:bookmarkStart w:name="1、分部信息" w:id="354"/>
      <w:bookmarkEnd w:id="354"/>
      <w:r>
        <w:rPr>
          <w:b w:val="0"/>
          <w:bCs w:val="0"/>
        </w:rPr>
      </w:r>
      <w:r>
        <w:rPr>
          <w:rFonts w:ascii="Times New Roman" w:hAnsi="Times New Roman" w:cs="Times New Roman" w:eastAsia="Times New Roman" w:hint="default"/>
        </w:rPr>
        <w:t>1</w:t>
      </w:r>
      <w:r>
        <w:rPr/>
        <w:t>、分部信息</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0"/>
        <w:jc w:val="both"/>
        <w:rPr>
          <w:b w:val="0"/>
          <w:bCs w:val="0"/>
        </w:rPr>
      </w:pPr>
      <w:bookmarkStart w:name="（1）公司无报告分部的，或者不能披露各报告分部的资产总额和负债总额的，应说明原因" w:id="355"/>
      <w:bookmarkEnd w:id="355"/>
      <w:r>
        <w:rPr>
          <w:b w:val="0"/>
          <w:bCs w:val="0"/>
        </w:rPr>
      </w:r>
      <w:r>
        <w:rPr/>
        <w:t>（</w:t>
      </w:r>
      <w:r>
        <w:rPr>
          <w:rFonts w:ascii="Times New Roman" w:hAnsi="Times New Roman" w:cs="Times New Roman" w:eastAsia="Times New Roman" w:hint="default"/>
        </w:rPr>
        <w:t>1</w:t>
      </w:r>
      <w:r>
        <w:rPr/>
        <w:t>）公司无报告分部的，或者不能披露各报告分部的资产总额和负债总额的，应说明原因</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61" w:right="1100"/>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日，本公司业务单一不存在多种经营，无分部报告。</w:t>
      </w:r>
    </w:p>
    <w:p>
      <w:pPr>
        <w:spacing w:after="0" w:line="240" w:lineRule="auto"/>
        <w:jc w:val="left"/>
        <w:sectPr>
          <w:pgSz w:w="11910" w:h="16850"/>
          <w:pgMar w:header="731" w:footer="981" w:top="1040" w:bottom="1180" w:left="1000" w:right="0"/>
        </w:sectPr>
      </w:pPr>
    </w:p>
    <w:p>
      <w:pPr>
        <w:spacing w:line="240" w:lineRule="auto" w:before="5"/>
        <w:rPr>
          <w:rFonts w:ascii="宋体" w:hAnsi="宋体" w:cs="宋体" w:eastAsia="宋体" w:hint="default"/>
          <w:sz w:val="24"/>
          <w:szCs w:val="24"/>
        </w:rPr>
      </w:pPr>
    </w:p>
    <w:p>
      <w:pPr>
        <w:pStyle w:val="Heading2"/>
        <w:spacing w:line="240" w:lineRule="auto" w:before="26"/>
        <w:ind w:right="1100"/>
        <w:jc w:val="left"/>
        <w:rPr>
          <w:b w:val="0"/>
          <w:bCs w:val="0"/>
        </w:rPr>
      </w:pPr>
      <w:bookmarkStart w:name="十七、母公司财务报表主要项目注释" w:id="356"/>
      <w:bookmarkEnd w:id="356"/>
      <w:r>
        <w:rPr>
          <w:b w:val="0"/>
          <w:bCs w:val="0"/>
        </w:rPr>
      </w:r>
      <w:r>
        <w:rPr/>
        <w:t>十七、母公司财务报表主要项目注释</w:t>
      </w:r>
      <w:r>
        <w:rPr>
          <w:b w:val="0"/>
          <w:bCs w:val="0"/>
        </w:rPr>
      </w:r>
    </w:p>
    <w:p>
      <w:pPr>
        <w:spacing w:line="240" w:lineRule="auto" w:before="9"/>
        <w:rPr>
          <w:rFonts w:ascii="宋体" w:hAnsi="宋体" w:cs="宋体" w:eastAsia="宋体" w:hint="default"/>
          <w:b/>
          <w:bCs/>
          <w:sz w:val="25"/>
          <w:szCs w:val="25"/>
        </w:rPr>
      </w:pPr>
    </w:p>
    <w:p>
      <w:pPr>
        <w:pStyle w:val="Heading4"/>
        <w:spacing w:line="240" w:lineRule="auto"/>
        <w:ind w:right="1100"/>
        <w:jc w:val="left"/>
        <w:rPr>
          <w:b w:val="0"/>
          <w:bCs w:val="0"/>
        </w:rPr>
      </w:pPr>
      <w:bookmarkStart w:name="1、应收账款" w:id="357"/>
      <w:bookmarkEnd w:id="357"/>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1100"/>
        <w:jc w:val="left"/>
        <w:rPr>
          <w:b w:val="0"/>
          <w:bCs w:val="0"/>
        </w:rPr>
      </w:pPr>
      <w:bookmarkStart w:name="（1）应收账款分类披露" w:id="358"/>
      <w:bookmarkEnd w:id="358"/>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637"/>
        <w:gridCol w:w="766"/>
        <w:gridCol w:w="766"/>
        <w:gridCol w:w="751"/>
        <w:gridCol w:w="766"/>
        <w:gridCol w:w="796"/>
        <w:gridCol w:w="781"/>
        <w:gridCol w:w="796"/>
        <w:gridCol w:w="796"/>
        <w:gridCol w:w="796"/>
        <w:gridCol w:w="931"/>
      </w:tblGrid>
      <w:tr>
        <w:trPr>
          <w:trHeight w:val="405" w:hRule="exact"/>
        </w:trPr>
        <w:tc>
          <w:tcPr>
            <w:tcW w:w="163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9"/>
              <w:jc w:val="center"/>
              <w:rPr>
                <w:rFonts w:ascii="宋体" w:hAnsi="宋体" w:cs="宋体" w:eastAsia="宋体" w:hint="default"/>
                <w:sz w:val="18"/>
                <w:szCs w:val="18"/>
              </w:rPr>
            </w:pPr>
            <w:r>
              <w:rPr>
                <w:rFonts w:ascii="宋体" w:hAnsi="宋体" w:cs="宋体" w:eastAsia="宋体" w:hint="default"/>
                <w:sz w:val="18"/>
                <w:szCs w:val="18"/>
              </w:rPr>
              <w:t>类别</w:t>
            </w:r>
          </w:p>
        </w:tc>
        <w:tc>
          <w:tcPr>
            <w:tcW w:w="3845"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7" w:type="dxa"/>
            <w:vMerge/>
            <w:tcBorders>
              <w:left w:val="single" w:sz="6" w:space="0" w:color="000000"/>
              <w:right w:val="single" w:sz="6" w:space="0" w:color="000000"/>
            </w:tcBorders>
            <w:shd w:val="clear" w:color="auto" w:fill="D2D2D2"/>
          </w:tcPr>
          <w:p>
            <w:pPr/>
          </w:p>
        </w:tc>
        <w:tc>
          <w:tcPr>
            <w:tcW w:w="153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157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2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9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58" w:hRule="exact"/>
        </w:trPr>
        <w:tc>
          <w:tcPr>
            <w:tcW w:w="1637" w:type="dxa"/>
            <w:vMerge/>
            <w:tcBorders>
              <w:left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51"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284"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28" w:lineRule="exact"/>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81"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195" w:hRule="exact"/>
        </w:trPr>
        <w:tc>
          <w:tcPr>
            <w:tcW w:w="1637" w:type="dxa"/>
            <w:vMerge/>
            <w:tcBorders>
              <w:left w:val="single" w:sz="6" w:space="0" w:color="000000"/>
              <w:right w:val="single" w:sz="6" w:space="0" w:color="000000"/>
            </w:tcBorders>
            <w:shd w:val="clear" w:color="auto" w:fill="D2D2D2"/>
          </w:tcPr>
          <w:p>
            <w:pPr/>
          </w:p>
        </w:tc>
        <w:tc>
          <w:tcPr>
            <w:tcW w:w="7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8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5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78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6" w:space="0" w:color="000000"/>
              <w:right w:val="single" w:sz="6" w:space="0" w:color="000000"/>
            </w:tcBorders>
            <w:shd w:val="clear" w:color="auto" w:fill="D2D2D2"/>
          </w:tcPr>
          <w:p>
            <w:pPr/>
          </w:p>
        </w:tc>
      </w:tr>
      <w:tr>
        <w:trPr>
          <w:trHeight w:val="195" w:hRule="exact"/>
        </w:trPr>
        <w:tc>
          <w:tcPr>
            <w:tcW w:w="1637" w:type="dxa"/>
            <w:vMerge/>
            <w:tcBorders>
              <w:left w:val="single" w:sz="6" w:space="0" w:color="000000"/>
              <w:right w:val="single" w:sz="6" w:space="0" w:color="000000"/>
            </w:tcBorders>
            <w:shd w:val="clear" w:color="auto" w:fill="D2D2D2"/>
          </w:tcPr>
          <w:p>
            <w:pPr/>
          </w:p>
        </w:tc>
        <w:tc>
          <w:tcPr>
            <w:tcW w:w="766" w:type="dxa"/>
            <w:vMerge/>
            <w:tcBorders>
              <w:left w:val="single" w:sz="6" w:space="0" w:color="000000"/>
              <w:right w:val="single" w:sz="6" w:space="0" w:color="000000"/>
            </w:tcBorders>
            <w:shd w:val="clear" w:color="auto" w:fill="D2D2D2"/>
          </w:tcPr>
          <w:p>
            <w:pPr/>
          </w:p>
        </w:tc>
        <w:tc>
          <w:tcPr>
            <w:tcW w:w="766" w:type="dxa"/>
            <w:vMerge/>
            <w:tcBorders>
              <w:left w:val="single" w:sz="6" w:space="0" w:color="000000"/>
              <w:bottom w:val="nil" w:sz="6" w:space="0" w:color="auto"/>
              <w:right w:val="single" w:sz="6" w:space="0" w:color="000000"/>
            </w:tcBorders>
            <w:shd w:val="clear" w:color="auto" w:fill="D2D2D2"/>
          </w:tcPr>
          <w:p>
            <w:pPr/>
          </w:p>
        </w:tc>
        <w:tc>
          <w:tcPr>
            <w:tcW w:w="751" w:type="dxa"/>
            <w:vMerge/>
            <w:tcBorders>
              <w:left w:val="single" w:sz="6" w:space="0" w:color="000000"/>
              <w:bottom w:val="nil" w:sz="6" w:space="0" w:color="auto"/>
              <w:right w:val="single" w:sz="6" w:space="0" w:color="000000"/>
            </w:tcBorders>
            <w:shd w:val="clear" w:color="auto" w:fill="D2D2D2"/>
          </w:tcPr>
          <w:p>
            <w:pPr/>
          </w:p>
        </w:tc>
        <w:tc>
          <w:tcPr>
            <w:tcW w:w="766" w:type="dxa"/>
            <w:vMerge/>
            <w:tcBorders>
              <w:left w:val="single" w:sz="6" w:space="0" w:color="000000"/>
              <w:right w:val="single" w:sz="6" w:space="0" w:color="000000"/>
            </w:tcBorders>
            <w:shd w:val="clear" w:color="auto" w:fill="D2D2D2"/>
          </w:tcPr>
          <w:p>
            <w:pPr/>
          </w:p>
        </w:tc>
        <w:tc>
          <w:tcPr>
            <w:tcW w:w="796" w:type="dxa"/>
            <w:vMerge w:val="restart"/>
            <w:tcBorders>
              <w:top w:val="nil" w:sz="6" w:space="0" w:color="auto"/>
              <w:left w:val="single" w:sz="6" w:space="0" w:color="000000"/>
              <w:right w:val="single" w:sz="6" w:space="0" w:color="000000"/>
            </w:tcBorders>
            <w:shd w:val="clear" w:color="auto" w:fill="D2D2D2"/>
          </w:tcPr>
          <w:p>
            <w:pPr/>
          </w:p>
        </w:tc>
        <w:tc>
          <w:tcPr>
            <w:tcW w:w="781"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157" w:hRule="exact"/>
        </w:trPr>
        <w:tc>
          <w:tcPr>
            <w:tcW w:w="1637" w:type="dxa"/>
            <w:vMerge/>
            <w:tcBorders>
              <w:left w:val="single" w:sz="6" w:space="0" w:color="000000"/>
              <w:bottom w:val="single" w:sz="6" w:space="0" w:color="000000"/>
              <w:right w:val="single" w:sz="6" w:space="0" w:color="000000"/>
            </w:tcBorders>
            <w:shd w:val="clear" w:color="auto" w:fill="D2D2D2"/>
          </w:tcPr>
          <w:p>
            <w:pPr/>
          </w:p>
        </w:tc>
        <w:tc>
          <w:tcPr>
            <w:tcW w:w="766" w:type="dxa"/>
            <w:vMerge/>
            <w:tcBorders>
              <w:left w:val="single" w:sz="6" w:space="0" w:color="000000"/>
              <w:bottom w:val="single" w:sz="6" w:space="0" w:color="000000"/>
              <w:right w:val="single" w:sz="6" w:space="0" w:color="000000"/>
            </w:tcBorders>
            <w:shd w:val="clear" w:color="auto" w:fill="D2D2D2"/>
          </w:tcPr>
          <w:p>
            <w:pPr/>
          </w:p>
        </w:tc>
        <w:tc>
          <w:tcPr>
            <w:tcW w:w="766" w:type="dxa"/>
            <w:tcBorders>
              <w:top w:val="nil" w:sz="6" w:space="0" w:color="auto"/>
              <w:left w:val="single" w:sz="6" w:space="0" w:color="000000"/>
              <w:bottom w:val="single" w:sz="6" w:space="0" w:color="000000"/>
              <w:right w:val="single" w:sz="6" w:space="0" w:color="000000"/>
            </w:tcBorders>
            <w:shd w:val="clear" w:color="auto" w:fill="D2D2D2"/>
          </w:tcPr>
          <w:p>
            <w:pPr/>
          </w:p>
        </w:tc>
        <w:tc>
          <w:tcPr>
            <w:tcW w:w="751" w:type="dxa"/>
            <w:tcBorders>
              <w:top w:val="nil" w:sz="6" w:space="0" w:color="auto"/>
              <w:left w:val="single" w:sz="6" w:space="0" w:color="000000"/>
              <w:bottom w:val="single" w:sz="6" w:space="0" w:color="000000"/>
              <w:right w:val="single" w:sz="6" w:space="0" w:color="000000"/>
            </w:tcBorders>
            <w:shd w:val="clear" w:color="auto" w:fill="D2D2D2"/>
          </w:tcPr>
          <w:p>
            <w:pPr/>
          </w:p>
        </w:tc>
        <w:tc>
          <w:tcPr>
            <w:tcW w:w="76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81"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931" w:type="dxa"/>
            <w:vMerge/>
            <w:tcBorders>
              <w:left w:val="single" w:sz="6" w:space="0" w:color="000000"/>
              <w:bottom w:val="single" w:sz="6" w:space="0" w:color="000000"/>
              <w:right w:val="single" w:sz="6" w:space="0" w:color="000000"/>
            </w:tcBorders>
            <w:shd w:val="clear" w:color="auto" w:fill="D2D2D2"/>
          </w:tcPr>
          <w:p>
            <w:pPr/>
          </w:p>
        </w:tc>
      </w:tr>
      <w:tr>
        <w:trPr>
          <w:trHeight w:val="721"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165"/>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82" w:right="0"/>
              <w:jc w:val="left"/>
              <w:rPr>
                <w:rFonts w:ascii="Times New Roman" w:hAnsi="Times New Roman" w:cs="Times New Roman" w:eastAsia="Times New Roman" w:hint="default"/>
                <w:sz w:val="18"/>
                <w:szCs w:val="18"/>
              </w:rPr>
            </w:pPr>
            <w:r>
              <w:rPr>
                <w:rFonts w:ascii="Times New Roman"/>
                <w:sz w:val="18"/>
              </w:rPr>
              <w:t>1,360,74</w:t>
            </w:r>
          </w:p>
          <w:p>
            <w:pPr>
              <w:pStyle w:val="TableParagraph"/>
              <w:spacing w:line="240" w:lineRule="auto" w:before="93"/>
              <w:ind w:left="397" w:right="0"/>
              <w:jc w:val="left"/>
              <w:rPr>
                <w:rFonts w:ascii="Times New Roman" w:hAnsi="Times New Roman" w:cs="Times New Roman" w:eastAsia="Times New Roman" w:hint="default"/>
                <w:sz w:val="18"/>
                <w:szCs w:val="18"/>
              </w:rPr>
            </w:pPr>
            <w:r>
              <w:rPr>
                <w:rFonts w:ascii="Times New Roman"/>
                <w:sz w:val="18"/>
              </w:rPr>
              <w:t>4.85</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1.93%</w:t>
            </w:r>
            <w:r>
              <w:rPr>
                <w:rFonts w:ascii="Times New Roman"/>
                <w:sz w:val="18"/>
              </w:rPr>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left"/>
              <w:rPr>
                <w:rFonts w:ascii="Times New Roman" w:hAnsi="Times New Roman" w:cs="Times New Roman" w:eastAsia="Times New Roman" w:hint="default"/>
                <w:sz w:val="18"/>
                <w:szCs w:val="18"/>
              </w:rPr>
            </w:pPr>
            <w:r>
              <w:rPr>
                <w:rFonts w:ascii="Times New Roman"/>
                <w:sz w:val="18"/>
              </w:rPr>
              <w:t>1,360,74</w:t>
            </w:r>
          </w:p>
          <w:p>
            <w:pPr>
              <w:pStyle w:val="TableParagraph"/>
              <w:spacing w:line="240" w:lineRule="auto" w:before="93"/>
              <w:ind w:left="405" w:right="0"/>
              <w:jc w:val="left"/>
              <w:rPr>
                <w:rFonts w:ascii="Times New Roman" w:hAnsi="Times New Roman" w:cs="Times New Roman" w:eastAsia="Times New Roman" w:hint="default"/>
                <w:sz w:val="18"/>
                <w:szCs w:val="18"/>
              </w:rPr>
            </w:pPr>
            <w:r>
              <w:rPr>
                <w:rFonts w:ascii="Times New Roman"/>
                <w:sz w:val="18"/>
              </w:rPr>
              <w:t>4.85</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1,274,994</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.85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2.32%</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1,274,994</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.85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1021" w:hRule="exact"/>
        </w:trPr>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65"/>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1,360,74</w:t>
            </w:r>
          </w:p>
          <w:p>
            <w:pPr>
              <w:pStyle w:val="TableParagraph"/>
              <w:spacing w:line="240" w:lineRule="auto" w:before="93"/>
              <w:ind w:left="405" w:right="0"/>
              <w:jc w:val="left"/>
              <w:rPr>
                <w:rFonts w:ascii="Times New Roman" w:hAnsi="Times New Roman" w:cs="Times New Roman" w:eastAsia="Times New Roman" w:hint="default"/>
                <w:sz w:val="18"/>
                <w:szCs w:val="18"/>
              </w:rPr>
            </w:pPr>
            <w:r>
              <w:rPr>
                <w:rFonts w:ascii="Times New Roman"/>
                <w:sz w:val="18"/>
              </w:rPr>
              <w:t>4.85</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1.93%</w:t>
            </w:r>
            <w:r>
              <w:rPr>
                <w:rFonts w:ascii="Times New Roman"/>
                <w:sz w:val="18"/>
              </w:rPr>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1,360,74</w:t>
            </w:r>
          </w:p>
          <w:p>
            <w:pPr>
              <w:pStyle w:val="TableParagraph"/>
              <w:spacing w:line="240" w:lineRule="auto" w:before="93"/>
              <w:ind w:left="405" w:right="0"/>
              <w:jc w:val="left"/>
              <w:rPr>
                <w:rFonts w:ascii="Times New Roman" w:hAnsi="Times New Roman" w:cs="Times New Roman" w:eastAsia="Times New Roman" w:hint="default"/>
                <w:sz w:val="18"/>
                <w:szCs w:val="18"/>
              </w:rPr>
            </w:pPr>
            <w:r>
              <w:rPr>
                <w:rFonts w:ascii="Times New Roman"/>
                <w:sz w:val="18"/>
              </w:rPr>
              <w:t>4.85</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1,274,994</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.85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2.32%</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1,274,994</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.85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r>
      <w:tr>
        <w:trPr>
          <w:trHeight w:val="720"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165"/>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82" w:right="0"/>
              <w:jc w:val="left"/>
              <w:rPr>
                <w:rFonts w:ascii="Times New Roman" w:hAnsi="Times New Roman" w:cs="Times New Roman" w:eastAsia="Times New Roman" w:hint="default"/>
                <w:sz w:val="18"/>
                <w:szCs w:val="18"/>
              </w:rPr>
            </w:pPr>
            <w:r>
              <w:rPr>
                <w:rFonts w:ascii="Times New Roman"/>
                <w:sz w:val="18"/>
              </w:rPr>
              <w:t>69,235,6</w:t>
            </w:r>
          </w:p>
          <w:p>
            <w:pPr>
              <w:pStyle w:val="TableParagraph"/>
              <w:spacing w:line="240" w:lineRule="auto" w:before="93"/>
              <w:ind w:left="307" w:right="0"/>
              <w:jc w:val="left"/>
              <w:rPr>
                <w:rFonts w:ascii="Times New Roman" w:hAnsi="Times New Roman" w:cs="Times New Roman" w:eastAsia="Times New Roman" w:hint="default"/>
                <w:sz w:val="18"/>
                <w:szCs w:val="18"/>
              </w:rPr>
            </w:pPr>
            <w:r>
              <w:rPr>
                <w:rFonts w:ascii="Times New Roman"/>
                <w:sz w:val="18"/>
              </w:rPr>
              <w:t>04.77</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98.07%</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left"/>
              <w:rPr>
                <w:rFonts w:ascii="Times New Roman" w:hAnsi="Times New Roman" w:cs="Times New Roman" w:eastAsia="Times New Roman" w:hint="default"/>
                <w:sz w:val="18"/>
                <w:szCs w:val="18"/>
              </w:rPr>
            </w:pPr>
            <w:r>
              <w:rPr>
                <w:rFonts w:ascii="Times New Roman"/>
                <w:sz w:val="18"/>
              </w:rPr>
              <w:t>3,727,10</w:t>
            </w:r>
          </w:p>
          <w:p>
            <w:pPr>
              <w:pStyle w:val="TableParagraph"/>
              <w:spacing w:line="240" w:lineRule="auto" w:before="93"/>
              <w:ind w:left="405" w:right="0"/>
              <w:jc w:val="left"/>
              <w:rPr>
                <w:rFonts w:ascii="Times New Roman" w:hAnsi="Times New Roman" w:cs="Times New Roman" w:eastAsia="Times New Roman" w:hint="default"/>
                <w:sz w:val="18"/>
                <w:szCs w:val="18"/>
              </w:rPr>
            </w:pPr>
            <w:r>
              <w:rPr>
                <w:rFonts w:ascii="Times New Roman"/>
                <w:sz w:val="18"/>
              </w:rPr>
              <w:t>1.15</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5.38%</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65,508,50</w:t>
            </w:r>
          </w:p>
          <w:p>
            <w:pPr>
              <w:pStyle w:val="TableParagraph"/>
              <w:spacing w:line="240" w:lineRule="auto" w:before="93"/>
              <w:ind w:left="450" w:right="0"/>
              <w:jc w:val="left"/>
              <w:rPr>
                <w:rFonts w:ascii="Times New Roman" w:hAnsi="Times New Roman" w:cs="Times New Roman" w:eastAsia="Times New Roman" w:hint="default"/>
                <w:sz w:val="18"/>
                <w:szCs w:val="18"/>
              </w:rPr>
            </w:pPr>
            <w:r>
              <w:rPr>
                <w:rFonts w:ascii="Times New Roman"/>
                <w:sz w:val="18"/>
              </w:rPr>
              <w:t>3.62</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53,754,93</w:t>
            </w:r>
          </w:p>
          <w:p>
            <w:pPr>
              <w:pStyle w:val="TableParagraph"/>
              <w:spacing w:line="240" w:lineRule="auto" w:before="93"/>
              <w:ind w:left="420" w:right="0"/>
              <w:jc w:val="left"/>
              <w:rPr>
                <w:rFonts w:ascii="Times New Roman" w:hAnsi="Times New Roman" w:cs="Times New Roman" w:eastAsia="Times New Roman" w:hint="default"/>
                <w:sz w:val="18"/>
                <w:szCs w:val="18"/>
              </w:rPr>
            </w:pPr>
            <w:r>
              <w:rPr>
                <w:rFonts w:ascii="Times New Roman"/>
                <w:sz w:val="18"/>
              </w:rPr>
              <w:t>3.93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97.68%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2,800,881</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.64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5.21%</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50,954,052.</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29</w:t>
            </w:r>
          </w:p>
        </w:tc>
      </w:tr>
      <w:tr>
        <w:trPr>
          <w:trHeight w:val="405"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1021" w:hRule="exact"/>
        </w:trPr>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44"/>
              <w:ind w:left="15" w:right="120" w:firstLine="9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按信用风险特征 组合计提坏账准备 的应收账款</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57,257,9</w:t>
            </w:r>
          </w:p>
          <w:p>
            <w:pPr>
              <w:pStyle w:val="TableParagraph"/>
              <w:spacing w:line="240" w:lineRule="auto" w:before="93"/>
              <w:ind w:left="315" w:right="0"/>
              <w:jc w:val="left"/>
              <w:rPr>
                <w:rFonts w:ascii="Times New Roman" w:hAnsi="Times New Roman" w:cs="Times New Roman" w:eastAsia="Times New Roman" w:hint="default"/>
                <w:sz w:val="18"/>
                <w:szCs w:val="18"/>
              </w:rPr>
            </w:pPr>
            <w:r>
              <w:rPr>
                <w:rFonts w:ascii="Times New Roman"/>
                <w:sz w:val="18"/>
              </w:rPr>
              <w:t>86.52</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81.10%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3,727,10</w:t>
            </w:r>
          </w:p>
          <w:p>
            <w:pPr>
              <w:pStyle w:val="TableParagraph"/>
              <w:spacing w:line="240" w:lineRule="auto" w:before="93"/>
              <w:ind w:left="405" w:right="0"/>
              <w:jc w:val="left"/>
              <w:rPr>
                <w:rFonts w:ascii="Times New Roman" w:hAnsi="Times New Roman" w:cs="Times New Roman" w:eastAsia="Times New Roman" w:hint="default"/>
                <w:sz w:val="18"/>
                <w:szCs w:val="18"/>
              </w:rPr>
            </w:pPr>
            <w:r>
              <w:rPr>
                <w:rFonts w:ascii="Times New Roman"/>
                <w:sz w:val="18"/>
              </w:rPr>
              <w:t>1.15</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6.51%</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53,530,88</w:t>
            </w:r>
          </w:p>
          <w:p>
            <w:pPr>
              <w:pStyle w:val="TableParagraph"/>
              <w:spacing w:line="240" w:lineRule="auto" w:before="93"/>
              <w:ind w:left="450" w:right="0"/>
              <w:jc w:val="left"/>
              <w:rPr>
                <w:rFonts w:ascii="Times New Roman" w:hAnsi="Times New Roman" w:cs="Times New Roman" w:eastAsia="Times New Roman" w:hint="default"/>
                <w:sz w:val="18"/>
                <w:szCs w:val="18"/>
              </w:rPr>
            </w:pPr>
            <w:r>
              <w:rPr>
                <w:rFonts w:ascii="Times New Roman"/>
                <w:sz w:val="18"/>
              </w:rPr>
              <w:t>5.37</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49,800,84</w:t>
            </w:r>
          </w:p>
          <w:p>
            <w:pPr>
              <w:pStyle w:val="TableParagraph"/>
              <w:spacing w:line="240" w:lineRule="auto" w:before="93"/>
              <w:ind w:left="420" w:right="0"/>
              <w:jc w:val="left"/>
              <w:rPr>
                <w:rFonts w:ascii="Times New Roman" w:hAnsi="Times New Roman" w:cs="Times New Roman" w:eastAsia="Times New Roman" w:hint="default"/>
                <w:sz w:val="18"/>
                <w:szCs w:val="18"/>
              </w:rPr>
            </w:pPr>
            <w:r>
              <w:rPr>
                <w:rFonts w:ascii="Times New Roman"/>
                <w:sz w:val="18"/>
              </w:rPr>
              <w:t>6.90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90.50%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2,800,881</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.64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5.62%</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46,999,965.</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26</w:t>
            </w:r>
          </w:p>
        </w:tc>
      </w:tr>
      <w:tr>
        <w:trPr>
          <w:trHeight w:val="1020" w:hRule="exact"/>
        </w:trPr>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15"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按关联方组合计提 坏账准备的应收账 款</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11,977,6</w:t>
            </w:r>
          </w:p>
          <w:p>
            <w:pPr>
              <w:pStyle w:val="TableParagraph"/>
              <w:spacing w:line="240" w:lineRule="auto" w:before="93"/>
              <w:ind w:left="315" w:right="0"/>
              <w:jc w:val="left"/>
              <w:rPr>
                <w:rFonts w:ascii="Times New Roman" w:hAnsi="Times New Roman" w:cs="Times New Roman" w:eastAsia="Times New Roman" w:hint="default"/>
                <w:sz w:val="18"/>
                <w:szCs w:val="18"/>
              </w:rPr>
            </w:pPr>
            <w:r>
              <w:rPr>
                <w:rFonts w:ascii="Times New Roman"/>
                <w:sz w:val="18"/>
              </w:rPr>
              <w:t>18.25</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16.97%</w:t>
            </w:r>
          </w:p>
        </w:tc>
        <w:tc>
          <w:tcPr>
            <w:tcW w:w="751"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11,977,61</w:t>
            </w:r>
          </w:p>
          <w:p>
            <w:pPr>
              <w:pStyle w:val="TableParagraph"/>
              <w:spacing w:line="240" w:lineRule="auto" w:before="93"/>
              <w:ind w:left="450" w:right="0"/>
              <w:jc w:val="left"/>
              <w:rPr>
                <w:rFonts w:ascii="Times New Roman" w:hAnsi="Times New Roman" w:cs="Times New Roman" w:eastAsia="Times New Roman" w:hint="default"/>
                <w:sz w:val="18"/>
                <w:szCs w:val="18"/>
              </w:rPr>
            </w:pPr>
            <w:r>
              <w:rPr>
                <w:rFonts w:ascii="Times New Roman"/>
                <w:sz w:val="18"/>
              </w:rPr>
              <w:t>8.25</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3,954,087</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.03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7.18%</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3,954,087.0</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3</w:t>
            </w:r>
          </w:p>
        </w:tc>
      </w:tr>
      <w:tr>
        <w:trPr>
          <w:trHeight w:val="721"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70,596,3</w:t>
            </w:r>
          </w:p>
          <w:p>
            <w:pPr>
              <w:pStyle w:val="TableParagraph"/>
              <w:spacing w:line="240" w:lineRule="auto" w:before="93"/>
              <w:ind w:left="315" w:right="0"/>
              <w:jc w:val="left"/>
              <w:rPr>
                <w:rFonts w:ascii="Times New Roman" w:hAnsi="Times New Roman" w:cs="Times New Roman" w:eastAsia="Times New Roman" w:hint="default"/>
                <w:sz w:val="18"/>
                <w:szCs w:val="18"/>
              </w:rPr>
            </w:pPr>
            <w:r>
              <w:rPr>
                <w:rFonts w:ascii="Times New Roman"/>
                <w:sz w:val="18"/>
              </w:rPr>
              <w:t>49.62</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left"/>
              <w:rPr>
                <w:rFonts w:ascii="Times New Roman" w:hAnsi="Times New Roman" w:cs="Times New Roman" w:eastAsia="Times New Roman" w:hint="default"/>
                <w:sz w:val="18"/>
                <w:szCs w:val="18"/>
              </w:rPr>
            </w:pPr>
            <w:r>
              <w:rPr>
                <w:rFonts w:ascii="Times New Roman"/>
                <w:sz w:val="18"/>
              </w:rPr>
              <w:t>5,087,84</w:t>
            </w:r>
          </w:p>
          <w:p>
            <w:pPr>
              <w:pStyle w:val="TableParagraph"/>
              <w:spacing w:line="240" w:lineRule="auto" w:before="93"/>
              <w:ind w:left="405" w:right="0"/>
              <w:jc w:val="left"/>
              <w:rPr>
                <w:rFonts w:ascii="Times New Roman" w:hAnsi="Times New Roman" w:cs="Times New Roman" w:eastAsia="Times New Roman" w:hint="default"/>
                <w:sz w:val="18"/>
                <w:szCs w:val="18"/>
              </w:rPr>
            </w:pPr>
            <w:r>
              <w:rPr>
                <w:rFonts w:ascii="Times New Roman"/>
                <w:sz w:val="18"/>
              </w:rPr>
              <w:t>6.00</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7.21%</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65,508,50</w:t>
            </w:r>
          </w:p>
          <w:p>
            <w:pPr>
              <w:pStyle w:val="TableParagraph"/>
              <w:spacing w:line="240" w:lineRule="auto" w:before="93"/>
              <w:ind w:left="450" w:right="0"/>
              <w:jc w:val="left"/>
              <w:rPr>
                <w:rFonts w:ascii="Times New Roman" w:hAnsi="Times New Roman" w:cs="Times New Roman" w:eastAsia="Times New Roman" w:hint="default"/>
                <w:sz w:val="18"/>
                <w:szCs w:val="18"/>
              </w:rPr>
            </w:pPr>
            <w:r>
              <w:rPr>
                <w:rFonts w:ascii="Times New Roman"/>
                <w:sz w:val="18"/>
              </w:rPr>
              <w:t>3.62</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55,029,92</w:t>
            </w:r>
          </w:p>
          <w:p>
            <w:pPr>
              <w:pStyle w:val="TableParagraph"/>
              <w:spacing w:line="240" w:lineRule="auto" w:before="93"/>
              <w:ind w:left="420" w:right="0"/>
              <w:jc w:val="left"/>
              <w:rPr>
                <w:rFonts w:ascii="Times New Roman" w:hAnsi="Times New Roman" w:cs="Times New Roman" w:eastAsia="Times New Roman" w:hint="default"/>
                <w:sz w:val="18"/>
                <w:szCs w:val="18"/>
              </w:rPr>
            </w:pPr>
            <w:r>
              <w:rPr>
                <w:rFonts w:ascii="Times New Roman"/>
                <w:sz w:val="18"/>
              </w:rPr>
              <w:t>8.78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4,075,876</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.49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7.41%</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50,954,052.</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29</w:t>
            </w:r>
          </w:p>
        </w:tc>
      </w:tr>
    </w:tbl>
    <w:p>
      <w:pPr>
        <w:pStyle w:val="BodyText"/>
        <w:spacing w:line="240" w:lineRule="auto" w:before="44"/>
        <w:ind w:right="1100"/>
        <w:jc w:val="left"/>
      </w:pPr>
      <w:r>
        <w:rPr/>
        <w:t>按单项计提坏账准备：单项金额不重大但单独计提坏账准备</w:t>
      </w:r>
    </w:p>
    <w:p>
      <w:pPr>
        <w:pStyle w:val="BodyText"/>
        <w:spacing w:line="240" w:lineRule="auto" w:before="11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486,000.00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486,000.00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39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420,756.00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420,756.00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210,000.00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210,000.00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180,000.00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180,000.00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零散客户</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63,988.85</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63,988.85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39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1,360,744.85</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1,360,744.85</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right="1100"/>
        <w:jc w:val="left"/>
      </w:pPr>
      <w:r>
        <w:rPr/>
        <w:t>按组合计提坏账准备：信用风险特征组合</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94"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2388" w:type="dxa"/>
            <w:vMerge/>
            <w:tcBorders>
              <w:left w:val="single" w:sz="6" w:space="0" w:color="000000"/>
              <w:bottom w:val="single" w:sz="6" w:space="0" w:color="000000"/>
              <w:right w:val="single" w:sz="6" w:space="0" w:color="000000"/>
            </w:tcBorders>
            <w:shd w:val="clear" w:color="auto" w:fill="D2D2D2"/>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9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年，以下同）</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53,522,535.95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2,676,126.80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2,652,680.22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265,268.02</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10.00%</w:t>
            </w:r>
            <w:r>
              <w:rPr>
                <w:rFonts w:ascii="Times New Roman"/>
                <w:sz w:val="18"/>
              </w:rPr>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424,377.17</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127,313.15</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30.00%</w:t>
            </w:r>
            <w:r>
              <w:rPr>
                <w:rFonts w:ascii="Times New Roman"/>
                <w:sz w:val="18"/>
              </w:rPr>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658,393.18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658,393.18</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57,257,986.52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3,727,101.15</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5"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50"/>
          <w:pgMar w:header="731" w:footer="981" w:top="1040" w:bottom="1180" w:left="1000" w:right="0"/>
        </w:sectPr>
      </w:pPr>
    </w:p>
    <w:p>
      <w:pPr>
        <w:pStyle w:val="BodyText"/>
        <w:spacing w:line="352" w:lineRule="auto" w:before="44"/>
        <w:ind w:right="-20"/>
        <w:jc w:val="left"/>
      </w:pPr>
      <w:r>
        <w:rPr/>
        <w:t>确定该组合依据的说明： 按组合计提坏账准备：关联方组合</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50"/>
          <w:pgMar w:top="1040" w:bottom="1180" w:left="1000" w:right="0"/>
          <w:cols w:num="2" w:equalWidth="0">
            <w:col w:w="2842" w:space="6004"/>
            <w:col w:w="2064"/>
          </w:cols>
        </w:sectPr>
      </w:pP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94"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2388" w:type="dxa"/>
            <w:vMerge/>
            <w:tcBorders>
              <w:left w:val="single" w:sz="6" w:space="0" w:color="000000"/>
              <w:bottom w:val="single" w:sz="6" w:space="0" w:color="000000"/>
              <w:right w:val="single" w:sz="6" w:space="0" w:color="000000"/>
            </w:tcBorders>
            <w:shd w:val="clear" w:color="auto" w:fill="D2D2D2"/>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11,977,618.25</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11,977,618.25</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5"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2" w:lineRule="auto" w:before="44"/>
        <w:ind w:right="1749"/>
        <w:jc w:val="left"/>
      </w:pPr>
      <w:r>
        <w:rPr/>
        <w:t>确定该组合依据的说明： 如是按照预期信用损失一般模型计提应收账款坏账准备，请参照其他应收款的披露方式披露坏账准备的相关信息：</w:t>
      </w:r>
    </w:p>
    <w:p>
      <w:pPr>
        <w:spacing w:after="0" w:line="352" w:lineRule="auto"/>
        <w:jc w:val="left"/>
        <w:sectPr>
          <w:type w:val="continuous"/>
          <w:pgSz w:w="11910" w:h="16850"/>
          <w:pgMar w:top="1040" w:bottom="1180" w:left="1000" w:right="0"/>
        </w:sectPr>
      </w:pPr>
    </w:p>
    <w:p>
      <w:pPr>
        <w:pStyle w:val="BodyText"/>
        <w:spacing w:line="319" w:lineRule="auto" w:before="5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BodyText"/>
        <w:spacing w:line="240" w:lineRule="auto"/>
        <w:ind w:right="0"/>
        <w:jc w:val="left"/>
      </w:pPr>
      <w:r>
        <w:rPr/>
        <w:t>单位： 元</w:t>
      </w:r>
    </w:p>
    <w:p>
      <w:pPr>
        <w:spacing w:after="0" w:line="240" w:lineRule="auto"/>
        <w:jc w:val="left"/>
        <w:sectPr>
          <w:type w:val="continuous"/>
          <w:pgSz w:w="11910" w:h="16850"/>
          <w:pgMar w:top="1040" w:bottom="1180" w:left="1000" w:right="0"/>
          <w:cols w:num="2" w:equalWidth="0">
            <w:col w:w="1538" w:space="7308"/>
            <w:col w:w="2064"/>
          </w:cols>
        </w:sectPr>
      </w:pPr>
    </w:p>
    <w:p>
      <w:pPr>
        <w:spacing w:line="240" w:lineRule="auto" w:before="6"/>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4784"/>
        <w:gridCol w:w="4791"/>
      </w:tblGrid>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6"/>
              <w:jc w:val="center"/>
              <w:rPr>
                <w:rFonts w:ascii="宋体" w:hAnsi="宋体" w:cs="宋体" w:eastAsia="宋体" w:hint="default"/>
                <w:sz w:val="18"/>
                <w:szCs w:val="18"/>
              </w:rPr>
            </w:pPr>
            <w:r>
              <w:rPr>
                <w:rFonts w:ascii="宋体" w:hAnsi="宋体" w:cs="宋体" w:eastAsia="宋体" w:hint="default"/>
                <w:sz w:val="18"/>
                <w:szCs w:val="18"/>
              </w:rPr>
              <w:t>账龄</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66,034,210.20</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2,652,680.22</w:t>
            </w:r>
          </w:p>
        </w:tc>
      </w:tr>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1,031,066.02</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47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878,393.18</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755,158.97</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97,254.80</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47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25,979.41</w:t>
            </w:r>
          </w:p>
        </w:tc>
      </w:tr>
      <w:tr>
        <w:trPr>
          <w:trHeight w:val="391"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70,596,349.62</w:t>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2）本期计提、收回或转回的坏账准备情况" w:id="359"/>
      <w:bookmarkEnd w:id="35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right="1100"/>
        <w:jc w:val="left"/>
      </w:pPr>
      <w:r>
        <w:rPr/>
        <w:t>本期计提坏账准备情况：</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5482"/>
        <w:gridCol w:w="1367"/>
      </w:tblGrid>
      <w:tr>
        <w:trPr>
          <w:trHeight w:val="39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type w:val="continuous"/>
          <w:pgSz w:w="11910" w:h="16850"/>
          <w:pgMar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核销</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按单项计提坏账 准备</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1,274,994.85</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85,750.00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1,360,744.85</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按组合计提坏账 准备</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2,800,881.64</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926,219.51</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3,727,101.15</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4,075,876.49</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1,011,969.51</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5,087,846.00</w:t>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3）按欠款方归集的期末余额前五名的应收账款情况" w:id="360"/>
      <w:bookmarkEnd w:id="360"/>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706"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915" w:right="105" w:hanging="811"/>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8,267,851.03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11.71%</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413,392.55</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6,886,520.00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9.75%</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344,326.00</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5,737,792.30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8.13%</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286,889.62</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1,969,638.75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2.79%</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98,481.94</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1,900,557.56</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2.69%</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95,027.88</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24,762,359.64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35.07%</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2、其他应收款" w:id="361"/>
      <w:bookmarkEnd w:id="361"/>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6,444.44</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8,692,782.56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7,834,580.50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8,699,227.00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7,834,580.50</w:t>
            </w:r>
          </w:p>
        </w:tc>
      </w:tr>
    </w:tbl>
    <w:p>
      <w:pPr>
        <w:spacing w:line="240" w:lineRule="auto" w:before="11"/>
        <w:rPr>
          <w:rFonts w:ascii="宋体" w:hAnsi="宋体" w:cs="宋体" w:eastAsia="宋体" w:hint="default"/>
          <w:sz w:val="19"/>
          <w:szCs w:val="19"/>
        </w:rPr>
      </w:pPr>
    </w:p>
    <w:p>
      <w:pPr>
        <w:pStyle w:val="Heading4"/>
        <w:spacing w:line="508" w:lineRule="auto" w:before="35"/>
        <w:ind w:right="9129"/>
        <w:jc w:val="left"/>
        <w:rPr>
          <w:b w:val="0"/>
          <w:bCs w:val="0"/>
        </w:rPr>
      </w:pPr>
      <w:bookmarkStart w:name="（1）应收利息" w:id="362"/>
      <w:bookmarkEnd w:id="362"/>
      <w:r>
        <w:rPr>
          <w:b w:val="0"/>
          <w:bCs w:val="0"/>
        </w:rPr>
      </w:r>
      <w:r>
        <w:rPr/>
        <w:t>（</w:t>
      </w:r>
      <w:r>
        <w:rPr>
          <w:rFonts w:ascii="Times New Roman" w:hAnsi="Times New Roman" w:cs="Times New Roman" w:eastAsia="Times New Roman" w:hint="default"/>
        </w:rPr>
        <w:t>1</w:t>
      </w:r>
      <w:r>
        <w:rPr/>
        <w:t>）应收利息</w:t>
      </w:r>
      <w:r>
        <w:rPr>
          <w:w w:val="99"/>
        </w:rPr>
        <w:t> </w:t>
      </w:r>
      <w:bookmarkStart w:name="1）应收利息分类" w:id="363"/>
      <w:bookmarkEnd w:id="363"/>
      <w:r>
        <w:rPr>
          <w:w w:val="99"/>
        </w:rPr>
      </w:r>
      <w:r>
        <w:rPr>
          <w:rFonts w:ascii="Times New Roman" w:hAnsi="Times New Roman" w:cs="Times New Roman" w:eastAsia="Times New Roman" w:hint="default"/>
          <w:w w:val="95"/>
        </w:rPr>
        <w:t>1</w:t>
      </w:r>
      <w:r>
        <w:rPr>
          <w:w w:val="95"/>
        </w:rPr>
        <w:t>）应收利息分类</w:t>
      </w:r>
      <w:r>
        <w:rPr>
          <w:b w:val="0"/>
          <w:bCs w:val="0"/>
        </w:rPr>
      </w:r>
    </w:p>
    <w:p>
      <w:pPr>
        <w:pStyle w:val="BodyText"/>
        <w:spacing w:line="240" w:lineRule="auto" w:before="69"/>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6,444.44</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6,444.44</w:t>
            </w:r>
          </w:p>
        </w:tc>
        <w:tc>
          <w:tcPr>
            <w:tcW w:w="319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2）坏账准备计提情况" w:id="364"/>
      <w:bookmarkEnd w:id="364"/>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4"/>
        <w:spacing w:line="496" w:lineRule="auto" w:before="35"/>
        <w:ind w:right="7481"/>
        <w:jc w:val="left"/>
        <w:rPr>
          <w:b w:val="0"/>
          <w:bCs w:val="0"/>
        </w:rPr>
      </w:pPr>
      <w:bookmarkStart w:name="（2）其他应收款" w:id="365"/>
      <w:bookmarkEnd w:id="365"/>
      <w:r>
        <w:rPr>
          <w:b w:val="0"/>
          <w:bCs w:val="0"/>
        </w:rPr>
      </w:r>
      <w:r>
        <w:rPr/>
        <w:t>（</w:t>
      </w:r>
      <w:r>
        <w:rPr>
          <w:rFonts w:ascii="Times New Roman" w:hAnsi="Times New Roman" w:cs="Times New Roman" w:eastAsia="Times New Roman" w:hint="default"/>
        </w:rPr>
        <w:t>2</w:t>
      </w:r>
      <w:r>
        <w:rPr/>
        <w:t>）其他应收款</w:t>
      </w:r>
      <w:r>
        <w:rPr>
          <w:w w:val="99"/>
        </w:rPr>
        <w:t> </w:t>
      </w:r>
      <w:bookmarkStart w:name="1）其他应收款按款项性质分类情况" w:id="366"/>
      <w:bookmarkEnd w:id="366"/>
      <w:r>
        <w:rPr>
          <w:w w:val="99"/>
        </w:rPr>
      </w:r>
      <w:r>
        <w:rPr>
          <w:rFonts w:ascii="Times New Roman" w:hAnsi="Times New Roman" w:cs="Times New Roman" w:eastAsia="Times New Roman" w:hint="default"/>
        </w:rPr>
        <w:t>1</w:t>
      </w:r>
      <w:r>
        <w:rPr/>
        <w:t>）其他应收款按款项性质分类情况</w:t>
      </w:r>
      <w:r>
        <w:rPr>
          <w:b w:val="0"/>
          <w:bCs w:val="0"/>
        </w:rPr>
      </w:r>
    </w:p>
    <w:p>
      <w:pPr>
        <w:pStyle w:val="BodyText"/>
        <w:spacing w:line="240" w:lineRule="auto" w:before="81"/>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1,041,326.40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1,006,026.40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7,635,406.66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6,828,554.10</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18,319.50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9,776,000.00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8,695,052.56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17,610,580.50</w:t>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2）坏账准备计提情况" w:id="367"/>
      <w:bookmarkEnd w:id="367"/>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900"/>
        <w:gridCol w:w="1667"/>
        <w:gridCol w:w="2103"/>
        <w:gridCol w:w="2102"/>
        <w:gridCol w:w="1802"/>
      </w:tblGrid>
      <w:tr>
        <w:trPr>
          <w:trHeight w:val="405" w:hRule="exact"/>
        </w:trPr>
        <w:tc>
          <w:tcPr>
            <w:tcW w:w="1900" w:type="dxa"/>
            <w:tcBorders>
              <w:top w:val="single" w:sz="6" w:space="0" w:color="000000"/>
              <w:left w:val="single" w:sz="6" w:space="0" w:color="000000"/>
              <w:bottom w:val="nil" w:sz="6" w:space="0" w:color="auto"/>
              <w:right w:val="single" w:sz="6" w:space="0" w:color="000000"/>
            </w:tcBorders>
            <w:shd w:val="clear" w:color="auto" w:fill="D2D2D2"/>
          </w:tcPr>
          <w:p>
            <w:pPr/>
          </w:p>
        </w:tc>
        <w:tc>
          <w:tcPr>
            <w:tcW w:w="16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7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3" w:hRule="exact"/>
        </w:trPr>
        <w:tc>
          <w:tcPr>
            <w:tcW w:w="1900"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7"/>
              <w:ind w:left="57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7" w:type="dxa"/>
            <w:vMerge w:val="restart"/>
            <w:tcBorders>
              <w:top w:val="single" w:sz="6" w:space="0" w:color="000000"/>
              <w:left w:val="single" w:sz="6" w:space="0" w:color="000000"/>
              <w:right w:val="single" w:sz="6" w:space="0" w:color="000000"/>
            </w:tcBorders>
            <w:shd w:val="clear" w:color="auto" w:fill="D2D2D2"/>
          </w:tcPr>
          <w:p>
            <w:pPr>
              <w:pStyle w:val="TableParagraph"/>
              <w:spacing w:line="276" w:lineRule="auto" w:before="59"/>
              <w:ind w:left="555" w:right="59" w:hanging="49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个月预期信 用损失</w:t>
            </w:r>
          </w:p>
        </w:tc>
        <w:tc>
          <w:tcPr>
            <w:tcW w:w="210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80"/>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80"/>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2" w:type="dxa"/>
            <w:vMerge/>
            <w:tcBorders>
              <w:left w:val="single" w:sz="6" w:space="0" w:color="000000"/>
              <w:right w:val="single" w:sz="6" w:space="0" w:color="000000"/>
            </w:tcBorders>
            <w:shd w:val="clear" w:color="auto" w:fill="D2D2D2"/>
          </w:tcPr>
          <w:p>
            <w:pPr/>
          </w:p>
        </w:tc>
      </w:tr>
      <w:tr>
        <w:trPr>
          <w:trHeight w:val="368" w:hRule="exact"/>
        </w:trPr>
        <w:tc>
          <w:tcPr>
            <w:tcW w:w="1900" w:type="dxa"/>
            <w:tcBorders>
              <w:top w:val="nil" w:sz="6" w:space="0" w:color="auto"/>
              <w:left w:val="single" w:sz="6" w:space="0" w:color="000000"/>
              <w:bottom w:val="single" w:sz="6" w:space="0" w:color="000000"/>
              <w:right w:val="single" w:sz="6" w:space="0" w:color="000000"/>
            </w:tcBorders>
            <w:shd w:val="clear" w:color="auto" w:fill="D2D2D2"/>
          </w:tcPr>
          <w:p>
            <w:pPr/>
          </w:p>
        </w:tc>
        <w:tc>
          <w:tcPr>
            <w:tcW w:w="1667" w:type="dxa"/>
            <w:vMerge/>
            <w:tcBorders>
              <w:left w:val="single" w:sz="6" w:space="0" w:color="000000"/>
              <w:bottom w:val="single" w:sz="6" w:space="0" w:color="000000"/>
              <w:right w:val="single" w:sz="6" w:space="0" w:color="000000"/>
            </w:tcBorders>
            <w:shd w:val="clear" w:color="auto" w:fill="D2D2D2"/>
          </w:tcPr>
          <w:p>
            <w:pPr/>
          </w:p>
        </w:tc>
        <w:tc>
          <w:tcPr>
            <w:tcW w:w="2103" w:type="dxa"/>
            <w:vMerge/>
            <w:tcBorders>
              <w:left w:val="single" w:sz="6" w:space="0" w:color="000000"/>
              <w:bottom w:val="single" w:sz="6" w:space="0" w:color="000000"/>
              <w:right w:val="single" w:sz="6" w:space="0" w:color="000000"/>
            </w:tcBorders>
            <w:shd w:val="clear" w:color="auto" w:fill="D2D2D2"/>
          </w:tcPr>
          <w:p>
            <w:pPr/>
          </w:p>
        </w:tc>
        <w:tc>
          <w:tcPr>
            <w:tcW w:w="2102" w:type="dxa"/>
            <w:vMerge/>
            <w:tcBorders>
              <w:left w:val="single" w:sz="6" w:space="0" w:color="000000"/>
              <w:bottom w:val="single" w:sz="6" w:space="0" w:color="000000"/>
              <w:right w:val="single" w:sz="6" w:space="0" w:color="000000"/>
            </w:tcBorders>
            <w:shd w:val="clear" w:color="auto" w:fill="D2D2D2"/>
          </w:tcPr>
          <w:p>
            <w:pP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390"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67" w:type="dxa"/>
            <w:tcBorders>
              <w:top w:val="single" w:sz="6" w:space="0" w:color="000000"/>
              <w:left w:val="single" w:sz="18" w:space="0" w:color="D2D2D2"/>
              <w:bottom w:val="single" w:sz="6" w:space="0" w:color="000000"/>
              <w:right w:val="single" w:sz="6" w:space="0" w:color="000000"/>
            </w:tcBorders>
          </w:tcPr>
          <w:p>
            <w:pP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9,776,000.00</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9,776,000.00</w:t>
            </w:r>
          </w:p>
        </w:tc>
      </w:tr>
      <w:tr>
        <w:trPr>
          <w:trHeight w:val="173" w:hRule="exact"/>
        </w:trPr>
        <w:tc>
          <w:tcPr>
            <w:tcW w:w="1900" w:type="dxa"/>
            <w:vMerge w:val="restart"/>
            <w:tcBorders>
              <w:top w:val="single" w:sz="6" w:space="0" w:color="000000"/>
              <w:left w:val="single" w:sz="6" w:space="0" w:color="000000"/>
              <w:right w:val="single" w:sz="6" w:space="0" w:color="000000"/>
            </w:tcBorders>
            <w:shd w:val="clear" w:color="auto" w:fill="D2D2D2"/>
          </w:tcPr>
          <w:p>
            <w:pPr>
              <w:pStyle w:val="TableParagraph"/>
              <w:spacing w:line="290" w:lineRule="auto" w:before="59"/>
              <w:ind w:left="7"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日余额在 本期</w:t>
            </w:r>
          </w:p>
        </w:tc>
        <w:tc>
          <w:tcPr>
            <w:tcW w:w="1667" w:type="dxa"/>
            <w:tcBorders>
              <w:top w:val="single" w:sz="6" w:space="0" w:color="000000"/>
              <w:left w:val="single" w:sz="6" w:space="0" w:color="000000"/>
              <w:bottom w:val="nil" w:sz="6" w:space="0" w:color="auto"/>
              <w:right w:val="single" w:sz="6" w:space="0" w:color="000000"/>
            </w:tcBorders>
            <w:shd w:val="clear" w:color="auto" w:fill="D2D2D2"/>
          </w:tcPr>
          <w:p>
            <w:pPr/>
          </w:p>
        </w:tc>
        <w:tc>
          <w:tcPr>
            <w:tcW w:w="2103" w:type="dxa"/>
            <w:tcBorders>
              <w:top w:val="single" w:sz="6" w:space="0" w:color="000000"/>
              <w:left w:val="single" w:sz="6" w:space="0" w:color="000000"/>
              <w:bottom w:val="nil" w:sz="6" w:space="0" w:color="auto"/>
              <w:right w:val="single" w:sz="6" w:space="0" w:color="000000"/>
            </w:tcBorders>
            <w:shd w:val="clear" w:color="auto" w:fill="D2D2D2"/>
          </w:tcPr>
          <w:p>
            <w:pPr/>
          </w:p>
        </w:tc>
        <w:tc>
          <w:tcPr>
            <w:tcW w:w="2102" w:type="dxa"/>
            <w:tcBorders>
              <w:top w:val="single" w:sz="6" w:space="0" w:color="000000"/>
              <w:left w:val="single" w:sz="6" w:space="0" w:color="000000"/>
              <w:bottom w:val="nil" w:sz="6" w:space="0" w:color="auto"/>
              <w:right w:val="single" w:sz="6" w:space="0" w:color="000000"/>
            </w:tcBorders>
            <w:shd w:val="clear" w:color="auto" w:fill="D2D2D2"/>
          </w:tcPr>
          <w:p>
            <w:pPr/>
          </w:p>
        </w:tc>
        <w:tc>
          <w:tcPr>
            <w:tcW w:w="1802"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0" w:hRule="exact"/>
        </w:trPr>
        <w:tc>
          <w:tcPr>
            <w:tcW w:w="1900" w:type="dxa"/>
            <w:vMerge/>
            <w:tcBorders>
              <w:left w:val="single" w:sz="6" w:space="0" w:color="000000"/>
              <w:right w:val="single" w:sz="6" w:space="0" w:color="000000"/>
            </w:tcBorders>
            <w:shd w:val="clear" w:color="auto" w:fill="D2D2D2"/>
          </w:tcPr>
          <w:p>
            <w:pPr/>
          </w:p>
        </w:tc>
        <w:tc>
          <w:tcPr>
            <w:tcW w:w="166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58" w:hRule="exact"/>
        </w:trPr>
        <w:tc>
          <w:tcPr>
            <w:tcW w:w="1900" w:type="dxa"/>
            <w:vMerge/>
            <w:tcBorders>
              <w:left w:val="single" w:sz="6" w:space="0" w:color="000000"/>
              <w:bottom w:val="single" w:sz="6" w:space="0" w:color="000000"/>
              <w:right w:val="single" w:sz="6" w:space="0" w:color="000000"/>
            </w:tcBorders>
            <w:shd w:val="clear" w:color="auto" w:fill="D2D2D2"/>
          </w:tcPr>
          <w:p>
            <w:pPr/>
          </w:p>
        </w:tc>
        <w:tc>
          <w:tcPr>
            <w:tcW w:w="1667" w:type="dxa"/>
            <w:tcBorders>
              <w:top w:val="nil" w:sz="6" w:space="0" w:color="auto"/>
              <w:left w:val="single" w:sz="6" w:space="0" w:color="000000"/>
              <w:bottom w:val="single" w:sz="6" w:space="0" w:color="000000"/>
              <w:right w:val="single" w:sz="6" w:space="0" w:color="000000"/>
            </w:tcBorders>
            <w:shd w:val="clear" w:color="auto" w:fill="D2D2D2"/>
          </w:tcPr>
          <w:p>
            <w:pPr/>
          </w:p>
        </w:tc>
        <w:tc>
          <w:tcPr>
            <w:tcW w:w="2103" w:type="dxa"/>
            <w:tcBorders>
              <w:top w:val="nil" w:sz="6" w:space="0" w:color="auto"/>
              <w:left w:val="single" w:sz="6" w:space="0" w:color="000000"/>
              <w:bottom w:val="single" w:sz="6" w:space="0" w:color="000000"/>
              <w:right w:val="single" w:sz="6" w:space="0" w:color="000000"/>
            </w:tcBorders>
            <w:shd w:val="clear" w:color="auto" w:fill="D2D2D2"/>
          </w:tcPr>
          <w:p>
            <w:pPr/>
          </w:p>
        </w:tc>
        <w:tc>
          <w:tcPr>
            <w:tcW w:w="2102" w:type="dxa"/>
            <w:tcBorders>
              <w:top w:val="nil" w:sz="6" w:space="0" w:color="auto"/>
              <w:left w:val="single" w:sz="6" w:space="0" w:color="000000"/>
              <w:bottom w:val="single" w:sz="6" w:space="0" w:color="000000"/>
              <w:right w:val="single" w:sz="6" w:space="0" w:color="000000"/>
            </w:tcBorders>
            <w:shd w:val="clear" w:color="auto" w:fill="D2D2D2"/>
          </w:tcPr>
          <w:p>
            <w:pP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7" w:type="dxa"/>
            <w:tcBorders>
              <w:top w:val="single" w:sz="6" w:space="0" w:color="000000"/>
              <w:left w:val="single" w:sz="18" w:space="0" w:color="D2D2D2"/>
              <w:bottom w:val="single" w:sz="6" w:space="0" w:color="000000"/>
              <w:right w:val="single" w:sz="6" w:space="0" w:color="000000"/>
            </w:tcBorders>
          </w:tcPr>
          <w:p>
            <w:pP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2,270.00</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2,270.00</w:t>
            </w: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67" w:type="dxa"/>
            <w:tcBorders>
              <w:top w:val="single" w:sz="6" w:space="0" w:color="000000"/>
              <w:left w:val="single" w:sz="18" w:space="0" w:color="D2D2D2"/>
              <w:bottom w:val="single" w:sz="6" w:space="0" w:color="000000"/>
              <w:right w:val="single" w:sz="6" w:space="0" w:color="000000"/>
            </w:tcBorders>
          </w:tcPr>
          <w:p>
            <w:pP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50,000.00</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50,000.00</w:t>
            </w:r>
          </w:p>
        </w:tc>
      </w:tr>
      <w:tr>
        <w:trPr>
          <w:trHeight w:val="391"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67" w:type="dxa"/>
            <w:tcBorders>
              <w:top w:val="single" w:sz="6" w:space="0" w:color="000000"/>
              <w:left w:val="single" w:sz="18" w:space="0" w:color="D2D2D2"/>
              <w:bottom w:val="single" w:sz="6" w:space="0" w:color="000000"/>
              <w:right w:val="single" w:sz="6" w:space="0" w:color="000000"/>
            </w:tcBorders>
          </w:tcPr>
          <w:p>
            <w:pP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9,726,000.00</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9,726,000.00</w:t>
            </w: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7" w:type="dxa"/>
            <w:tcBorders>
              <w:top w:val="single" w:sz="6" w:space="0" w:color="000000"/>
              <w:left w:val="single" w:sz="18" w:space="0" w:color="D2D2D2"/>
              <w:bottom w:val="single" w:sz="6" w:space="0" w:color="000000"/>
              <w:right w:val="single" w:sz="6" w:space="0" w:color="000000"/>
            </w:tcBorders>
          </w:tcPr>
          <w:p>
            <w:pP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2,270.00</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2,270.00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pStyle w:val="BodyText"/>
        <w:spacing w:line="240" w:lineRule="auto" w:before="44"/>
        <w:ind w:right="-20"/>
        <w:jc w:val="left"/>
      </w:pPr>
      <w:r>
        <w:rPr/>
        <w:t>损失准备本期变动金额重大的账面余额变动情况</w:t>
      </w:r>
    </w:p>
    <w:p>
      <w:pPr>
        <w:pStyle w:val="BodyText"/>
        <w:spacing w:line="333" w:lineRule="auto" w:before="125"/>
        <w:ind w:right="159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3"/>
        <w:ind w:right="0"/>
        <w:jc w:val="left"/>
      </w:pPr>
      <w:r>
        <w:rPr/>
        <w:t>单位： 元</w:t>
      </w:r>
    </w:p>
    <w:p>
      <w:pPr>
        <w:spacing w:after="0" w:line="240" w:lineRule="auto"/>
        <w:jc w:val="left"/>
        <w:sectPr>
          <w:type w:val="continuous"/>
          <w:pgSz w:w="11910" w:h="16850"/>
          <w:pgMar w:top="1040" w:bottom="1180" w:left="1000" w:right="0"/>
          <w:cols w:num="2" w:equalWidth="0">
            <w:col w:w="3922" w:space="4924"/>
            <w:col w:w="2064"/>
          </w:cols>
        </w:sectPr>
      </w:pP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4776"/>
        <w:gridCol w:w="4798"/>
      </w:tblGrid>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账龄</w:t>
            </w:r>
          </w:p>
        </w:tc>
        <w:tc>
          <w:tcPr>
            <w:tcW w:w="47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1"/>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3,057,305.20</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885,989.30</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1,627,193.00</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3,124,565.06</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75,542.00</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1,809,788.38</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1,239,234.68</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8,695,052.56</w:t>
            </w:r>
          </w:p>
        </w:tc>
      </w:tr>
    </w:tbl>
    <w:p>
      <w:pPr>
        <w:spacing w:after="0" w:line="240" w:lineRule="auto"/>
        <w:jc w:val="right"/>
        <w:rPr>
          <w:rFonts w:ascii="Times New Roman" w:hAnsi="Times New Roman" w:cs="Times New Roman" w:eastAsia="Times New Roman" w:hint="default"/>
          <w:sz w:val="18"/>
          <w:szCs w:val="18"/>
        </w:rPr>
        <w:sectPr>
          <w:type w:val="continuous"/>
          <w:pgSz w:w="11910" w:h="16850"/>
          <w:pgMar w:top="1040" w:bottom="1180" w:left="1000" w:right="0"/>
        </w:sectPr>
      </w:pPr>
    </w:p>
    <w:p>
      <w:pPr>
        <w:spacing w:line="240" w:lineRule="auto" w:before="5"/>
        <w:rPr>
          <w:rFonts w:ascii="宋体" w:hAnsi="宋体" w:cs="宋体" w:eastAsia="宋体" w:hint="default"/>
          <w:sz w:val="26"/>
          <w:szCs w:val="26"/>
        </w:rPr>
      </w:pPr>
      <w:r>
        <w:rPr/>
        <w:pict>
          <v:shape style="position:absolute;margin-left:368.700012pt;margin-top:526.229980pt;width:86.4pt;height:23.25pt;mso-position-horizontal-relative:page;mso-position-vertical-relative:page;z-index:-1120000" type="#_x0000_t202" filled="false" stroked="false">
            <v:textbox inset="0,0,0,0">
              <w:txbxContent>
                <w:p>
                  <w:pPr>
                    <w:pStyle w:val="BodyText"/>
                    <w:spacing w:line="240" w:lineRule="auto" w:before="59"/>
                    <w:ind w:left="0" w:right="0"/>
                    <w:jc w:val="left"/>
                  </w:pPr>
                  <w:r>
                    <w:rPr/>
                    <w:t>；</w:t>
                  </w:r>
                </w:p>
              </w:txbxContent>
            </v:textbox>
            <w10:wrap type="none"/>
          </v:shape>
        </w:pict>
      </w:r>
      <w:r>
        <w:rPr/>
        <w:pict>
          <v:group style="position:absolute;margin-left:374.730011pt;margin-top:526.229980pt;width:80.350pt;height:23.25pt;mso-position-horizontal-relative:page;mso-position-vertical-relative:page;z-index:-1119976" coordorigin="7495,10525" coordsize="1607,465">
            <v:shape style="position:absolute;left:7495;top:10525;width:1607;height:465" coordorigin="7495,10525" coordsize="1607,465" path="m7495,10990l9102,10990,9102,10525,7495,10525,7495,10990xe" filled="true" fillcolor="#ffffff" stroked="false">
              <v:path arrowok="t"/>
              <v:fill type="solid"/>
            </v:shape>
            <w10:wrap type="none"/>
          </v:group>
        </w:pict>
      </w:r>
    </w:p>
    <w:p>
      <w:pPr>
        <w:pStyle w:val="Heading4"/>
        <w:spacing w:line="240" w:lineRule="auto" w:before="35"/>
        <w:ind w:right="1100"/>
        <w:jc w:val="left"/>
        <w:rPr>
          <w:b w:val="0"/>
          <w:bCs w:val="0"/>
        </w:rPr>
      </w:pPr>
      <w:bookmarkStart w:name="3）本期实际核销的其他应收款情况" w:id="368"/>
      <w:bookmarkEnd w:id="368"/>
      <w:r>
        <w:rPr>
          <w:b w:val="0"/>
          <w:bCs w:val="0"/>
        </w:rPr>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9,726,000.00</w:t>
            </w:r>
          </w:p>
        </w:tc>
      </w:tr>
    </w:tbl>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682"/>
        <w:gridCol w:w="1562"/>
        <w:gridCol w:w="1547"/>
        <w:gridCol w:w="1562"/>
        <w:gridCol w:w="1607"/>
        <w:gridCol w:w="1622"/>
      </w:tblGrid>
      <w:tr>
        <w:trPr>
          <w:trHeight w:val="706" w:hRule="exact"/>
        </w:trPr>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6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540" w:right="74" w:hanging="451"/>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20"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30"/>
              <w:jc w:val="left"/>
              <w:rPr>
                <w:rFonts w:ascii="宋体" w:hAnsi="宋体" w:cs="宋体" w:eastAsia="宋体" w:hint="default"/>
                <w:sz w:val="18"/>
                <w:szCs w:val="18"/>
              </w:rPr>
            </w:pPr>
            <w:r>
              <w:rPr>
                <w:rFonts w:ascii="宋体" w:hAnsi="宋体" w:cs="宋体" w:eastAsia="宋体" w:hint="default"/>
                <w:sz w:val="18"/>
                <w:szCs w:val="18"/>
              </w:rPr>
              <w:t>飞天万谷智能科技有 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9,726,000.00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1607" w:type="dxa"/>
            <w:tcBorders>
              <w:top w:val="single" w:sz="6" w:space="0" w:color="000000"/>
              <w:left w:val="single" w:sz="6" w:space="0" w:color="000000"/>
              <w:bottom w:val="single" w:sz="6" w:space="0" w:color="000000"/>
              <w:right w:val="single" w:sz="6" w:space="0" w:color="000000"/>
            </w:tcBorders>
          </w:tcPr>
          <w:p>
            <w:pP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9,726,000.00</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6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4）按欠款方归集的期末余额前五名的其他应收款情况" w:id="369"/>
      <w:bookmarkEnd w:id="369"/>
      <w:r>
        <w:rPr>
          <w:b w:val="0"/>
          <w:bCs w:val="0"/>
        </w:rPr>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682"/>
        <w:gridCol w:w="1562"/>
        <w:gridCol w:w="1547"/>
        <w:gridCol w:w="1562"/>
        <w:gridCol w:w="593"/>
        <w:gridCol w:w="1014"/>
        <w:gridCol w:w="1622"/>
      </w:tblGrid>
      <w:tr>
        <w:trPr>
          <w:trHeight w:val="706" w:hRule="exact"/>
        </w:trPr>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0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5" w:right="76"/>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651"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21" w:lineRule="auto"/>
              <w:ind w:left="15" w:right="30"/>
              <w:jc w:val="left"/>
              <w:rPr>
                <w:rFonts w:ascii="宋体" w:hAnsi="宋体" w:cs="宋体" w:eastAsia="宋体" w:hint="default"/>
                <w:sz w:val="18"/>
                <w:szCs w:val="18"/>
              </w:rPr>
            </w:pPr>
            <w:r>
              <w:rPr>
                <w:rFonts w:ascii="宋体" w:hAnsi="宋体" w:cs="宋体" w:eastAsia="宋体" w:hint="default"/>
                <w:sz w:val="18"/>
                <w:szCs w:val="18"/>
              </w:rPr>
              <w:t>北京城建天麓房地产 开发有限公司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房租保证金</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2,198,937.60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415,057.50</w:t>
            </w:r>
            <w:r>
              <w:rPr>
                <w:rFonts w:ascii="宋体" w:hAnsi="宋体" w:cs="宋体" w:eastAsia="宋体" w:hint="default"/>
                <w:sz w:val="18"/>
                <w:szCs w:val="18"/>
              </w:rPr>
              <w:t>；</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p>
            <w:pPr>
              <w:pStyle w:val="TableParagraph"/>
              <w:spacing w:line="240" w:lineRule="auto" w:before="5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88,923.60</w:t>
            </w:r>
            <w:r>
              <w:rPr>
                <w:rFonts w:ascii="宋体" w:hAnsi="宋体" w:cs="宋体" w:eastAsia="宋体" w:hint="default"/>
                <w:sz w:val="18"/>
                <w:szCs w:val="18"/>
              </w:rPr>
              <w:t>；</w:t>
            </w: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p>
          <w:p>
            <w:pPr>
              <w:pStyle w:val="TableParagraph"/>
              <w:spacing w:line="304" w:lineRule="auto" w:before="66"/>
              <w:ind w:left="30" w:right="2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192,174.30</w:t>
            </w: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年以 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1,502,782.20</w:t>
            </w:r>
          </w:p>
        </w:tc>
        <w:tc>
          <w:tcPr>
            <w:tcW w:w="16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020" w:right="0"/>
              <w:jc w:val="left"/>
              <w:rPr>
                <w:rFonts w:ascii="Times New Roman" w:hAnsi="Times New Roman" w:cs="Times New Roman" w:eastAsia="Times New Roman" w:hint="default"/>
                <w:sz w:val="18"/>
                <w:szCs w:val="18"/>
              </w:rPr>
            </w:pPr>
            <w:r>
              <w:rPr>
                <w:rFonts w:ascii="Times New Roman"/>
                <w:sz w:val="18"/>
              </w:rPr>
              <w:t>25.30%</w:t>
            </w:r>
          </w:p>
        </w:tc>
        <w:tc>
          <w:tcPr>
            <w:tcW w:w="1622"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30"/>
              <w:jc w:val="left"/>
              <w:rPr>
                <w:rFonts w:ascii="宋体" w:hAnsi="宋体" w:cs="宋体" w:eastAsia="宋体" w:hint="default"/>
                <w:sz w:val="18"/>
                <w:szCs w:val="18"/>
              </w:rPr>
            </w:pPr>
            <w:r>
              <w:rPr>
                <w:rFonts w:ascii="宋体" w:hAnsi="宋体" w:cs="宋体" w:eastAsia="宋体" w:hint="default"/>
                <w:sz w:val="18"/>
                <w:szCs w:val="18"/>
              </w:rPr>
              <w:t>东莞市新太阳企业开 发有限公司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639,298.00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16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7.35%</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30"/>
              <w:jc w:val="left"/>
              <w:rPr>
                <w:rFonts w:ascii="宋体" w:hAnsi="宋体" w:cs="宋体" w:eastAsia="宋体" w:hint="default"/>
                <w:sz w:val="18"/>
                <w:szCs w:val="18"/>
              </w:rPr>
            </w:pPr>
            <w:r>
              <w:rPr>
                <w:rFonts w:ascii="宋体" w:hAnsi="宋体" w:cs="宋体" w:eastAsia="宋体" w:hint="default"/>
                <w:sz w:val="18"/>
                <w:szCs w:val="18"/>
              </w:rPr>
              <w:t>深圳市锦弘霖电子设 备有限公司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600,000.00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p>
        </w:tc>
        <w:tc>
          <w:tcPr>
            <w:tcW w:w="16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6.90%</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
        </w:tc>
      </w:tr>
      <w:tr>
        <w:trPr>
          <w:trHeight w:val="1336"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15" w:right="30"/>
              <w:jc w:val="left"/>
              <w:rPr>
                <w:rFonts w:ascii="宋体" w:hAnsi="宋体" w:cs="宋体" w:eastAsia="宋体" w:hint="default"/>
                <w:sz w:val="18"/>
                <w:szCs w:val="18"/>
              </w:rPr>
            </w:pPr>
            <w:r>
              <w:rPr>
                <w:rFonts w:ascii="宋体" w:hAnsi="宋体" w:cs="宋体" w:eastAsia="宋体" w:hint="default"/>
                <w:sz w:val="18"/>
                <w:szCs w:val="18"/>
              </w:rPr>
              <w:t>北京宝泽丰物业管理 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387,186.98</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43,115.40</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84,320.70</w:t>
            </w:r>
            <w:r>
              <w:rPr>
                <w:rFonts w:ascii="宋体" w:hAnsi="宋体" w:cs="宋体" w:eastAsia="宋体" w:hint="default"/>
                <w:sz w:val="18"/>
                <w:szCs w:val="18"/>
              </w:rPr>
              <w:t>；</w:t>
            </w:r>
          </w:p>
          <w:p>
            <w:pPr>
              <w:pStyle w:val="TableParagraph"/>
              <w:spacing w:line="240" w:lineRule="auto" w:before="66"/>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41,144.70</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p>
            <w:pPr>
              <w:pStyle w:val="TableParagraph"/>
              <w:spacing w:line="240" w:lineRule="auto" w:before="51"/>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年以上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218,606.18</w:t>
            </w:r>
          </w:p>
        </w:tc>
        <w:tc>
          <w:tcPr>
            <w:tcW w:w="593" w:type="dxa"/>
            <w:tcBorders>
              <w:top w:val="single" w:sz="6" w:space="0" w:color="000000"/>
              <w:left w:val="single" w:sz="6" w:space="0" w:color="000000"/>
              <w:bottom w:val="single" w:sz="6" w:space="0" w:color="000000"/>
              <w:right w:val="nil" w:sz="6" w:space="0" w:color="auto"/>
            </w:tcBorders>
          </w:tcPr>
          <w:p>
            <w:pPr/>
          </w:p>
        </w:tc>
        <w:tc>
          <w:tcPr>
            <w:tcW w:w="1014"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4.45%</w:t>
            </w:r>
          </w:p>
        </w:tc>
        <w:tc>
          <w:tcPr>
            <w:tcW w:w="1622"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30"/>
              <w:jc w:val="left"/>
              <w:rPr>
                <w:rFonts w:ascii="宋体" w:hAnsi="宋体" w:cs="宋体" w:eastAsia="宋体" w:hint="default"/>
                <w:sz w:val="18"/>
                <w:szCs w:val="18"/>
              </w:rPr>
            </w:pPr>
            <w:r>
              <w:rPr>
                <w:rFonts w:ascii="宋体" w:hAnsi="宋体" w:cs="宋体" w:eastAsia="宋体" w:hint="default"/>
                <w:sz w:val="18"/>
                <w:szCs w:val="18"/>
              </w:rPr>
              <w:t>平安科技（深圳）有 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300,000.00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6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3.45%</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4,125,422.58</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16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20" w:right="0"/>
              <w:jc w:val="left"/>
              <w:rPr>
                <w:rFonts w:ascii="Times New Roman" w:hAnsi="Times New Roman" w:cs="Times New Roman" w:eastAsia="Times New Roman" w:hint="default"/>
                <w:sz w:val="18"/>
                <w:szCs w:val="18"/>
              </w:rPr>
            </w:pPr>
            <w:r>
              <w:rPr>
                <w:rFonts w:ascii="Times New Roman"/>
                <w:sz w:val="18"/>
              </w:rPr>
              <w:t>47.45%</w:t>
            </w:r>
          </w:p>
        </w:tc>
        <w:tc>
          <w:tcPr>
            <w:tcW w:w="162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3、长期股权投资" w:id="370"/>
      <w:bookmarkEnd w:id="370"/>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6"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4116"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282,743,556.76</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4,067,993.37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278,675,563.39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324,580,836.76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56,367,993.37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268,212,843.39</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48,482,945.13</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122,734.43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48,360,210.70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47,386,826.12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122,734.43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47,264,091.69</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331,226,501.89</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4,190,727.80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327,035,774.09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371,967,662.88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56,490,727.80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315,476,935.08</w:t>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1）对子公司投资" w:id="371"/>
      <w:bookmarkEnd w:id="371"/>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262"/>
        <w:gridCol w:w="1172"/>
        <w:gridCol w:w="1171"/>
        <w:gridCol w:w="1172"/>
        <w:gridCol w:w="1156"/>
        <w:gridCol w:w="1216"/>
        <w:gridCol w:w="1217"/>
        <w:gridCol w:w="1216"/>
      </w:tblGrid>
      <w:tr>
        <w:trPr>
          <w:trHeight w:val="406" w:hRule="exact"/>
        </w:trPr>
        <w:tc>
          <w:tcPr>
            <w:tcW w:w="126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72" w:type="dxa"/>
            <w:vMerge w:val="restart"/>
            <w:tcBorders>
              <w:top w:val="single" w:sz="6" w:space="0" w:color="000000"/>
              <w:left w:val="single" w:sz="6" w:space="0" w:color="000000"/>
              <w:right w:val="single" w:sz="6" w:space="0" w:color="000000"/>
            </w:tcBorders>
            <w:shd w:val="clear" w:color="auto" w:fill="D2D2D2"/>
          </w:tcPr>
          <w:p>
            <w:pPr>
              <w:pStyle w:val="TableParagraph"/>
              <w:spacing w:line="290" w:lineRule="auto" w:before="105"/>
              <w:ind w:left="285" w:right="88" w:hanging="181"/>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716"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7" w:type="dxa"/>
            <w:vMerge w:val="restart"/>
            <w:tcBorders>
              <w:top w:val="single" w:sz="6" w:space="0" w:color="000000"/>
              <w:left w:val="single" w:sz="6" w:space="0" w:color="000000"/>
              <w:right w:val="single" w:sz="6" w:space="0" w:color="000000"/>
            </w:tcBorders>
            <w:shd w:val="clear" w:color="auto" w:fill="D2D2D2"/>
          </w:tcPr>
          <w:p>
            <w:pPr>
              <w:pStyle w:val="TableParagraph"/>
              <w:spacing w:line="290" w:lineRule="auto" w:before="105"/>
              <w:ind w:left="390" w:right="28" w:hanging="361"/>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6"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90"/>
              <w:ind w:left="420" w:right="59" w:hanging="361"/>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5" w:hRule="exact"/>
        </w:trPr>
        <w:tc>
          <w:tcPr>
            <w:tcW w:w="1262" w:type="dxa"/>
            <w:vMerge/>
            <w:tcBorders>
              <w:left w:val="single" w:sz="6" w:space="0" w:color="000000"/>
              <w:bottom w:val="single" w:sz="6" w:space="0" w:color="000000"/>
              <w:right w:val="single" w:sz="6" w:space="0" w:color="000000"/>
            </w:tcBorders>
            <w:shd w:val="clear" w:color="auto" w:fill="D2D2D2"/>
          </w:tcPr>
          <w:p>
            <w:pPr/>
          </w:p>
        </w:tc>
        <w:tc>
          <w:tcPr>
            <w:tcW w:w="1172" w:type="dxa"/>
            <w:vMerge/>
            <w:tcBorders>
              <w:left w:val="single" w:sz="6" w:space="0" w:color="000000"/>
              <w:bottom w:val="single" w:sz="6" w:space="0" w:color="000000"/>
              <w:right w:val="single" w:sz="6" w:space="0" w:color="000000"/>
            </w:tcBorders>
            <w:shd w:val="clear" w:color="auto" w:fill="D2D2D2"/>
          </w:tcPr>
          <w:p>
            <w:pP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11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7" w:type="dxa"/>
            <w:vMerge/>
            <w:tcBorders>
              <w:left w:val="single" w:sz="6" w:space="0" w:color="000000"/>
              <w:bottom w:val="single" w:sz="6" w:space="0" w:color="000000"/>
              <w:right w:val="single" w:sz="6" w:space="0" w:color="000000"/>
            </w:tcBorders>
            <w:shd w:val="clear" w:color="auto" w:fill="D2D2D2"/>
          </w:tcPr>
          <w:p>
            <w:pPr/>
          </w:p>
        </w:tc>
        <w:tc>
          <w:tcPr>
            <w:tcW w:w="1216" w:type="dxa"/>
            <w:vMerge/>
            <w:tcBorders>
              <w:left w:val="single" w:sz="6" w:space="0" w:color="000000"/>
              <w:bottom w:val="single" w:sz="6" w:space="0" w:color="000000"/>
              <w:right w:val="single" w:sz="6" w:space="0" w:color="000000"/>
            </w:tcBorders>
            <w:shd w:val="clear" w:color="auto" w:fill="D2D2D2"/>
          </w:tcPr>
          <w:p>
            <w:pPr/>
          </w:p>
        </w:tc>
      </w:tr>
      <w:tr>
        <w:trPr>
          <w:trHeight w:val="70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49"/>
              <w:jc w:val="left"/>
              <w:rPr>
                <w:rFonts w:ascii="宋体" w:hAnsi="宋体" w:cs="宋体" w:eastAsia="宋体" w:hint="default"/>
                <w:sz w:val="18"/>
                <w:szCs w:val="18"/>
              </w:rPr>
            </w:pPr>
            <w:r>
              <w:rPr>
                <w:rFonts w:ascii="宋体" w:hAnsi="宋体" w:cs="宋体" w:eastAsia="宋体" w:hint="default"/>
                <w:sz w:val="18"/>
                <w:szCs w:val="18"/>
              </w:rPr>
              <w:t>北京坚石诚信 科技有限公司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30,538,326.76</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30,538,326.76</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149"/>
              <w:jc w:val="left"/>
              <w:rPr>
                <w:rFonts w:ascii="宋体" w:hAnsi="宋体" w:cs="宋体" w:eastAsia="宋体" w:hint="default"/>
                <w:sz w:val="18"/>
                <w:szCs w:val="18"/>
              </w:rPr>
            </w:pPr>
            <w:r>
              <w:rPr>
                <w:rFonts w:ascii="宋体" w:hAnsi="宋体" w:cs="宋体" w:eastAsia="宋体" w:hint="default"/>
                <w:sz w:val="18"/>
                <w:szCs w:val="18"/>
              </w:rPr>
              <w:t>飞天万谷智能 科技有限公司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149"/>
              <w:jc w:val="both"/>
              <w:rPr>
                <w:rFonts w:ascii="宋体" w:hAnsi="宋体" w:cs="宋体" w:eastAsia="宋体" w:hint="default"/>
                <w:sz w:val="18"/>
                <w:szCs w:val="18"/>
              </w:rPr>
            </w:pPr>
            <w:r>
              <w:rPr>
                <w:rFonts w:ascii="宋体" w:hAnsi="宋体" w:cs="宋体" w:eastAsia="宋体" w:hint="default"/>
                <w:sz w:val="18"/>
                <w:szCs w:val="18"/>
              </w:rPr>
              <w:t>上海温鼎投资 中心（有限合 伙）</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1,137,006.63</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1,137,006.63</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4,067,993.37</w:t>
            </w: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149"/>
              <w:jc w:val="both"/>
              <w:rPr>
                <w:rFonts w:ascii="宋体" w:hAnsi="宋体" w:cs="宋体" w:eastAsia="宋体" w:hint="default"/>
                <w:sz w:val="18"/>
                <w:szCs w:val="18"/>
              </w:rPr>
            </w:pPr>
            <w:r>
              <w:rPr>
                <w:rFonts w:ascii="宋体" w:hAnsi="宋体" w:cs="宋体" w:eastAsia="宋体" w:hint="default"/>
                <w:sz w:val="18"/>
                <w:szCs w:val="18"/>
              </w:rPr>
              <w:t>北京宏思电子 技术有限责任 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199,275,000.0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199,275,000.00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FEITIAN</w:t>
            </w:r>
          </w:p>
          <w:p>
            <w:pPr>
              <w:pStyle w:val="TableParagraph"/>
              <w:spacing w:line="364" w:lineRule="auto" w:before="108"/>
              <w:ind w:left="15" w:right="334"/>
              <w:jc w:val="left"/>
              <w:rPr>
                <w:rFonts w:ascii="Times New Roman" w:hAnsi="Times New Roman" w:cs="Times New Roman" w:eastAsia="Times New Roman" w:hint="default"/>
                <w:sz w:val="18"/>
                <w:szCs w:val="18"/>
              </w:rPr>
            </w:pPr>
            <w:r>
              <w:rPr>
                <w:rFonts w:ascii="Times New Roman"/>
                <w:spacing w:val="-2"/>
                <w:sz w:val="18"/>
              </w:rPr>
              <w:t>technologies</w:t>
            </w:r>
            <w:r>
              <w:rPr>
                <w:rFonts w:ascii="Times New Roman"/>
                <w:spacing w:val="-38"/>
                <w:sz w:val="18"/>
              </w:rPr>
              <w:t> </w:t>
            </w:r>
            <w:r>
              <w:rPr>
                <w:rFonts w:ascii="Times New Roman"/>
                <w:spacing w:val="-38"/>
                <w:sz w:val="18"/>
              </w:rPr>
            </w:r>
            <w:r>
              <w:rPr>
                <w:rFonts w:ascii="Times New Roman"/>
                <w:sz w:val="18"/>
              </w:rPr>
              <w:t>US,Inc</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5,537,010.00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10,462,720.00</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15,999,730.00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49"/>
              <w:jc w:val="left"/>
              <w:rPr>
                <w:rFonts w:ascii="宋体" w:hAnsi="宋体" w:cs="宋体" w:eastAsia="宋体" w:hint="default"/>
                <w:sz w:val="18"/>
                <w:szCs w:val="18"/>
              </w:rPr>
            </w:pPr>
            <w:r>
              <w:rPr>
                <w:rFonts w:ascii="宋体" w:hAnsi="宋体" w:cs="宋体" w:eastAsia="宋体" w:hint="default"/>
                <w:sz w:val="18"/>
                <w:szCs w:val="18"/>
              </w:rPr>
              <w:t>飞天香港有限 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31,725,500.00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31,725,500.00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268,212,843.3</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9</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10,462,720.00</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278,675,563.39</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4,067,993.37</w:t>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2）对联营、合营企业投资" w:id="372"/>
      <w:bookmarkEnd w:id="372"/>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96"/>
        <w:gridCol w:w="796"/>
        <w:gridCol w:w="796"/>
      </w:tblGrid>
      <w:tr>
        <w:trPr>
          <w:trHeight w:val="405" w:hRule="exact"/>
        </w:trPr>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312" w:lineRule="auto"/>
              <w:ind w:left="30" w:right="29"/>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98" w:type="dxa"/>
            <w:gridSpan w:val="8"/>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312" w:lineRule="auto"/>
              <w:ind w:left="15"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04" w:lineRule="auto"/>
              <w:ind w:left="15" w:right="43"/>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36" w:hRule="exact"/>
        </w:trPr>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14" w:right="44"/>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45"/>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95" w:right="4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29" w:right="29"/>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210" w:right="4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r>
      <w:tr>
        <w:trPr>
          <w:trHeight w:val="391" w:hRule="exact"/>
        </w:trPr>
        <w:tc>
          <w:tcPr>
            <w:tcW w:w="9582"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5" w:hRule="exact"/>
        </w:trPr>
        <w:tc>
          <w:tcPr>
            <w:tcW w:w="9582"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96"/>
        <w:gridCol w:w="796"/>
        <w:gridCol w:w="796"/>
      </w:tblGrid>
      <w:tr>
        <w:trPr>
          <w:trHeight w:val="165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102"/>
              <w:ind w:left="15" w:right="29"/>
              <w:jc w:val="both"/>
              <w:rPr>
                <w:rFonts w:ascii="Times New Roman" w:hAnsi="Times New Roman" w:cs="Times New Roman" w:eastAsia="Times New Roman" w:hint="default"/>
                <w:sz w:val="18"/>
                <w:szCs w:val="18"/>
              </w:rPr>
            </w:pPr>
            <w:r>
              <w:rPr>
                <w:rFonts w:ascii="Times New Roman"/>
                <w:sz w:val="18"/>
              </w:rPr>
              <w:t>HYPERS</w:t>
            </w:r>
            <w:r>
              <w:rPr>
                <w:rFonts w:ascii="Times New Roman"/>
                <w:w w:val="99"/>
                <w:sz w:val="18"/>
              </w:rPr>
              <w:t> </w:t>
            </w:r>
            <w:r>
              <w:rPr>
                <w:rFonts w:ascii="Times New Roman"/>
                <w:sz w:val="18"/>
              </w:rPr>
              <w:t>ECUINF</w:t>
            </w:r>
            <w:r>
              <w:rPr>
                <w:rFonts w:ascii="Times New Roman"/>
                <w:spacing w:val="-43"/>
                <w:sz w:val="18"/>
              </w:rPr>
              <w:t> </w:t>
            </w:r>
            <w:r>
              <w:rPr>
                <w:rFonts w:ascii="Times New Roman"/>
                <w:spacing w:val="-43"/>
                <w:sz w:val="18"/>
              </w:rPr>
            </w:r>
            <w:r>
              <w:rPr>
                <w:rFonts w:ascii="Times New Roman"/>
                <w:spacing w:val="-4"/>
                <w:sz w:val="18"/>
              </w:rPr>
              <w:t>ORM</w:t>
            </w:r>
            <w:r>
              <w:rPr>
                <w:rFonts w:ascii="Times New Roman"/>
                <w:spacing w:val="-26"/>
                <w:sz w:val="18"/>
              </w:rPr>
              <w:t> </w:t>
            </w:r>
            <w:r>
              <w:rPr>
                <w:rFonts w:ascii="Times New Roman"/>
                <w:spacing w:val="-6"/>
                <w:sz w:val="18"/>
              </w:rPr>
              <w:t>ATI</w:t>
            </w:r>
            <w:r>
              <w:rPr>
                <w:rFonts w:ascii="Times New Roman"/>
                <w:sz w:val="18"/>
              </w:rPr>
              <w:t> </w:t>
            </w:r>
            <w:r>
              <w:rPr>
                <w:rFonts w:ascii="Times New Roman"/>
                <w:spacing w:val="-4"/>
                <w:sz w:val="18"/>
              </w:rPr>
              <w:t>ONSYST</w:t>
            </w:r>
            <w:r>
              <w:rPr>
                <w:rFonts w:ascii="Times New Roman"/>
                <w:sz w:val="18"/>
              </w:rPr>
              <w:t> EMS,INC</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4,287,571</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.76</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63,878.39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133,731.8</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9</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4,485,182</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.04</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337"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5" w:right="45"/>
              <w:jc w:val="both"/>
              <w:rPr>
                <w:rFonts w:ascii="宋体" w:hAnsi="宋体" w:cs="宋体" w:eastAsia="宋体" w:hint="default"/>
                <w:sz w:val="18"/>
                <w:szCs w:val="18"/>
              </w:rPr>
            </w:pPr>
            <w:r>
              <w:rPr>
                <w:rFonts w:ascii="宋体" w:hAnsi="宋体" w:cs="宋体" w:eastAsia="宋体" w:hint="default"/>
                <w:sz w:val="18"/>
                <w:szCs w:val="18"/>
              </w:rPr>
              <w:t>广州飞天 诚信云商 科技有限 公司</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122,734.4</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3</w:t>
            </w:r>
          </w:p>
        </w:tc>
      </w:tr>
      <w:tr>
        <w:trPr>
          <w:trHeight w:val="1652"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45"/>
              <w:jc w:val="both"/>
              <w:rPr>
                <w:rFonts w:ascii="宋体" w:hAnsi="宋体" w:cs="宋体" w:eastAsia="宋体" w:hint="default"/>
                <w:sz w:val="18"/>
                <w:szCs w:val="18"/>
              </w:rPr>
            </w:pPr>
            <w:r>
              <w:rPr>
                <w:rFonts w:ascii="宋体" w:hAnsi="宋体" w:cs="宋体" w:eastAsia="宋体" w:hint="default"/>
                <w:sz w:val="18"/>
                <w:szCs w:val="18"/>
              </w:rPr>
              <w:t>深圳市瑞 福达液晶 显示技术 股份有限 公司</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42,976,51</w:t>
            </w:r>
          </w:p>
          <w:p>
            <w:pPr>
              <w:pStyle w:val="TableParagraph"/>
              <w:spacing w:line="240" w:lineRule="auto" w:before="108"/>
              <w:ind w:left="450" w:right="0"/>
              <w:jc w:val="left"/>
              <w:rPr>
                <w:rFonts w:ascii="Times New Roman" w:hAnsi="Times New Roman" w:cs="Times New Roman" w:eastAsia="Times New Roman" w:hint="default"/>
                <w:sz w:val="18"/>
                <w:szCs w:val="18"/>
              </w:rPr>
            </w:pPr>
            <w:r>
              <w:rPr>
                <w:rFonts w:ascii="Times New Roman"/>
                <w:sz w:val="18"/>
              </w:rPr>
              <w:t>9.93</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898,508.7</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3</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43,875,02</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8.66</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47,264,09</w:t>
            </w:r>
          </w:p>
          <w:p>
            <w:pPr>
              <w:pStyle w:val="TableParagraph"/>
              <w:spacing w:line="240" w:lineRule="auto" w:before="93"/>
              <w:ind w:left="450" w:right="0"/>
              <w:jc w:val="left"/>
              <w:rPr>
                <w:rFonts w:ascii="Times New Roman" w:hAnsi="Times New Roman" w:cs="Times New Roman" w:eastAsia="Times New Roman" w:hint="default"/>
                <w:sz w:val="18"/>
                <w:szCs w:val="18"/>
              </w:rPr>
            </w:pPr>
            <w:r>
              <w:rPr>
                <w:rFonts w:ascii="Times New Roman"/>
                <w:sz w:val="18"/>
              </w:rPr>
              <w:t>1.69</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962,387.1</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133,731.8</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9</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48,360,21</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0.70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122,734.4</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3</w:t>
            </w:r>
          </w:p>
        </w:tc>
      </w:tr>
      <w:tr>
        <w:trPr>
          <w:trHeight w:val="706"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47,264,09</w:t>
            </w:r>
          </w:p>
          <w:p>
            <w:pPr>
              <w:pStyle w:val="TableParagraph"/>
              <w:spacing w:line="240" w:lineRule="auto" w:before="108"/>
              <w:ind w:left="450" w:right="0"/>
              <w:jc w:val="left"/>
              <w:rPr>
                <w:rFonts w:ascii="Times New Roman" w:hAnsi="Times New Roman" w:cs="Times New Roman" w:eastAsia="Times New Roman" w:hint="default"/>
                <w:sz w:val="18"/>
                <w:szCs w:val="18"/>
              </w:rPr>
            </w:pPr>
            <w:r>
              <w:rPr>
                <w:rFonts w:ascii="Times New Roman"/>
                <w:sz w:val="18"/>
              </w:rPr>
              <w:t>1.69</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962,387.1</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133,731.8</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9</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48,360,21</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0.70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122,734.4</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3</w:t>
            </w:r>
          </w:p>
        </w:tc>
      </w:tr>
    </w:tbl>
    <w:p>
      <w:pPr>
        <w:spacing w:line="240" w:lineRule="auto" w:before="11"/>
        <w:rPr>
          <w:rFonts w:ascii="宋体" w:hAnsi="宋体" w:cs="宋体" w:eastAsia="宋体" w:hint="default"/>
          <w:sz w:val="19"/>
          <w:szCs w:val="19"/>
        </w:rPr>
      </w:pPr>
    </w:p>
    <w:p>
      <w:pPr>
        <w:pStyle w:val="Heading4"/>
        <w:spacing w:line="240" w:lineRule="auto" w:before="35"/>
        <w:ind w:right="1100"/>
        <w:jc w:val="left"/>
        <w:rPr>
          <w:b w:val="0"/>
          <w:bCs w:val="0"/>
        </w:rPr>
      </w:pPr>
      <w:bookmarkStart w:name="4、营业收入和营业成本" w:id="373"/>
      <w:bookmarkEnd w:id="373"/>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97"/>
        <w:gridCol w:w="1832"/>
        <w:gridCol w:w="1923"/>
        <w:gridCol w:w="1907"/>
        <w:gridCol w:w="1922"/>
      </w:tblGrid>
      <w:tr>
        <w:trPr>
          <w:trHeight w:val="406" w:hRule="exact"/>
        </w:trPr>
        <w:tc>
          <w:tcPr>
            <w:tcW w:w="199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375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0"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1997" w:type="dxa"/>
            <w:vMerge/>
            <w:tcBorders>
              <w:left w:val="single" w:sz="6" w:space="0" w:color="000000"/>
              <w:bottom w:val="single" w:sz="6" w:space="0" w:color="000000"/>
              <w:right w:val="single" w:sz="6" w:space="0" w:color="000000"/>
            </w:tcBorders>
            <w:shd w:val="clear" w:color="auto" w:fill="D2D2D2"/>
          </w:tcPr>
          <w:p>
            <w:pPr/>
          </w:p>
        </w:tc>
        <w:tc>
          <w:tcPr>
            <w:tcW w:w="18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收入</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5" w:hRule="exact"/>
        </w:trPr>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796,798,768.59</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534,239,430.09</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969,893,873.44</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636,949,981.96</w:t>
            </w:r>
          </w:p>
        </w:tc>
      </w:tr>
      <w:tr>
        <w:trPr>
          <w:trHeight w:val="405" w:hRule="exact"/>
        </w:trPr>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3,210,045.50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4,321,339.11</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687,067.18</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998,752.95</w:t>
            </w:r>
          </w:p>
        </w:tc>
      </w:tr>
      <w:tr>
        <w:trPr>
          <w:trHeight w:val="391" w:hRule="exact"/>
        </w:trPr>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800,008,814.09</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538,560,769.20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970,580,940.62</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637,948,734.91</w:t>
            </w:r>
          </w:p>
        </w:tc>
      </w:tr>
    </w:tbl>
    <w:p>
      <w:pPr>
        <w:pStyle w:val="BodyText"/>
        <w:spacing w:line="240" w:lineRule="auto" w:before="44"/>
        <w:ind w:right="1100"/>
        <w:jc w:val="left"/>
      </w:pPr>
      <w:r>
        <w:rPr/>
        <w:t>是否已执行新收入准则</w:t>
      </w:r>
    </w:p>
    <w:p>
      <w:pPr>
        <w:pStyle w:val="BodyText"/>
        <w:spacing w:line="240" w:lineRule="auto" w:before="125"/>
        <w:ind w:right="110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p>
    <w:p>
      <w:pPr>
        <w:pStyle w:val="Heading4"/>
        <w:spacing w:line="240" w:lineRule="auto" w:before="126"/>
        <w:ind w:right="1100"/>
        <w:jc w:val="left"/>
        <w:rPr>
          <w:b w:val="0"/>
          <w:bCs w:val="0"/>
        </w:rPr>
      </w:pPr>
      <w:bookmarkStart w:name="5、投资收益" w:id="374"/>
      <w:bookmarkEnd w:id="374"/>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334"/>
        <w:gridCol w:w="3064"/>
        <w:gridCol w:w="3184"/>
      </w:tblGrid>
      <w:tr>
        <w:trPr>
          <w:trHeight w:val="405"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962,387.12</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-461,165.55</w:t>
            </w:r>
            <w:r>
              <w:rPr>
                <w:rFonts w:ascii="Times New Roman"/>
                <w:sz w:val="18"/>
              </w:rPr>
            </w:r>
          </w:p>
        </w:tc>
      </w:tr>
      <w:tr>
        <w:trPr>
          <w:trHeight w:val="405" w:hRule="exact"/>
        </w:trPr>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21,159,541.58</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22,838,312.64</w:t>
            </w:r>
          </w:p>
        </w:tc>
      </w:tr>
      <w:tr>
        <w:trPr>
          <w:trHeight w:val="390"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22,121,928.70</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22,377,147.09</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sz w:val="24"/>
          <w:szCs w:val="24"/>
        </w:rPr>
      </w:pPr>
    </w:p>
    <w:p>
      <w:pPr>
        <w:pStyle w:val="Heading2"/>
        <w:spacing w:line="240" w:lineRule="auto" w:before="26"/>
        <w:ind w:right="1100"/>
        <w:jc w:val="left"/>
        <w:rPr>
          <w:b w:val="0"/>
          <w:bCs w:val="0"/>
        </w:rPr>
      </w:pPr>
      <w:bookmarkStart w:name="十八、补充资料" w:id="375"/>
      <w:bookmarkEnd w:id="375"/>
      <w:r>
        <w:rPr>
          <w:b w:val="0"/>
          <w:bCs w:val="0"/>
        </w:rPr>
      </w:r>
      <w:r>
        <w:rPr/>
        <w:t>十八、补充资料</w:t>
      </w:r>
      <w:r>
        <w:rPr>
          <w:b w:val="0"/>
          <w:bCs w:val="0"/>
        </w:rPr>
      </w:r>
    </w:p>
    <w:p>
      <w:pPr>
        <w:spacing w:line="240" w:lineRule="auto" w:before="9"/>
        <w:rPr>
          <w:rFonts w:ascii="宋体" w:hAnsi="宋体" w:cs="宋体" w:eastAsia="宋体" w:hint="default"/>
          <w:b/>
          <w:bCs/>
          <w:sz w:val="25"/>
          <w:szCs w:val="25"/>
        </w:rPr>
      </w:pPr>
    </w:p>
    <w:p>
      <w:pPr>
        <w:pStyle w:val="Heading4"/>
        <w:spacing w:line="240" w:lineRule="auto"/>
        <w:ind w:right="1100"/>
        <w:jc w:val="left"/>
        <w:rPr>
          <w:b w:val="0"/>
          <w:bCs w:val="0"/>
        </w:rPr>
      </w:pPr>
      <w:bookmarkStart w:name="1、当期非经常性损益明细表" w:id="376"/>
      <w:bookmarkEnd w:id="376"/>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81"/>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319"/>
        <w:gridCol w:w="3079"/>
        <w:gridCol w:w="3184"/>
      </w:tblGrid>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5"/>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8,689,481.61</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15" w:right="47"/>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12,235,873.75</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23,097,963.51</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2267"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29"/>
              <w:ind w:left="15" w:right="47"/>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3,272,637.59</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3,559,460.59</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319"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47"/>
              <w:jc w:val="left"/>
              <w:rPr>
                <w:rFonts w:ascii="宋体" w:hAnsi="宋体" w:cs="宋体" w:eastAsia="宋体" w:hint="default"/>
                <w:sz w:val="18"/>
                <w:szCs w:val="18"/>
              </w:rPr>
            </w:pPr>
            <w:r>
              <w:rPr>
                <w:rFonts w:ascii="宋体" w:hAnsi="宋体" w:cs="宋体" w:eastAsia="宋体" w:hint="default"/>
                <w:sz w:val="18"/>
                <w:szCs w:val="18"/>
              </w:rPr>
              <w:t>银联标识产品企业资质不再续期对应的无 形资产余额一次性摊销完毕</w:t>
            </w:r>
          </w:p>
        </w:tc>
        <w:tc>
          <w:tcPr>
            <w:tcW w:w="3079" w:type="dxa"/>
            <w:tcBorders>
              <w:top w:val="single" w:sz="6" w:space="0" w:color="000000"/>
              <w:left w:val="single" w:sz="6" w:space="0" w:color="000000"/>
              <w:bottom w:val="single" w:sz="6" w:space="0" w:color="000000"/>
              <w:right w:val="single" w:sz="6" w:space="0" w:color="000000"/>
            </w:tcBorders>
          </w:tcPr>
          <w:p>
            <w:pP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7,091,636.68</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810,273.43</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42,953,506.94</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290" w:lineRule="auto" w:before="51"/>
        <w:ind w:right="1118"/>
        <w:jc w:val="left"/>
      </w:pPr>
      <w:r>
        <w:rPr/>
        <w:t>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86"/>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4"/>
        <w:spacing w:line="240" w:lineRule="auto" w:before="126"/>
        <w:ind w:right="1100"/>
        <w:jc w:val="left"/>
        <w:rPr>
          <w:b w:val="0"/>
          <w:bCs w:val="0"/>
        </w:rPr>
      </w:pPr>
      <w:bookmarkStart w:name="2、净资产收益率及每股收益" w:id="377"/>
      <w:bookmarkEnd w:id="377"/>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
        <w:rPr>
          <w:rFonts w:ascii="宋体" w:hAnsi="宋体" w:cs="宋体" w:eastAsia="宋体" w:hint="default"/>
          <w:b/>
          <w:bCs/>
          <w:sz w:val="24"/>
          <w:szCs w:val="24"/>
        </w:rPr>
      </w:pPr>
    </w:p>
    <w:tbl>
      <w:tblPr>
        <w:tblW w:w="0" w:type="auto"/>
        <w:jc w:val="left"/>
        <w:tblInd w:w="133" w:type="dxa"/>
        <w:tblLayout w:type="fixed"/>
        <w:tblCellMar>
          <w:top w:w="0" w:type="dxa"/>
          <w:left w:w="0" w:type="dxa"/>
          <w:bottom w:w="0" w:type="dxa"/>
          <w:right w:w="0" w:type="dxa"/>
        </w:tblCellMar>
        <w:tblLook w:val="01E0"/>
      </w:tblPr>
      <w:tblGrid>
        <w:gridCol w:w="2651"/>
        <w:gridCol w:w="3094"/>
        <w:gridCol w:w="1907"/>
        <w:gridCol w:w="1922"/>
      </w:tblGrid>
      <w:tr>
        <w:trPr>
          <w:trHeight w:val="203" w:hRule="exact"/>
        </w:trPr>
        <w:tc>
          <w:tcPr>
            <w:tcW w:w="2651" w:type="dxa"/>
            <w:tcBorders>
              <w:top w:val="single" w:sz="6" w:space="0" w:color="000000"/>
              <w:left w:val="single" w:sz="6" w:space="0" w:color="000000"/>
              <w:bottom w:val="nil" w:sz="6" w:space="0" w:color="auto"/>
              <w:right w:val="single" w:sz="6" w:space="0" w:color="000000"/>
            </w:tcBorders>
            <w:shd w:val="clear" w:color="auto" w:fill="D2D2D2"/>
          </w:tcPr>
          <w:p>
            <w:pPr/>
          </w:p>
        </w:tc>
        <w:tc>
          <w:tcPr>
            <w:tcW w:w="3094" w:type="dxa"/>
            <w:tcBorders>
              <w:top w:val="single" w:sz="6" w:space="0" w:color="000000"/>
              <w:left w:val="single" w:sz="6" w:space="0" w:color="000000"/>
              <w:bottom w:val="nil" w:sz="6" w:space="0" w:color="auto"/>
              <w:right w:val="single" w:sz="6" w:space="0" w:color="000000"/>
            </w:tcBorders>
            <w:shd w:val="clear" w:color="auto" w:fill="D2D2D2"/>
          </w:tcPr>
          <w:p>
            <w:pPr/>
          </w:p>
        </w:tc>
        <w:tc>
          <w:tcPr>
            <w:tcW w:w="3830"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203" w:hRule="exact"/>
        </w:trPr>
        <w:tc>
          <w:tcPr>
            <w:tcW w:w="265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863"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9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64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30" w:type="dxa"/>
            <w:gridSpan w:val="2"/>
            <w:vMerge/>
            <w:tcBorders>
              <w:left w:val="single" w:sz="6" w:space="0" w:color="000000"/>
              <w:bottom w:val="single" w:sz="6" w:space="0" w:color="000000"/>
              <w:right w:val="single" w:sz="6" w:space="0" w:color="000000"/>
            </w:tcBorders>
            <w:shd w:val="clear" w:color="auto" w:fill="D2D2D2"/>
          </w:tcPr>
          <w:p>
            <w:pPr/>
          </w:p>
        </w:tc>
      </w:tr>
      <w:tr>
        <w:trPr>
          <w:trHeight w:val="188" w:hRule="exact"/>
        </w:trPr>
        <w:tc>
          <w:tcPr>
            <w:tcW w:w="2651" w:type="dxa"/>
            <w:vMerge/>
            <w:tcBorders>
              <w:left w:val="single" w:sz="6" w:space="0" w:color="000000"/>
              <w:bottom w:val="nil" w:sz="6" w:space="0" w:color="auto"/>
              <w:right w:val="single" w:sz="6" w:space="0" w:color="000000"/>
            </w:tcBorders>
            <w:shd w:val="clear" w:color="auto" w:fill="D2D2D2"/>
          </w:tcPr>
          <w:p>
            <w:pPr/>
          </w:p>
        </w:tc>
        <w:tc>
          <w:tcPr>
            <w:tcW w:w="3094" w:type="dxa"/>
            <w:vMerge/>
            <w:tcBorders>
              <w:left w:val="single" w:sz="6" w:space="0" w:color="000000"/>
              <w:bottom w:val="nil" w:sz="6" w:space="0" w:color="auto"/>
              <w:right w:val="single" w:sz="6" w:space="0" w:color="000000"/>
            </w:tcBorders>
            <w:shd w:val="clear" w:color="auto" w:fill="D2D2D2"/>
          </w:tcPr>
          <w:p>
            <w:pP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18" w:hRule="exact"/>
        </w:trPr>
        <w:tc>
          <w:tcPr>
            <w:tcW w:w="2651" w:type="dxa"/>
            <w:tcBorders>
              <w:top w:val="nil" w:sz="6" w:space="0" w:color="auto"/>
              <w:left w:val="single" w:sz="6" w:space="0" w:color="000000"/>
              <w:bottom w:val="single" w:sz="6" w:space="0" w:color="000000"/>
              <w:right w:val="single" w:sz="6" w:space="0" w:color="000000"/>
            </w:tcBorders>
            <w:shd w:val="clear" w:color="auto" w:fill="D2D2D2"/>
          </w:tcPr>
          <w:p>
            <w:pPr/>
          </w:p>
        </w:tc>
        <w:tc>
          <w:tcPr>
            <w:tcW w:w="3094" w:type="dxa"/>
            <w:tcBorders>
              <w:top w:val="nil" w:sz="6" w:space="0" w:color="auto"/>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390"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9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5.01%</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0.22</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0.22</w:t>
            </w:r>
          </w:p>
        </w:tc>
      </w:tr>
      <w:tr>
        <w:trPr>
          <w:trHeight w:val="721"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9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2.63%</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0.11</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0.11</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b/>
          <w:bCs/>
          <w:sz w:val="26"/>
          <w:szCs w:val="26"/>
        </w:rPr>
      </w:pPr>
    </w:p>
    <w:p>
      <w:pPr>
        <w:pStyle w:val="Heading4"/>
        <w:spacing w:line="240" w:lineRule="auto" w:before="35"/>
        <w:ind w:right="1100"/>
        <w:jc w:val="left"/>
        <w:rPr>
          <w:b w:val="0"/>
          <w:bCs w:val="0"/>
        </w:rPr>
      </w:pPr>
      <w:bookmarkStart w:name="3、境内外会计准则下会计数据差异" w:id="378"/>
      <w:bookmarkEnd w:id="378"/>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1100"/>
        <w:jc w:val="left"/>
        <w:rPr>
          <w:b w:val="0"/>
          <w:bCs w:val="0"/>
        </w:rPr>
      </w:pPr>
      <w:bookmarkStart w:name="（1）同时按照国际会计准则与按中国会计准则披露的财务报告中净利润和净资产差异情况" w:id="379"/>
      <w:bookmarkEnd w:id="379"/>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4"/>
        <w:spacing w:line="240" w:lineRule="auto"/>
        <w:ind w:right="1100"/>
        <w:jc w:val="left"/>
        <w:rPr>
          <w:b w:val="0"/>
          <w:bCs w:val="0"/>
        </w:rPr>
      </w:pPr>
      <w:bookmarkStart w:name="（2）同时按照境外会计准则与按中国会计准则披露的财务报告中净利润和净资产差异情况" w:id="380"/>
      <w:bookmarkEnd w:id="380"/>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1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4"/>
        <w:spacing w:line="286" w:lineRule="exact" w:before="142"/>
        <w:ind w:right="1100"/>
        <w:jc w:val="left"/>
        <w:rPr>
          <w:b w:val="0"/>
          <w:bCs w:val="0"/>
        </w:rPr>
      </w:pPr>
      <w:bookmarkStart w:name="（3）境内外会计准则下会计数据差异原因说明，对已经境外审计机构审计的数据进行差异" w:id="381"/>
      <w:bookmarkEnd w:id="381"/>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53"/>
        </w:rPr>
        <w:t> </w:t>
      </w:r>
      <w:r>
        <w:rPr>
          <w:spacing w:val="-53"/>
        </w:rPr>
      </w:r>
      <w:r>
        <w:rPr/>
        <w:t>明该境外机构的名称</w:t>
      </w:r>
      <w:r>
        <w:rPr>
          <w:b w:val="0"/>
          <w:bCs w:val="0"/>
        </w:rPr>
      </w:r>
    </w:p>
    <w:p>
      <w:pPr>
        <w:spacing w:after="0" w:line="286" w:lineRule="exact"/>
        <w:jc w:val="left"/>
        <w:sectPr>
          <w:pgSz w:w="11910" w:h="16850"/>
          <w:pgMar w:header="731" w:footer="981" w:top="1040" w:bottom="1180" w:left="100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1"/>
          <w:szCs w:val="21"/>
        </w:rPr>
      </w:pPr>
    </w:p>
    <w:p>
      <w:pPr>
        <w:pStyle w:val="Heading1"/>
        <w:spacing w:line="240" w:lineRule="auto"/>
        <w:ind w:left="2768" w:right="3750"/>
        <w:jc w:val="center"/>
        <w:rPr>
          <w:b w:val="0"/>
          <w:bCs w:val="0"/>
        </w:rPr>
      </w:pPr>
      <w:bookmarkStart w:name="第十三节备查文件目录" w:id="382"/>
      <w:bookmarkEnd w:id="382"/>
      <w:r>
        <w:rPr>
          <w:b w:val="0"/>
          <w:bCs w:val="0"/>
        </w:rPr>
      </w:r>
      <w:bookmarkStart w:name="_bookmark12" w:id="383"/>
      <w:bookmarkEnd w:id="383"/>
      <w:r>
        <w:rPr>
          <w:b w:val="0"/>
          <w:bCs w:val="0"/>
        </w:rPr>
      </w:r>
      <w:r>
        <w:rPr>
          <w:spacing w:val="5"/>
        </w:rPr>
        <w:t>第十三节备查文件目录</w:t>
      </w:r>
      <w:r>
        <w:rPr>
          <w:b w:val="0"/>
          <w:bCs w:val="0"/>
          <w:spacing w:val="5"/>
        </w:rPr>
      </w:r>
    </w:p>
    <w:p>
      <w:pPr>
        <w:spacing w:line="240" w:lineRule="auto" w:before="9"/>
        <w:rPr>
          <w:rFonts w:ascii="宋体" w:hAnsi="宋体" w:cs="宋体" w:eastAsia="宋体" w:hint="default"/>
          <w:b/>
          <w:bCs/>
          <w:sz w:val="43"/>
          <w:szCs w:val="43"/>
        </w:rPr>
      </w:pPr>
    </w:p>
    <w:p>
      <w:pPr>
        <w:pStyle w:val="BodyText"/>
        <w:spacing w:line="240" w:lineRule="auto"/>
        <w:ind w:left="621" w:right="1100"/>
        <w:jc w:val="left"/>
      </w:pPr>
      <w:r>
        <w:rPr>
          <w:rFonts w:ascii="Times New Roman" w:hAnsi="Times New Roman" w:cs="Times New Roman" w:eastAsia="Times New Roman" w:hint="default"/>
        </w:rPr>
        <w:t>1</w:t>
      </w:r>
      <w:r>
        <w:rPr/>
        <w:t>、载有公司法定代表人签名的</w:t>
      </w:r>
      <w:r>
        <w:rPr>
          <w:rFonts w:ascii="Times New Roman" w:hAnsi="Times New Roman" w:cs="Times New Roman" w:eastAsia="Times New Roman" w:hint="default"/>
        </w:rPr>
        <w:t>2019</w:t>
      </w:r>
      <w:r>
        <w:rPr/>
        <w:t>年年度报告文本；</w:t>
      </w:r>
    </w:p>
    <w:p>
      <w:pPr>
        <w:pStyle w:val="BodyText"/>
        <w:spacing w:line="240" w:lineRule="auto" w:before="66"/>
        <w:ind w:left="621" w:right="1100"/>
        <w:jc w:val="left"/>
      </w:pPr>
      <w:r>
        <w:rPr>
          <w:rFonts w:ascii="Times New Roman" w:hAnsi="Times New Roman" w:cs="Times New Roman" w:eastAsia="Times New Roman" w:hint="default"/>
        </w:rPr>
        <w:t>2</w:t>
      </w:r>
      <w:r>
        <w:rPr/>
        <w:t>、载有单位负责人、主管会计工作负责人、公司会计机构负责人（会计主管人员）签名并盖章的财务报表；</w:t>
      </w:r>
    </w:p>
    <w:p>
      <w:pPr>
        <w:pStyle w:val="BodyText"/>
        <w:spacing w:line="240" w:lineRule="auto" w:before="51"/>
        <w:ind w:left="621" w:right="1100"/>
        <w:jc w:val="left"/>
      </w:pPr>
      <w:r>
        <w:rPr>
          <w:rFonts w:ascii="Times New Roman" w:hAnsi="Times New Roman" w:cs="Times New Roman" w:eastAsia="Times New Roman" w:hint="default"/>
        </w:rPr>
        <w:t>3</w:t>
      </w:r>
      <w:r>
        <w:rPr/>
        <w:t>、载有会计师事务所盖章、注册会计师签名并盖章的审计报告原件；</w:t>
      </w:r>
    </w:p>
    <w:p>
      <w:pPr>
        <w:pStyle w:val="BodyText"/>
        <w:spacing w:line="240" w:lineRule="auto" w:before="66"/>
        <w:ind w:left="621" w:right="1100"/>
        <w:jc w:val="left"/>
      </w:pPr>
      <w:r>
        <w:rPr>
          <w:rFonts w:ascii="Times New Roman" w:hAnsi="Times New Roman" w:cs="Times New Roman" w:eastAsia="Times New Roman" w:hint="default"/>
        </w:rPr>
        <w:t>4</w:t>
      </w:r>
      <w:r>
        <w:rPr/>
        <w:t>、报告期内在中国证监会指定网站上公开披露过的所有公司文件的正本及公告的原稿；</w:t>
      </w:r>
    </w:p>
    <w:p>
      <w:pPr>
        <w:pStyle w:val="BodyText"/>
        <w:spacing w:line="240" w:lineRule="auto" w:before="66"/>
        <w:ind w:left="621" w:right="1100"/>
        <w:jc w:val="left"/>
      </w:pPr>
      <w:r>
        <w:rPr>
          <w:rFonts w:ascii="Times New Roman" w:hAnsi="Times New Roman" w:cs="Times New Roman" w:eastAsia="Times New Roman" w:hint="default"/>
        </w:rPr>
        <w:t>5</w:t>
      </w:r>
      <w:r>
        <w:rPr/>
        <w:t>、其他有关资料。</w:t>
      </w:r>
    </w:p>
    <w:sectPr>
      <w:pgSz w:w="11910" w:h="16850"/>
      <w:pgMar w:header="731" w:footer="981" w:top="1040" w:bottom="1180" w:left="10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S Gothic">
    <w:altName w:val="MS Gothic"/>
    <w:charset w:val="0"/>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120936" type="#_x0000_t75" stroked="false">
          <v:imagedata r:id="rId1" o:title=""/>
        </v:shape>
      </w:pict>
    </w:r>
    <w:r>
      <w:rPr/>
      <w:pict>
        <v:shape style="position:absolute;margin-left:534.419983pt;margin-top:795.707947pt;width:6.5pt;height:11pt;mso-position-horizontal-relative:page;mso-position-vertical-relative:page;z-index:-112091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120888" type="#_x0000_t75" stroked="false">
          <v:imagedata r:id="rId1" o:title=""/>
        </v:shape>
      </w:pict>
    </w:r>
    <w:r>
      <w:rPr/>
      <w:pict>
        <v:shape style="position:absolute;margin-left:528.919983pt;margin-top:782.207947pt;width:13pt;height:11pt;mso-position-horizontal-relative:page;mso-position-vertical-relative:page;z-index:-11208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120840" type="#_x0000_t75" stroked="false">
          <v:imagedata r:id="rId1" o:title=""/>
        </v:shape>
      </w:pict>
    </w:r>
    <w:r>
      <w:rPr/>
      <w:pict>
        <v:shape style="position:absolute;margin-left:525.400024pt;margin-top:782.207947pt;width:15.5pt;height:11pt;mso-position-horizontal-relative:page;mso-position-vertical-relative:page;z-index:-112081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120792" type="#_x0000_t75" stroked="false">
          <v:imagedata r:id="rId1" o:title=""/>
        </v:shape>
      </w:pict>
    </w:r>
    <w:r>
      <w:rPr/>
      <w:pict>
        <v:shape style="position:absolute;margin-left:524.400024pt;margin-top:782.207947pt;width:18.25pt;height:11pt;mso-position-horizontal-relative:page;mso-position-vertical-relative:page;z-index:-11207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5.170013pt;margin-top:35.565624pt;width:195.7pt;height:11.5pt;mso-position-horizontal-relative:page;mso-position-vertical-relative:page;z-index:-1120960" type="#_x0000_t202" filled="false" stroked="false">
          <v:textbox inset="0,0,0,0">
            <w:txbxContent>
              <w:p>
                <w:pPr>
                  <w:pStyle w:val="BodyText"/>
                  <w:spacing w:line="214" w:lineRule="exact"/>
                  <w:ind w:left="20" w:right="0"/>
                  <w:jc w:val="left"/>
                </w:pPr>
                <w:r>
                  <w:rPr/>
                  <w:t>飞天诚信科技股份有限公司</w:t>
                </w:r>
                <w:r>
                  <w:rPr>
                    <w:spacing w:val="-42"/>
                  </w:rPr>
                  <w:t> </w:t>
                </w:r>
                <w:r>
                  <w:rPr>
                    <w:rFonts w:ascii="Times New Roman" w:hAnsi="Times New Roman" w:cs="Times New Roman" w:eastAsia="Times New Roman" w:hint="default"/>
                  </w:rPr>
                  <w:t>2019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96"/>
      <w:ind w:left="141"/>
    </w:pPr>
    <w:rPr>
      <w:rFonts w:ascii="宋体" w:hAnsi="宋体" w:eastAsia="宋体"/>
      <w:sz w:val="18"/>
      <w:szCs w:val="18"/>
    </w:rPr>
  </w:style>
  <w:style w:styleId="BodyText" w:type="paragraph">
    <w:name w:val="Body Text"/>
    <w:basedOn w:val="Normal"/>
    <w:uiPriority w:val="1"/>
    <w:qFormat/>
    <w:pPr>
      <w:ind w:left="141"/>
    </w:pPr>
    <w:rPr>
      <w:rFonts w:ascii="宋体" w:hAnsi="宋体" w:eastAsia="宋体"/>
      <w:sz w:val="18"/>
      <w:szCs w:val="18"/>
    </w:rPr>
  </w:style>
  <w:style w:styleId="Heading1" w:type="paragraph">
    <w:name w:val="Heading 1"/>
    <w:basedOn w:val="Normal"/>
    <w:uiPriority w:val="1"/>
    <w:qFormat/>
    <w:pPr>
      <w:spacing w:before="9"/>
      <w:ind w:left="2782"/>
      <w:outlineLvl w:val="1"/>
    </w:pPr>
    <w:rPr>
      <w:rFonts w:ascii="宋体" w:hAnsi="宋体" w:eastAsia="宋体"/>
      <w:b/>
      <w:bCs/>
      <w:sz w:val="31"/>
      <w:szCs w:val="31"/>
    </w:rPr>
  </w:style>
  <w:style w:styleId="Heading2" w:type="paragraph">
    <w:name w:val="Heading 2"/>
    <w:basedOn w:val="Normal"/>
    <w:uiPriority w:val="1"/>
    <w:qFormat/>
    <w:pPr>
      <w:ind w:left="141"/>
      <w:outlineLvl w:val="2"/>
    </w:pPr>
    <w:rPr>
      <w:rFonts w:ascii="宋体" w:hAnsi="宋体" w:eastAsia="宋体"/>
      <w:b/>
      <w:bCs/>
      <w:sz w:val="24"/>
      <w:szCs w:val="24"/>
    </w:rPr>
  </w:style>
  <w:style w:styleId="Heading3" w:type="paragraph">
    <w:name w:val="Heading 3"/>
    <w:basedOn w:val="Normal"/>
    <w:uiPriority w:val="1"/>
    <w:qFormat/>
    <w:pPr>
      <w:ind w:left="141" w:firstLine="420"/>
      <w:outlineLvl w:val="3"/>
    </w:pPr>
    <w:rPr>
      <w:rFonts w:ascii="宋体" w:hAnsi="宋体" w:eastAsia="宋体"/>
      <w:i/>
      <w:sz w:val="22"/>
      <w:szCs w:val="22"/>
    </w:rPr>
  </w:style>
  <w:style w:styleId="Heading4" w:type="paragraph">
    <w:name w:val="Heading 4"/>
    <w:basedOn w:val="Normal"/>
    <w:uiPriority w:val="1"/>
    <w:qFormat/>
    <w:pPr>
      <w:ind w:left="141"/>
      <w:outlineLvl w:val="4"/>
    </w:pPr>
    <w:rPr>
      <w:rFonts w:ascii="宋体" w:hAnsi="宋体" w:eastAsia="宋体"/>
      <w:b/>
      <w:bCs/>
      <w:sz w:val="21"/>
      <w:szCs w:val="21"/>
    </w:rPr>
  </w:style>
  <w:style w:styleId="Heading5" w:type="paragraph">
    <w:name w:val="Heading 5"/>
    <w:basedOn w:val="Normal"/>
    <w:uiPriority w:val="1"/>
    <w:qFormat/>
    <w:pPr>
      <w:ind w:left="561"/>
      <w:outlineLvl w:val="5"/>
    </w:pPr>
    <w:rPr>
      <w:rFonts w:ascii="宋体" w:hAnsi="宋体" w:eastAsia="宋体"/>
      <w:sz w:val="21"/>
      <w:szCs w:val="21"/>
    </w:rPr>
  </w:style>
  <w:style w:styleId="Heading6" w:type="paragraph">
    <w:name w:val="Heading 6"/>
    <w:basedOn w:val="Normal"/>
    <w:uiPriority w:val="1"/>
    <w:qFormat/>
    <w:pPr>
      <w:spacing w:before="44"/>
      <w:ind w:left="501"/>
      <w:outlineLvl w:val="6"/>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ftsafe.com.cn/" TargetMode="External"/><Relationship Id="rId10" Type="http://schemas.openxmlformats.org/officeDocument/2006/relationships/hyperlink" Target="mailto:wubi@ftsafe.com" TargetMode="External"/><Relationship Id="rId11" Type="http://schemas.openxmlformats.org/officeDocument/2006/relationships/hyperlink" Target="http://www.cninfo.com.cn/" TargetMode="External"/><Relationship Id="rId12" Type="http://schemas.openxmlformats.org/officeDocument/2006/relationships/hyperlink" Target="http://www/" TargetMode="External"/><Relationship Id="rId13" Type="http://schemas.openxmlformats.org/officeDocument/2006/relationships/image" Target="media/image3.jpeg"/><Relationship Id="rId14" Type="http://schemas.openxmlformats.org/officeDocument/2006/relationships/hyperlink" Target="http://www.cninfo.co/" TargetMode="External"/><Relationship Id="rId15" Type="http://schemas.openxmlformats.org/officeDocument/2006/relationships/footer" Target="footer3.xml"/><Relationship Id="rId16"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飞天诚信科技股份有限公司</dc:creator>
  <dc:title>飞天诚信科技股份有限公司2019年年度报告全文</dc:title>
  <dcterms:created xsi:type="dcterms:W3CDTF">2020-05-19T04:58:34Z</dcterms:created>
  <dcterms:modified xsi:type="dcterms:W3CDTF">2020-05-19T04:58:34Z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2020-04-20T00:00:00Z</vt:filetime>
  </property>
  <property fmtid="{D5CDD505-2E9C-101B-9397-08002B2CF9AE}" pid="3" name="Creator">
    <vt:lpwstr>Microsoft® Office Word 2007</vt:lpwstr>
  </property>
  <property fmtid="{D5CDD505-2E9C-101B-9397-08002B2CF9AE}" pid="4" name="LastSaved">
    <vt:filetime>2020-05-18T00:00:00Z</vt:filetime>
  </property>
</Properties>
</file>