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62.519981pt;width:485pt;height:.1pt;mso-position-horizontal-relative:page;mso-position-vertical-relative:page;z-index:0" coordorigin="1104,1250" coordsize="9700,2">
            <v:shape style="position:absolute;left:1104;top:1250;width:9700;height:2" coordorigin="1104,1250" coordsize="9700,0" path="m1104,1250l10804,1250e" filled="false" stroked="true" strokeweight=".72pt" strokecolor="#000000">
              <v:path arrowok="t"/>
            </v:shape>
            <w10:wrap type="none"/>
          </v:group>
        </w:pict>
      </w:r>
      <w:r>
        <w:rPr/>
        <w:pict>
          <v:shape style="position:absolute;margin-left:60.100006pt;margin-top:35.999985pt;width:64.5pt;height:22.5pt;mso-position-horizontal-relative:page;mso-position-vertical-relative:page;z-index:1048" type="#_x0000_t75" stroked="false">
            <v:imagedata r:id="rId7"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p>
      <w:pPr>
        <w:spacing w:line="76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1409700" cy="4857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1409700" cy="485775"/>
                    </a:xfrm>
                    <a:prstGeom prst="rect">
                      <a:avLst/>
                    </a:prstGeom>
                  </pic:spPr>
                </pic:pic>
              </a:graphicData>
            </a:graphic>
          </wp:inline>
        </w:drawing>
      </w:r>
      <w:r>
        <w:rPr>
          <w:rFonts w:ascii="Times New Roman" w:hAnsi="Times New Roman" w:cs="Times New Roman" w:eastAsia="Times New Roman" w:hint="default"/>
          <w:position w:val="-1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1"/>
        <w:ind w:left="2989" w:right="2989" w:firstLine="0"/>
        <w:jc w:val="center"/>
        <w:rPr>
          <w:rFonts w:ascii="宋体" w:hAnsi="宋体" w:cs="宋体" w:eastAsia="宋体" w:hint="default"/>
          <w:sz w:val="36"/>
          <w:szCs w:val="36"/>
        </w:rPr>
      </w:pPr>
      <w:r>
        <w:rPr>
          <w:rFonts w:ascii="宋体" w:hAnsi="宋体" w:cs="宋体" w:eastAsia="宋体" w:hint="default"/>
          <w:b/>
          <w:bCs/>
          <w:sz w:val="36"/>
          <w:szCs w:val="36"/>
        </w:rPr>
        <w:t>快乐购物股份有限公司</w:t>
      </w:r>
      <w:r>
        <w:rPr>
          <w:rFonts w:ascii="宋体" w:hAnsi="宋体" w:cs="宋体" w:eastAsia="宋体" w:hint="default"/>
          <w:sz w:val="36"/>
          <w:szCs w:val="36"/>
        </w:rPr>
      </w:r>
    </w:p>
    <w:p>
      <w:pPr>
        <w:spacing w:before="240"/>
        <w:ind w:left="2989" w:right="298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年年度报告（更正后）</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35"/>
          <w:szCs w:val="35"/>
        </w:rPr>
      </w:pPr>
    </w:p>
    <w:p>
      <w:pPr>
        <w:spacing w:before="0"/>
        <w:ind w:left="2989" w:right="298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1015" w:footer="979" w:top="1320" w:bottom="1160" w:left="980" w:right="980"/>
        </w:sectPr>
      </w:pPr>
    </w:p>
    <w:p>
      <w:pPr>
        <w:spacing w:line="240" w:lineRule="auto" w:before="12"/>
        <w:rPr>
          <w:rFonts w:ascii="宋体" w:hAnsi="宋体" w:cs="宋体" w:eastAsia="宋体" w:hint="default"/>
          <w:b/>
          <w:bCs/>
          <w:sz w:val="2"/>
          <w:szCs w:val="2"/>
        </w:rPr>
      </w:pPr>
      <w:r>
        <w:rPr/>
        <w:pict>
          <v:shape style="position:absolute;margin-left:60.100006pt;margin-top:42.549988pt;width:64.5pt;height:22.5pt;mso-position-horizontal-relative:page;mso-position-vertical-relative:page;z-index:1096"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公司负责人陈刚、主管会计工作负责人李牛及会计机构负责人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刘华强声明：保证年度报告中财务报告的真实、准确、完整。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10" w:lineRule="auto" w:before="0"/>
        <w:ind w:left="154"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footerReference w:type="default" r:id="rId9"/>
          <w:pgSz w:w="11910" w:h="16840"/>
          <w:pgMar w:footer="979" w:header="1015" w:top="1320" w:bottom="1160" w:left="980" w:right="980"/>
          <w:pgNumType w:start="2"/>
        </w:sectPr>
      </w:pPr>
    </w:p>
    <w:p>
      <w:pPr>
        <w:spacing w:line="240" w:lineRule="auto" w:before="12"/>
        <w:rPr>
          <w:rFonts w:ascii="宋体" w:hAnsi="宋体" w:cs="宋体" w:eastAsia="宋体" w:hint="default"/>
          <w:b/>
          <w:bCs/>
          <w:sz w:val="2"/>
          <w:szCs w:val="2"/>
        </w:rPr>
      </w:pPr>
      <w:r>
        <w:rPr/>
        <w:pict>
          <v:shape style="position:absolute;margin-left:60.100006pt;margin-top:42.549988pt;width:64.5pt;height:22.5pt;mso-position-horizontal-relative:page;mso-position-vertical-relative:page;z-index:1144"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line="460" w:lineRule="exact" w:before="0"/>
        <w:ind w:left="2989" w:right="298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宋体" w:hAnsi="宋体" w:cs="宋体" w:eastAsia="宋体" w:hint="default"/>
              </w:rPr>
              <w:tab/>
              <w:t>1</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第一节</w:t>
            </w:r>
            <w:r>
              <w:rPr>
                <w:spacing w:val="-19"/>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2">
            <w:r>
              <w:rPr/>
              <w:t>第二节</w:t>
            </w:r>
            <w:r>
              <w:rPr>
                <w:spacing w:val="-19"/>
              </w:rPr>
              <w:t> </w:t>
            </w:r>
            <w:r>
              <w:rPr/>
              <w:t>公司基本情况简介</w:t>
            </w:r>
            <w:r>
              <w:rPr>
                <w:rFonts w:ascii="宋体" w:hAnsi="宋体" w:cs="宋体" w:eastAsia="宋体" w:hint="default"/>
              </w:rPr>
              <w:tab/>
              <w:t>6</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3">
            <w:r>
              <w:rPr/>
              <w:t>第三节</w:t>
            </w:r>
            <w:r>
              <w:rPr>
                <w:spacing w:val="-19"/>
              </w:rPr>
              <w:t> </w:t>
            </w:r>
            <w:r>
              <w:rPr/>
              <w:t>会计数据和财务指标摘要</w:t>
            </w:r>
            <w:r>
              <w:rPr>
                <w:rFonts w:ascii="宋体" w:hAnsi="宋体" w:cs="宋体" w:eastAsia="宋体" w:hint="default"/>
              </w:rPr>
              <w:tab/>
              <w:t>8</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4">
            <w:r>
              <w:rPr/>
              <w:t>第四节</w:t>
            </w:r>
            <w:r>
              <w:rPr>
                <w:spacing w:val="-19"/>
              </w:rPr>
              <w:t> </w:t>
            </w:r>
            <w:r>
              <w:rPr/>
              <w:t>董事会报告</w:t>
            </w:r>
            <w:r>
              <w:rPr>
                <w:rFonts w:ascii="宋体" w:hAnsi="宋体" w:cs="宋体" w:eastAsia="宋体" w:hint="default"/>
              </w:rPr>
              <w:tab/>
              <w:t>11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第五节</w:t>
            </w:r>
            <w:r>
              <w:rPr>
                <w:spacing w:val="-19"/>
              </w:rPr>
              <w:t> </w:t>
            </w:r>
            <w:r>
              <w:rPr/>
              <w:t>重要事项</w:t>
            </w:r>
            <w:r>
              <w:rPr>
                <w:rFonts w:ascii="宋体" w:hAnsi="宋体" w:cs="宋体" w:eastAsia="宋体" w:hint="default"/>
              </w:rPr>
              <w:tab/>
              <w:t>23</w:t>
            </w:r>
            <w:r>
              <w:rPr>
                <w:rFonts w:ascii="宋体" w:hAnsi="宋体" w:cs="宋体" w:eastAsia="宋体"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9"/>
              </w:rPr>
              <w:t> </w:t>
            </w:r>
            <w:r>
              <w:rPr/>
              <w:t>股份变动及股东情况</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宋体" w:hAnsi="宋体" w:cs="宋体" w:eastAsia="宋体" w:hint="default"/>
              <w:b w:val="0"/>
              <w:bCs w:val="0"/>
            </w:rPr>
          </w:pPr>
          <w:hyperlink w:history="true" w:anchor="_bookmark7">
            <w:r>
              <w:rPr/>
              <w:t>第七节</w:t>
            </w:r>
            <w:r>
              <w:rPr>
                <w:spacing w:val="-19"/>
              </w:rPr>
              <w:t> </w:t>
            </w:r>
            <w:r>
              <w:rPr/>
              <w:t>董事、监事、高级管理人员和员工情况</w:t>
            </w:r>
            <w:r>
              <w:rPr>
                <w:rFonts w:ascii="宋体" w:hAnsi="宋体" w:cs="宋体" w:eastAsia="宋体" w:hint="default"/>
              </w:rPr>
              <w:tab/>
              <w:t>28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8">
            <w:r>
              <w:rPr/>
              <w:t>第八节</w:t>
            </w:r>
            <w:r>
              <w:rPr>
                <w:spacing w:val="-19"/>
              </w:rPr>
              <w:t> </w:t>
            </w:r>
            <w:r>
              <w:rPr/>
              <w:t>公司治理</w:t>
            </w:r>
            <w:r>
              <w:rPr>
                <w:rFonts w:ascii="宋体" w:hAnsi="宋体" w:cs="宋体" w:eastAsia="宋体" w:hint="default"/>
              </w:rPr>
              <w:tab/>
              <w:t>36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第九节</w:t>
            </w:r>
            <w:r>
              <w:rPr>
                <w:spacing w:val="-19"/>
              </w:rPr>
              <w:t> </w:t>
            </w:r>
            <w:r>
              <w:rPr/>
              <w:t>财务报告</w:t>
            </w:r>
            <w:r>
              <w:rPr>
                <w:rFonts w:ascii="宋体" w:hAnsi="宋体" w:cs="宋体" w:eastAsia="宋体" w:hint="default"/>
              </w:rPr>
              <w:tab/>
              <w:t>38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0">
            <w:r>
              <w:rPr/>
              <w:t>第十节</w:t>
            </w:r>
            <w:r>
              <w:rPr>
                <w:spacing w:val="-19"/>
              </w:rPr>
              <w:t> </w:t>
            </w:r>
            <w:r>
              <w:rPr/>
              <w:t>备查文件目录</w:t>
            </w:r>
            <w:r>
              <w:rPr>
                <w:rFonts w:ascii="宋体" w:hAnsi="宋体" w:cs="宋体" w:eastAsia="宋体" w:hint="default"/>
              </w:rPr>
              <w:tab/>
              <w:t>115</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1015" w:footer="979" w:top="1320" w:bottom="1160" w:left="980" w:right="980"/>
        </w:sectPr>
      </w:pPr>
    </w:p>
    <w:p>
      <w:pPr>
        <w:spacing w:before="677"/>
        <w:ind w:left="2989" w:right="298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本公司、公司、股份公司、快乐购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快乐购物股份有限公司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快乐购物有限责任公司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芒果传媒有限公司，其前身为快乐金鹰投资控股有限公司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弘毅投资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弘毅投资产业一期基金（天津</w:t>
            </w:r>
            <w:r>
              <w:rPr>
                <w:rFonts w:ascii="宋体" w:hAnsi="宋体" w:cs="宋体" w:eastAsia="宋体" w:hint="default"/>
                <w:spacing w:val="-90"/>
                <w:sz w:val="18"/>
                <w:szCs w:val="18"/>
              </w:rPr>
              <w:t>）</w:t>
            </w:r>
            <w:r>
              <w:rPr>
                <w:rFonts w:ascii="宋体" w:hAnsi="宋体" w:cs="宋体" w:eastAsia="宋体" w:hint="default"/>
                <w:sz w:val="18"/>
                <w:szCs w:val="18"/>
              </w:rPr>
              <w:t>（有限合伙）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绵阳基金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绵阳科技城产业投资基金（有限合伙）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红杉资本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天津红杉资本投资基金中心（有限合伙）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湖南高新创投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湖南高新创业投资集团有限公司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西藏弘志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西藏弘志投资顾问合伙企业（有限合伙）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上海快乐购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上海快乐购企业发展有限公司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上海快乐讯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上海快乐讯广告传播有限公司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北京快乐的狗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快乐的狗（北京）新媒体技术有限责任公司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供应链公司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快乐购（湖南）供应链管理有限公司，其前身为湖南康博达科技有限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湖南快乐的狗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湖南快乐的狗汽车文化传播有限公司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湖南道格</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道格云商（湖南）贸易有限责任公司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上海道格</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道格（上海）投资管理有限责任公司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上海妈妈觅呀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上海妈妈觅呀互娱网络科技有限公司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芒果生活</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芒果生活（湖南）电子商务有限责任公司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审计机构、德勤事务所</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81"/>
              <w:jc w:val="left"/>
              <w:rPr>
                <w:rFonts w:ascii="宋体" w:hAnsi="宋体" w:cs="宋体" w:eastAsia="宋体" w:hint="default"/>
                <w:sz w:val="18"/>
                <w:szCs w:val="18"/>
              </w:rPr>
            </w:pPr>
            <w:r>
              <w:rPr>
                <w:rFonts w:ascii="宋体" w:hAnsi="宋体" w:cs="宋体" w:eastAsia="宋体" w:hint="default"/>
                <w:spacing w:val="-3"/>
                <w:sz w:val="18"/>
                <w:szCs w:val="18"/>
              </w:rPr>
              <w:t>德勤华永会计师事务所（特殊普通合伙），其前身为德勤华永会计师</w:t>
            </w:r>
            <w:r>
              <w:rPr>
                <w:rFonts w:ascii="宋体" w:hAnsi="宋体" w:cs="宋体" w:eastAsia="宋体" w:hint="default"/>
                <w:sz w:val="18"/>
                <w:szCs w:val="18"/>
              </w:rPr>
              <w:t> 事务所有限公司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快乐购物股份有限公司现行有效的《公司章程》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人民币元（除特别说明外）</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湖南卫视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湖南广播电视台卫星频道及负责其节目制作的事业单位</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2"/>
              <w:jc w:val="both"/>
              <w:rPr>
                <w:rFonts w:ascii="宋体" w:hAnsi="宋体" w:cs="宋体" w:eastAsia="宋体" w:hint="default"/>
                <w:sz w:val="18"/>
                <w:szCs w:val="18"/>
              </w:rPr>
            </w:pPr>
            <w:r>
              <w:rPr>
                <w:rFonts w:ascii="宋体" w:hAnsi="宋体" w:cs="宋体" w:eastAsia="宋体" w:hint="default"/>
                <w:spacing w:val="-2"/>
                <w:sz w:val="18"/>
                <w:szCs w:val="18"/>
              </w:rPr>
              <w:t>以电子交易方式（包括电视、互联网、移动终端等）进行交易活动和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相关服务活动，是传统商业活动各环节的电子化、网络化。在招股说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明书中主要指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B2C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模式的在线销售业务。</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B2C</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50"/>
              <w:jc w:val="left"/>
              <w:rPr>
                <w:rFonts w:ascii="宋体" w:hAnsi="宋体" w:cs="宋体" w:eastAsia="宋体" w:hint="default"/>
                <w:sz w:val="18"/>
                <w:szCs w:val="18"/>
              </w:rPr>
            </w:pPr>
            <w:r>
              <w:rPr>
                <w:rFonts w:ascii="宋体" w:hAnsi="宋体" w:cs="宋体" w:eastAsia="宋体" w:hint="default"/>
                <w:sz w:val="18"/>
                <w:szCs w:val="18"/>
              </w:rPr>
              <w:t>电子商务用语，一般指商家（</w:t>
            </w:r>
            <w:r>
              <w:rPr>
                <w:rFonts w:ascii="Times New Roman" w:hAnsi="Times New Roman" w:cs="Times New Roman" w:eastAsia="Times New Roman" w:hint="default"/>
                <w:sz w:val="18"/>
                <w:szCs w:val="18"/>
              </w:rPr>
              <w:t>Business</w:t>
            </w:r>
            <w:r>
              <w:rPr>
                <w:rFonts w:ascii="宋体" w:hAnsi="宋体" w:cs="宋体" w:eastAsia="宋体" w:hint="default"/>
                <w:sz w:val="18"/>
                <w:szCs w:val="18"/>
              </w:rPr>
              <w:t>）对消费者（</w:t>
            </w:r>
            <w:r>
              <w:rPr>
                <w:rFonts w:ascii="Times New Roman" w:hAnsi="Times New Roman" w:cs="Times New Roman" w:eastAsia="Times New Roman" w:hint="default"/>
                <w:sz w:val="18"/>
                <w:szCs w:val="18"/>
              </w:rPr>
              <w:t>Consumer</w:t>
            </w:r>
            <w:r>
              <w:rPr>
                <w:rFonts w:ascii="宋体" w:hAnsi="宋体" w:cs="宋体" w:eastAsia="宋体" w:hint="default"/>
                <w:sz w:val="18"/>
                <w:szCs w:val="18"/>
              </w:rPr>
              <w:t>）的互 联网销售模式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headerReference w:type="default" r:id="rId10"/>
          <w:pgSz w:w="11910" w:h="16840"/>
          <w:pgMar w:header="851" w:footer="979" w:top="1320" w:bottom="1160" w:left="980" w:right="980"/>
        </w:sectPr>
      </w:pPr>
    </w:p>
    <w:p>
      <w:pPr>
        <w:spacing w:line="240" w:lineRule="auto" w:before="6"/>
        <w:rPr>
          <w:rFonts w:ascii="Times New Roman" w:hAnsi="Times New Roman" w:cs="Times New Roman" w:eastAsia="Times New Roman"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O2O</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6"/>
                <w:w w:val="99"/>
                <w:sz w:val="18"/>
                <w:szCs w:val="18"/>
              </w:rPr>
              <w:t>Offline</w:t>
            </w:r>
            <w:r>
              <w:rPr>
                <w:rFonts w:ascii="宋体" w:hAnsi="宋体" w:cs="宋体" w:eastAsia="宋体" w:hint="default"/>
                <w:spacing w:val="-6"/>
                <w:w w:val="99"/>
                <w:sz w:val="18"/>
                <w:szCs w:val="18"/>
              </w:rPr>
              <w:t>（在线离线</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线上到线下），是指将线下的商务机会</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与互联网结合，让互联网成为线下交易的前台。</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OTT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OTT </w:t>
            </w:r>
            <w:r>
              <w:rPr>
                <w:rFonts w:ascii="宋体" w:hAnsi="宋体" w:cs="宋体" w:eastAsia="宋体" w:hint="default"/>
                <w:sz w:val="18"/>
                <w:szCs w:val="18"/>
              </w:rPr>
              <w:t>是</w:t>
            </w:r>
            <w:r>
              <w:rPr>
                <w:rFonts w:ascii="Times New Roman" w:hAnsi="Times New Roman" w:cs="Times New Roman" w:eastAsia="Times New Roman" w:hint="default"/>
                <w:sz w:val="18"/>
                <w:szCs w:val="18"/>
              </w:rPr>
              <w:t>“Over The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Top”</w:t>
            </w:r>
            <w:r>
              <w:rPr>
                <w:rFonts w:ascii="宋体" w:hAnsi="宋体" w:cs="宋体" w:eastAsia="宋体" w:hint="default"/>
                <w:sz w:val="18"/>
                <w:szCs w:val="18"/>
              </w:rPr>
              <w:t>的缩写，是指通过互联网向用户提供各种应用 服务。</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8"/>
                <w:sz w:val="18"/>
              </w:rPr>
              <w:t>WAP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"Wireless Application</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Protocol"</w:t>
            </w:r>
            <w:r>
              <w:rPr>
                <w:rFonts w:ascii="宋体" w:hAnsi="宋体" w:cs="宋体" w:eastAsia="宋体" w:hint="default"/>
                <w:sz w:val="18"/>
                <w:szCs w:val="18"/>
              </w:rPr>
              <w:t>的简称，是一项全球性的无线网络通信 协议</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ERP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Resource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Planning"</w:t>
            </w:r>
            <w:r>
              <w:rPr>
                <w:rFonts w:ascii="宋体" w:hAnsi="宋体" w:cs="宋体" w:eastAsia="宋体" w:hint="default"/>
                <w:sz w:val="18"/>
                <w:szCs w:val="18"/>
              </w:rPr>
              <w:t>的简称，即企业资源计划系统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CRM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的简称，即客户关系管理系统</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1"/>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“Systems Applications and Products in Data</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Processing”</w:t>
            </w:r>
            <w:r>
              <w:rPr>
                <w:rFonts w:ascii="宋体" w:hAnsi="宋体" w:cs="宋体" w:eastAsia="宋体" w:hint="default"/>
                <w:sz w:val="18"/>
                <w:szCs w:val="18"/>
              </w:rPr>
              <w:t>的简称，是 </w:t>
            </w: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公司的产品</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企业管理解决方案的软件名称。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IBM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即国际商业机器公司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高清技术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高清晰度电视系统技术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为了满足客户需要而对商品、服务以及相关信息从产地到消费地的高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效、低成本流动和储存而进行的规划、实施与控制的过程</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现代企业采用各种现代化的传递媒介进行信息的收集、传递、处理、 储存、检索与分析的过程</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干线</w:t>
            </w:r>
            <w:r>
              <w:rPr>
                <w:rFonts w:ascii="Times New Roman" w:hAnsi="Times New Roman" w:cs="Times New Roman" w:eastAsia="Times New Roman" w:hint="default"/>
                <w:sz w:val="18"/>
                <w:szCs w:val="18"/>
              </w:rPr>
              <w:t>+</w:t>
            </w:r>
            <w:r>
              <w:rPr>
                <w:rFonts w:ascii="宋体" w:hAnsi="宋体" w:cs="宋体" w:eastAsia="宋体" w:hint="default"/>
                <w:sz w:val="18"/>
                <w:szCs w:val="18"/>
              </w:rPr>
              <w:t>宅配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物流配送体系将区域之间运输线设为干线，区域内配送设为宅配，应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干线</w:t>
            </w:r>
            <w:r>
              <w:rPr>
                <w:rFonts w:ascii="Times New Roman" w:hAnsi="Times New Roman" w:cs="Times New Roman" w:eastAsia="Times New Roman" w:hint="default"/>
                <w:sz w:val="18"/>
                <w:szCs w:val="18"/>
              </w:rPr>
              <w:t>+</w:t>
            </w:r>
            <w:r>
              <w:rPr>
                <w:rFonts w:ascii="宋体" w:hAnsi="宋体" w:cs="宋体" w:eastAsia="宋体" w:hint="default"/>
                <w:sz w:val="18"/>
                <w:szCs w:val="18"/>
              </w:rPr>
              <w:t>宅配</w:t>
            </w:r>
            <w:r>
              <w:rPr>
                <w:rFonts w:ascii="Times New Roman" w:hAnsi="Times New Roman" w:cs="Times New Roman" w:eastAsia="Times New Roman" w:hint="default"/>
                <w:sz w:val="18"/>
                <w:szCs w:val="18"/>
              </w:rPr>
              <w:t>"</w:t>
            </w:r>
            <w:r>
              <w:rPr>
                <w:rFonts w:ascii="宋体" w:hAnsi="宋体" w:cs="宋体" w:eastAsia="宋体" w:hint="default"/>
                <w:sz w:val="18"/>
                <w:szCs w:val="18"/>
              </w:rPr>
              <w:t>的物流配送模式，实现配送到户</w:t>
            </w:r>
          </w:p>
        </w:tc>
      </w:tr>
    </w:tbl>
    <w:p>
      <w:pPr>
        <w:spacing w:after="0" w:line="319" w:lineRule="auto"/>
        <w:jc w:val="left"/>
        <w:rPr>
          <w:rFonts w:ascii="宋体" w:hAnsi="宋体" w:cs="宋体" w:eastAsia="宋体" w:hint="default"/>
          <w:sz w:val="18"/>
          <w:szCs w:val="18"/>
        </w:rPr>
        <w:sectPr>
          <w:pgSz w:w="11910" w:h="16840"/>
          <w:pgMar w:header="851" w:footer="979" w:top="13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快乐购</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300413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快乐购物股份有限公司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快乐购</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Happigo Home Shopping</w:t>
            </w:r>
            <w:r>
              <w:rPr>
                <w:rFonts w:ascii="Times New Roman"/>
                <w:spacing w:val="-5"/>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陈刚</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湖南长沙金鹰影视文化城</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410003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410003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www.happigo.com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happigo@happigo.com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4"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号外滩中心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付维刚</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82168010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82168899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happigo@happigo.com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happigo@happigo.com</w:t>
              </w:r>
            </w:hyperlink>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r>
    </w:tbl>
    <w:p>
      <w:pPr>
        <w:spacing w:after="0" w:line="240" w:lineRule="auto"/>
        <w:jc w:val="left"/>
        <w:rPr>
          <w:rFonts w:ascii="宋体" w:hAnsi="宋体" w:cs="宋体" w:eastAsia="宋体" w:hint="default"/>
          <w:sz w:val="18"/>
          <w:szCs w:val="18"/>
        </w:rPr>
        <w:sectPr>
          <w:pgSz w:w="11910" w:h="16840"/>
          <w:pgMar w:header="851" w:footer="979" w:top="138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9"/>
        <w:ind w:left="154"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4301001600049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430105782875193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4301001600049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公司变更为法人独 </w:t>
            </w:r>
            <w:r>
              <w:rPr>
                <w:rFonts w:ascii="宋体" w:hAnsi="宋体" w:cs="宋体" w:eastAsia="宋体" w:hint="default"/>
                <w:spacing w:val="-9"/>
                <w:sz w:val="18"/>
                <w:szCs w:val="18"/>
              </w:rPr>
              <w:t>资有限责任公司，唯</w:t>
            </w:r>
            <w:r>
              <w:rPr>
                <w:rFonts w:ascii="宋体" w:hAnsi="宋体" w:cs="宋体" w:eastAsia="宋体" w:hint="default"/>
                <w:sz w:val="18"/>
                <w:szCs w:val="18"/>
              </w:rPr>
              <w:t> 一股东为湖南广播 影视集团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430194000001830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唯一股东变更为快 乐金鹰投资控股有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430194000001830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弘毅投资、绵阳基金</w:t>
            </w:r>
            <w:r>
              <w:rPr>
                <w:rFonts w:ascii="宋体" w:hAnsi="宋体" w:cs="宋体" w:eastAsia="宋体" w:hint="default"/>
                <w:sz w:val="18"/>
                <w:szCs w:val="18"/>
              </w:rPr>
              <w:t> 和红杉资本公司以 增资方式引入成为 公司新股东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430194000001830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芒果传媒转让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股 权给湖南高新创投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430194000001830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吸收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 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430194000001830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公司改制为股份有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430194000001830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名自然人股东出 让股份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430194000001830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名自然人股东出 让股份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430194000001830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湖南长沙金鹰影视 文化城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430194000001830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430105782875193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78287519-3</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b/>
          <w:bCs/>
          <w:sz w:val="2"/>
          <w:szCs w:val="2"/>
        </w:rPr>
      </w:pPr>
      <w:r>
        <w:rPr/>
        <w:pict>
          <v:group style="position:absolute;margin-left:189.800003pt;margin-top:350.869995pt;width:87.7pt;height:28pt;mso-position-horizontal-relative:page;mso-position-vertical-relative:page;z-index:-655240"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48"/>
        <w:gridCol w:w="1427"/>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2,738,011,404.04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3,149,875,201.33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2,855,104,900.74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1,974,939,546.71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2,323,603,505.31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2,098,799,904.62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130,997,771.46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159,896,899.36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134,262,636.09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154,916,342.27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186,075,796.49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140,109,081.95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154,111,442.70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184,876,356.63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141,327,019.33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8"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130,192,871.89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158,697,459.50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135,480,573.47</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106,808,896.38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245,138,445.40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207,469,266.85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0.3227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0.6268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331,000,000.00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1,472,496,799.73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1,397,163,502.45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1,201,043,572.57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510,535,681.05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539,397,210.20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473,738,527.87</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961,961,118.68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857,766,292.25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727,305,044.70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2.5914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2.1973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pStyle w:val="BodyText"/>
        <w:spacing w:line="319" w:lineRule="auto" w:before="114"/>
        <w:ind w:left="154" w:right="0" w:firstLine="360"/>
        <w:jc w:val="left"/>
      </w:pPr>
      <w:r>
        <w:rPr>
          <w:spacing w:val="-2"/>
        </w:rPr>
        <w:t>公司报告期末至年度报告披露日股本是否因发行新股、增发、配股、股权激励行权、回购等原因发生变化且影响所有者</w:t>
      </w:r>
      <w:r>
        <w:rPr/>
        <w:t> 权益金额</w:t>
      </w:r>
    </w:p>
    <w:p>
      <w:pPr>
        <w:pStyle w:val="BodyText"/>
        <w:spacing w:line="240" w:lineRule="auto" w:before="5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0.3843</w:t>
            </w:r>
          </w:p>
        </w:tc>
      </w:tr>
    </w:tbl>
    <w:p>
      <w:pPr>
        <w:spacing w:line="240" w:lineRule="auto" w:before="2"/>
        <w:rPr>
          <w:rFonts w:ascii="宋体" w:hAnsi="宋体" w:cs="宋体" w:eastAsia="宋体" w:hint="default"/>
          <w:sz w:val="18"/>
          <w:szCs w:val="18"/>
        </w:rPr>
      </w:pPr>
    </w:p>
    <w:p>
      <w:pPr>
        <w:pStyle w:val="Heading2"/>
        <w:spacing w:line="240" w:lineRule="auto"/>
        <w:ind w:left="154" w:right="0"/>
        <w:jc w:val="left"/>
        <w:rPr>
          <w:b w:val="0"/>
          <w:bCs w:val="0"/>
        </w:rPr>
      </w:pPr>
      <w:bookmarkStart w:name="二、非经常性损益的项目及金额" w:id="12"/>
      <w:bookmarkEnd w:id="12"/>
      <w:r>
        <w:rPr>
          <w:b w:val="0"/>
          <w:bCs w:val="0"/>
        </w:rPr>
      </w:r>
      <w:r>
        <w:rPr/>
        <w:t>二、非经常性损益的项目及金额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-3,621.75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-10,006.99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22,168,473.79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22,831,316.19</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5,442,934.85</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主要为产业扶持奖 励、直接融资补贴、 文化企业引导资金补 助等。</w:t>
            </w:r>
          </w:p>
        </w:tc>
      </w:tr>
      <w:tr>
        <w:trPr>
          <w:trHeight w:val="1016"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1,753,718.77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3,357,587.93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403,511.01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23,918,570.81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26,178,897.13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5,846,445.86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both"/>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52"/>
        <w:jc w:val="both"/>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3" w:right="152"/>
        <w:jc w:val="both"/>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5"/>
        <w:rPr>
          <w:rFonts w:ascii="宋体" w:hAnsi="宋体" w:cs="宋体" w:eastAsia="宋体" w:hint="default"/>
          <w:sz w:val="21"/>
          <w:szCs w:val="21"/>
        </w:rPr>
      </w:pPr>
    </w:p>
    <w:p>
      <w:pPr>
        <w:pStyle w:val="Heading2"/>
        <w:spacing w:line="240" w:lineRule="auto" w:before="0"/>
        <w:ind w:right="0"/>
        <w:jc w:val="both"/>
        <w:rPr>
          <w:b w:val="0"/>
          <w:bCs w:val="0"/>
        </w:rPr>
      </w:pPr>
      <w:bookmarkStart w:name="三、重大风险提示" w:id="13"/>
      <w:bookmarkEnd w:id="13"/>
      <w:r>
        <w:rPr>
          <w:b w:val="0"/>
          <w:bCs w:val="0"/>
        </w:rPr>
      </w:r>
      <w:r>
        <w:rPr/>
        <w:t>三、重大风险提示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6" w:right="0" w:hanging="3"/>
        <w:jc w:val="left"/>
      </w:pPr>
      <w:r>
        <w:rPr>
          <w:rFonts w:ascii="Times New Roman" w:hAnsi="Times New Roman" w:cs="Times New Roman" w:eastAsia="Times New Roman" w:hint="default"/>
        </w:rPr>
        <w:t>1</w:t>
      </w:r>
      <w:r>
        <w:rPr/>
        <w:t>、市场竞争加剧所导致的风险 </w:t>
      </w:r>
      <w:r>
        <w:rPr>
          <w:spacing w:val="-2"/>
        </w:rPr>
        <w:t>随着信息技术的快速发展，消费者在线消费习惯不断普及，预示着国内电子商务市场尤其是移动互联电子商务市场成长</w:t>
      </w:r>
    </w:p>
    <w:p>
      <w:pPr>
        <w:pStyle w:val="BodyText"/>
        <w:spacing w:line="316" w:lineRule="auto" w:before="31"/>
        <w:ind w:left="153" w:right="151"/>
        <w:jc w:val="both"/>
      </w:pPr>
      <w:r>
        <w:rPr>
          <w:spacing w:val="-5"/>
        </w:rPr>
        <w:t>空间巨大。但随着越来越多的企业加入电子商务领域，企业之间的竞争更加激烈。公司作为从电视购物起家的电子商务企业，</w:t>
      </w:r>
      <w:r>
        <w:rPr>
          <w:spacing w:val="-79"/>
        </w:rPr>
        <w:t> </w:t>
      </w:r>
      <w:r>
        <w:rPr>
          <w:spacing w:val="-79"/>
        </w:rPr>
      </w:r>
      <w:r>
        <w:rPr>
          <w:spacing w:val="-2"/>
        </w:rPr>
        <w:t>经过多年发展已经拥有较高的品牌知名度和信誉度。然而，随着市场形势的变化，公司不仅要面临电视购物企业的竞争，还</w:t>
      </w:r>
      <w:r>
        <w:rPr>
          <w:spacing w:val="-66"/>
        </w:rPr>
        <w:t> </w:t>
      </w:r>
      <w:r>
        <w:rPr>
          <w:spacing w:val="-66"/>
        </w:rPr>
      </w:r>
      <w:r>
        <w:rPr>
          <w:spacing w:val="-2"/>
        </w:rPr>
        <w:t>将面临网络购物企业、从线下实体店转向线上销售等电子商务企业的竞争，公司的市场份额和盈利能力可能因此受到不利影</w:t>
      </w:r>
      <w:r>
        <w:rPr>
          <w:spacing w:val="-64"/>
        </w:rPr>
        <w:t> </w:t>
      </w:r>
      <w:r>
        <w:rPr>
          <w:spacing w:val="-64"/>
        </w:rPr>
      </w:r>
      <w:r>
        <w:rPr/>
        <w:t>响。</w:t>
      </w:r>
    </w:p>
    <w:p>
      <w:pPr>
        <w:spacing w:line="240" w:lineRule="auto" w:before="5"/>
        <w:rPr>
          <w:rFonts w:ascii="宋体" w:hAnsi="宋体" w:cs="宋体" w:eastAsia="宋体" w:hint="default"/>
          <w:sz w:val="13"/>
          <w:szCs w:val="13"/>
        </w:rPr>
      </w:pPr>
    </w:p>
    <w:p>
      <w:pPr>
        <w:pStyle w:val="BodyText"/>
        <w:spacing w:line="300" w:lineRule="auto"/>
        <w:ind w:left="588" w:right="158" w:hanging="1"/>
        <w:jc w:val="left"/>
      </w:pPr>
      <w:r>
        <w:rPr>
          <w:rFonts w:ascii="Times New Roman" w:hAnsi="Times New Roman" w:cs="Times New Roman" w:eastAsia="Times New Roman" w:hint="default"/>
        </w:rPr>
        <w:t>2</w:t>
      </w:r>
      <w:r>
        <w:rPr/>
        <w:t>、公司业务转型不能达预期的风险 面临激烈的市场竞争，公司除了在电视购物主业方面通过改善信息技术运用、供应链模式、用户体验等措施积极应对</w:t>
      </w:r>
    </w:p>
    <w:p>
      <w:pPr>
        <w:pStyle w:val="BodyText"/>
        <w:spacing w:line="309" w:lineRule="auto" w:before="31"/>
        <w:ind w:left="153" w:right="152"/>
        <w:jc w:val="both"/>
      </w:pPr>
      <w:r>
        <w:rPr>
          <w:spacing w:val="-2"/>
        </w:rPr>
        <w:t>外，也在向网络购物、移动互联购物拓展，实施公司业务的转型。实现以电视为核心的电视</w:t>
      </w:r>
      <w:r>
        <w:rPr>
          <w:rFonts w:ascii="Times New Roman" w:hAnsi="Times New Roman" w:cs="Times New Roman" w:eastAsia="Times New Roman" w:hint="default"/>
          <w:spacing w:val="-2"/>
        </w:rPr>
        <w:t>—</w:t>
      </w:r>
      <w:r>
        <w:rPr>
          <w:spacing w:val="-2"/>
        </w:rPr>
        <w:t>电脑</w:t>
      </w:r>
      <w:r>
        <w:rPr>
          <w:rFonts w:ascii="Times New Roman" w:hAnsi="Times New Roman" w:cs="Times New Roman" w:eastAsia="Times New Roman" w:hint="default"/>
          <w:spacing w:val="-2"/>
        </w:rPr>
        <w:t>—</w:t>
      </w:r>
      <w:r>
        <w:rPr>
          <w:spacing w:val="-2"/>
        </w:rPr>
        <w:t>手机的三屏互动，推动</w:t>
      </w:r>
      <w:r>
        <w:rPr>
          <w:spacing w:val="-66"/>
        </w:rPr>
        <w:t> </w:t>
      </w:r>
      <w:r>
        <w:rPr>
          <w:spacing w:val="-66"/>
        </w:rPr>
      </w:r>
      <w:r>
        <w:rPr>
          <w:spacing w:val="-5"/>
        </w:rPr>
        <w:t>客户群体的在不同渠道间的迁移，最终实现以手机为核心的三屏融合。在这过程中，存在相关目标不能按计划实现的可能性，</w:t>
      </w:r>
      <w:r>
        <w:rPr>
          <w:spacing w:val="-79"/>
        </w:rPr>
        <w:t> </w:t>
      </w:r>
      <w:r>
        <w:rPr>
          <w:spacing w:val="-79"/>
        </w:rPr>
      </w:r>
      <w:r>
        <w:rPr/>
        <w:t>新业务的开展也可能达不到预期的效益，从而进一步对公司的经营效益产生不利影响。</w:t>
      </w:r>
    </w:p>
    <w:p>
      <w:pPr>
        <w:spacing w:line="240" w:lineRule="auto" w:before="10"/>
        <w:rPr>
          <w:rFonts w:ascii="宋体" w:hAnsi="宋体" w:cs="宋体" w:eastAsia="宋体" w:hint="default"/>
          <w:sz w:val="13"/>
          <w:szCs w:val="13"/>
        </w:rPr>
      </w:pPr>
    </w:p>
    <w:p>
      <w:pPr>
        <w:pStyle w:val="BodyText"/>
        <w:spacing w:line="300" w:lineRule="auto"/>
        <w:ind w:left="516" w:right="170" w:firstLine="71"/>
        <w:jc w:val="left"/>
      </w:pPr>
      <w:r>
        <w:rPr>
          <w:rFonts w:ascii="Times New Roman" w:hAnsi="Times New Roman" w:cs="Times New Roman" w:eastAsia="Times New Roman" w:hint="default"/>
        </w:rPr>
        <w:t>3</w:t>
      </w:r>
      <w:r>
        <w:rPr/>
        <w:t>、供应端业务模式多元化可能面临的风险 公司当前采购主要以</w:t>
      </w:r>
      <w:r>
        <w:rPr>
          <w:rFonts w:ascii="Times New Roman" w:hAnsi="Times New Roman" w:cs="Times New Roman" w:eastAsia="Times New Roman" w:hint="default"/>
        </w:rPr>
        <w:t>“</w:t>
      </w:r>
      <w:r>
        <w:rPr/>
        <w:t>视同买断的代销</w:t>
      </w:r>
      <w:r>
        <w:rPr>
          <w:rFonts w:ascii="Times New Roman" w:hAnsi="Times New Roman" w:cs="Times New Roman" w:eastAsia="Times New Roman" w:hint="default"/>
        </w:rPr>
        <w:t>”</w:t>
      </w:r>
      <w:r>
        <w:rPr/>
        <w:t>方式为主。未来公司将推动商品供应端业务模式的多元化，即建立起</w:t>
      </w:r>
      <w:r>
        <w:rPr>
          <w:rFonts w:ascii="Times New Roman" w:hAnsi="Times New Roman" w:cs="Times New Roman" w:eastAsia="Times New Roman" w:hint="default"/>
        </w:rPr>
        <w:t>“</w:t>
      </w:r>
      <w:r>
        <w:rPr/>
        <w:t>视同买断</w:t>
      </w:r>
    </w:p>
    <w:p>
      <w:pPr>
        <w:pStyle w:val="BodyText"/>
        <w:spacing w:line="240" w:lineRule="auto" w:before="13"/>
        <w:ind w:left="153" w:right="0"/>
        <w:jc w:val="both"/>
      </w:pPr>
      <w:r>
        <w:rPr/>
        <w:t>的代销</w:t>
      </w:r>
      <w:r>
        <w:rPr>
          <w:rFonts w:ascii="Times New Roman" w:hAnsi="Times New Roman" w:cs="Times New Roman" w:eastAsia="Times New Roman" w:hint="default"/>
        </w:rPr>
        <w:t>”</w:t>
      </w:r>
      <w:r>
        <w:rPr/>
        <w:t>、买断、自营等多元化的业务模式。买断、自营新业务模式中，公司将以更低的价格取得商品，但商品如不能按计</w:t>
      </w:r>
    </w:p>
    <w:p>
      <w:pPr>
        <w:spacing w:after="0" w:line="240" w:lineRule="auto"/>
        <w:jc w:val="both"/>
        <w:sectPr>
          <w:pgSz w:w="11910" w:h="16840"/>
          <w:pgMar w:header="851" w:footer="979" w:top="1320" w:bottom="1160" w:left="980" w:right="980"/>
        </w:sectPr>
      </w:pPr>
    </w:p>
    <w:p>
      <w:pPr>
        <w:pStyle w:val="BodyText"/>
        <w:spacing w:line="316" w:lineRule="auto" w:before="114"/>
        <w:ind w:left="154" w:right="0"/>
        <w:jc w:val="left"/>
      </w:pPr>
      <w:r>
        <w:rPr>
          <w:spacing w:val="-2"/>
        </w:rPr>
        <w:t>划实现销售，那么将由公司自身承担相关的成本费用。因此，在商品供应端业务模式多元化的情况下，公司财务指标的波动</w:t>
      </w:r>
      <w:r>
        <w:rPr>
          <w:spacing w:val="-66"/>
        </w:rPr>
        <w:t> </w:t>
      </w:r>
      <w:r>
        <w:rPr>
          <w:spacing w:val="-66"/>
        </w:rPr>
      </w:r>
      <w:r>
        <w:rPr/>
        <w:t>性会增大，相应公司整体经营结果具有更大不确定性。</w:t>
      </w:r>
    </w:p>
    <w:p>
      <w:pPr>
        <w:spacing w:line="240" w:lineRule="auto" w:before="5"/>
        <w:rPr>
          <w:rFonts w:ascii="宋体" w:hAnsi="宋体" w:cs="宋体" w:eastAsia="宋体" w:hint="default"/>
          <w:sz w:val="13"/>
          <w:szCs w:val="13"/>
        </w:rPr>
      </w:pPr>
    </w:p>
    <w:p>
      <w:pPr>
        <w:pStyle w:val="BodyText"/>
        <w:spacing w:line="300" w:lineRule="auto"/>
        <w:ind w:left="641" w:right="0" w:hanging="53"/>
        <w:jc w:val="left"/>
        <w:rPr>
          <w:rFonts w:ascii="宋体" w:hAnsi="宋体" w:cs="宋体" w:eastAsia="宋体" w:hint="default"/>
        </w:rPr>
      </w:pPr>
      <w:r>
        <w:rPr>
          <w:rFonts w:ascii="Times New Roman" w:hAnsi="Times New Roman" w:cs="Times New Roman" w:eastAsia="Times New Roman" w:hint="default"/>
        </w:rPr>
        <w:t>4</w:t>
      </w:r>
      <w:r>
        <w:rPr/>
        <w:t>、新市场区域的开拓不能达预期的风险 </w:t>
      </w:r>
      <w:r>
        <w:rPr>
          <w:spacing w:val="-3"/>
        </w:rPr>
        <w:t>截止报告期末，快乐购已覆盖</w:t>
      </w:r>
      <w:r>
        <w:rPr>
          <w:rFonts w:ascii="宋体" w:hAnsi="宋体" w:cs="宋体" w:eastAsia="宋体" w:hint="default"/>
          <w:spacing w:val="-3"/>
        </w:rPr>
        <w:t>19</w:t>
      </w:r>
      <w:r>
        <w:rPr>
          <w:spacing w:val="-3"/>
        </w:rPr>
        <w:t>个省，</w:t>
      </w:r>
      <w:r>
        <w:rPr>
          <w:rFonts w:ascii="宋体" w:hAnsi="宋体" w:cs="宋体" w:eastAsia="宋体" w:hint="default"/>
          <w:spacing w:val="-3"/>
        </w:rPr>
        <w:t>3</w:t>
      </w:r>
      <w:r>
        <w:rPr>
          <w:spacing w:val="-3"/>
        </w:rPr>
        <w:t>个直辖市（京、津、渝），</w:t>
      </w:r>
      <w:r>
        <w:rPr>
          <w:rFonts w:ascii="宋体" w:hAnsi="宋体" w:cs="宋体" w:eastAsia="宋体" w:hint="default"/>
          <w:spacing w:val="-3"/>
        </w:rPr>
        <w:t>218</w:t>
      </w:r>
      <w:r>
        <w:rPr>
          <w:spacing w:val="-3"/>
        </w:rPr>
        <w:t>个地级市，覆盖</w:t>
      </w:r>
      <w:r>
        <w:rPr>
          <w:rFonts w:ascii="宋体" w:hAnsi="宋体" w:cs="宋体" w:eastAsia="宋体" w:hint="default"/>
          <w:spacing w:val="-3"/>
        </w:rPr>
        <w:t>1.14</w:t>
      </w:r>
      <w:r>
        <w:rPr>
          <w:spacing w:val="-3"/>
        </w:rPr>
        <w:t>亿户家庭，会员人数达</w:t>
      </w:r>
      <w:r>
        <w:rPr>
          <w:rFonts w:ascii="宋体" w:hAnsi="宋体" w:cs="宋体" w:eastAsia="宋体" w:hint="default"/>
          <w:spacing w:val="-3"/>
        </w:rPr>
        <w:t>592</w:t>
      </w:r>
    </w:p>
    <w:p>
      <w:pPr>
        <w:pStyle w:val="BodyText"/>
        <w:spacing w:line="316" w:lineRule="auto" w:before="32"/>
        <w:ind w:left="333" w:right="0"/>
        <w:jc w:val="left"/>
      </w:pPr>
      <w:r>
        <w:rPr>
          <w:spacing w:val="-2"/>
        </w:rPr>
        <w:t>万。未来公司将进一步提升市场覆盖。在新市场开发中，由于存在地方市场分割、区域政策不同等原因，相关目标有可能</w:t>
      </w:r>
      <w:r>
        <w:rPr>
          <w:spacing w:val="-68"/>
        </w:rPr>
        <w:t> </w:t>
      </w:r>
      <w:r>
        <w:rPr>
          <w:spacing w:val="-68"/>
        </w:rPr>
      </w:r>
      <w:r>
        <w:rPr/>
        <w:t>不能按预期计划实现。</w:t>
      </w:r>
    </w:p>
    <w:p>
      <w:pPr>
        <w:spacing w:after="0" w:line="316" w:lineRule="auto"/>
        <w:jc w:val="left"/>
        <w:sectPr>
          <w:pgSz w:w="11910" w:h="16840"/>
          <w:pgMar w:header="851" w:footer="979" w:top="1320" w:bottom="116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spacing w:line="240" w:lineRule="auto"/>
        <w:ind w:left="3591" w:right="3629"/>
        <w:jc w:val="center"/>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154" w:right="0"/>
        <w:jc w:val="both"/>
        <w:rPr>
          <w:b w:val="0"/>
          <w:bCs w:val="0"/>
        </w:rPr>
      </w:pPr>
      <w:bookmarkStart w:name="一、管理层讨论与分析" w:id="16"/>
      <w:bookmarkEnd w:id="16"/>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both"/>
        <w:rPr>
          <w:b w:val="0"/>
          <w:bCs w:val="0"/>
        </w:rPr>
      </w:pPr>
      <w:bookmarkStart w:name="1、报告期内主要业务回顾" w:id="17"/>
      <w:bookmarkEnd w:id="17"/>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firstLine="360"/>
        <w:jc w:val="both"/>
      </w:pPr>
      <w:r>
        <w:rPr>
          <w:rFonts w:ascii="宋体" w:hAnsi="宋体" w:cs="宋体" w:eastAsia="宋体" w:hint="default"/>
          <w:spacing w:val="-2"/>
        </w:rPr>
        <w:t>2014</w:t>
      </w:r>
      <w:r>
        <w:rPr>
          <w:spacing w:val="-2"/>
        </w:rPr>
        <w:t>年中国经济整体下行，消费乏力，面临疲软的宏观经济环境和市场激烈竞争，报告期内，公司通过进一步深化对媒</w:t>
      </w:r>
      <w:r>
        <w:rPr/>
        <w:t> </w:t>
      </w:r>
      <w:r>
        <w:rPr>
          <w:spacing w:val="-2"/>
        </w:rPr>
        <w:t>体零售定位的理解，加大投入推动互联网技术在公司主营业务中的应用，强化以商品为龙头、多渠道融合的核心驱动力，实</w:t>
      </w:r>
      <w:r>
        <w:rPr>
          <w:spacing w:val="-66"/>
        </w:rPr>
        <w:t> </w:t>
      </w:r>
      <w:r>
        <w:rPr>
          <w:spacing w:val="-66"/>
        </w:rPr>
      </w:r>
      <w:r>
        <w:rPr>
          <w:spacing w:val="-2"/>
        </w:rPr>
        <w:t>施营销方式和业务模式的创新，最终在公司业绩波动不大的情况下，启动了公司业务结构调整的布局、多渠道融合的实施以</w:t>
      </w:r>
      <w:r>
        <w:rPr>
          <w:spacing w:val="-66"/>
        </w:rPr>
        <w:t> </w:t>
      </w:r>
      <w:r>
        <w:rPr>
          <w:spacing w:val="-66"/>
        </w:rPr>
      </w:r>
      <w:r>
        <w:rPr/>
        <w:t>及公司软硬件条件的完善。</w:t>
      </w:r>
    </w:p>
    <w:p>
      <w:pPr>
        <w:pStyle w:val="BodyText"/>
        <w:spacing w:line="316" w:lineRule="auto" w:before="19"/>
        <w:ind w:left="153" w:right="189" w:firstLine="360"/>
        <w:jc w:val="both"/>
      </w:pPr>
      <w:r>
        <w:rPr>
          <w:rFonts w:ascii="宋体" w:hAnsi="宋体" w:cs="宋体" w:eastAsia="宋体" w:hint="default"/>
        </w:rPr>
        <w:t>2014</w:t>
      </w:r>
      <w:r>
        <w:rPr>
          <w:rFonts w:ascii="宋体" w:hAnsi="宋体" w:cs="宋体" w:eastAsia="宋体" w:hint="default"/>
          <w:spacing w:val="7"/>
        </w:rPr>
        <w:t> </w:t>
      </w:r>
      <w:r>
        <w:rPr/>
        <w:t>年公司实现营业收入</w:t>
      </w:r>
      <w:r>
        <w:rPr>
          <w:rFonts w:ascii="宋体" w:hAnsi="宋体" w:cs="宋体" w:eastAsia="宋体" w:hint="default"/>
        </w:rPr>
        <w:t>273,801.14</w:t>
      </w:r>
      <w:r>
        <w:rPr/>
        <w:t>万元，较上年同期下降</w:t>
      </w:r>
      <w:r>
        <w:rPr>
          <w:rFonts w:ascii="宋体" w:hAnsi="宋体" w:cs="宋体" w:eastAsia="宋体" w:hint="default"/>
        </w:rPr>
        <w:t>13.08%</w:t>
      </w:r>
      <w:r>
        <w:rPr/>
        <w:t>，实现归属于母公司股东净利润</w:t>
      </w:r>
      <w:r>
        <w:rPr>
          <w:rFonts w:ascii="宋体" w:hAnsi="宋体" w:cs="宋体" w:eastAsia="宋体" w:hint="default"/>
        </w:rPr>
        <w:t>15,411.14</w:t>
      </w:r>
      <w:r>
        <w:rPr/>
        <w:t>万元</w:t>
      </w:r>
      <w:r>
        <w:rPr>
          <w:rFonts w:ascii="宋体" w:hAnsi="宋体" w:cs="宋体" w:eastAsia="宋体" w:hint="default"/>
        </w:rPr>
        <w:t>,</w:t>
      </w:r>
      <w:r>
        <w:rPr/>
        <w:t>较 上年同期下降</w:t>
      </w:r>
      <w:r>
        <w:rPr>
          <w:rFonts w:ascii="宋体" w:hAnsi="宋体" w:cs="宋体" w:eastAsia="宋体" w:hint="default"/>
        </w:rPr>
        <w:t>16.64%</w:t>
      </w:r>
      <w:r>
        <w:rPr/>
        <w:t>，主要是公司受到整体经济环境和内部业务结构调整的影响</w:t>
      </w:r>
      <w:r>
        <w:rPr>
          <w:rFonts w:ascii="宋体" w:hAnsi="宋体" w:cs="宋体" w:eastAsia="宋体" w:hint="default"/>
        </w:rPr>
        <w:t>,</w:t>
      </w:r>
      <w:r>
        <w:rPr/>
        <w:t>同时公司加大战略性投入，新项目投入还</w:t>
      </w:r>
      <w:r>
        <w:rPr>
          <w:spacing w:val="-83"/>
        </w:rPr>
        <w:t> </w:t>
      </w:r>
      <w:r>
        <w:rPr>
          <w:spacing w:val="-83"/>
        </w:rPr>
      </w:r>
      <w:r>
        <w:rPr/>
        <w:t>处于培育期，对公司收入和利润增长造成一定影响。</w:t>
      </w:r>
    </w:p>
    <w:p>
      <w:pPr>
        <w:spacing w:line="316" w:lineRule="auto" w:before="19"/>
        <w:ind w:left="636" w:right="5193" w:hanging="3"/>
        <w:jc w:val="left"/>
        <w:rPr>
          <w:rFonts w:ascii="宋体" w:hAnsi="宋体" w:cs="宋体" w:eastAsia="宋体" w:hint="default"/>
          <w:sz w:val="18"/>
          <w:szCs w:val="18"/>
        </w:rPr>
      </w:pPr>
      <w:r>
        <w:rPr>
          <w:rFonts w:ascii="宋体" w:hAnsi="宋体" w:cs="宋体" w:eastAsia="宋体" w:hint="default"/>
          <w:sz w:val="18"/>
          <w:szCs w:val="18"/>
        </w:rPr>
        <w:t>报告期内，公司开展的主要经营管理活动情况如下： </w:t>
      </w:r>
      <w:r>
        <w:rPr>
          <w:rFonts w:ascii="宋体" w:hAnsi="宋体" w:cs="宋体" w:eastAsia="宋体" w:hint="default"/>
          <w:b/>
          <w:bCs/>
          <w:sz w:val="18"/>
          <w:szCs w:val="18"/>
        </w:rPr>
        <w:t>1</w:t>
      </w:r>
      <w:r>
        <w:rPr>
          <w:rFonts w:ascii="宋体" w:hAnsi="宋体" w:cs="宋体" w:eastAsia="宋体" w:hint="default"/>
          <w:b/>
          <w:bCs/>
          <w:sz w:val="18"/>
          <w:szCs w:val="18"/>
        </w:rPr>
        <w:t>、创新营销方式</w:t>
      </w:r>
      <w:r>
        <w:rPr>
          <w:rFonts w:ascii="宋体" w:hAnsi="宋体" w:cs="宋体" w:eastAsia="宋体" w:hint="default"/>
          <w:b/>
          <w:bCs/>
          <w:spacing w:val="87"/>
          <w:sz w:val="18"/>
          <w:szCs w:val="18"/>
        </w:rPr>
        <w:t> </w:t>
      </w:r>
      <w:r>
        <w:rPr>
          <w:rFonts w:ascii="宋体" w:hAnsi="宋体" w:cs="宋体" w:eastAsia="宋体" w:hint="default"/>
          <w:b/>
          <w:bCs/>
          <w:sz w:val="18"/>
          <w:szCs w:val="18"/>
        </w:rPr>
        <w:t>线上线下联动增人气</w:t>
      </w:r>
      <w:r>
        <w:rPr>
          <w:rFonts w:ascii="宋体" w:hAnsi="宋体" w:cs="宋体" w:eastAsia="宋体" w:hint="default"/>
          <w:sz w:val="18"/>
          <w:szCs w:val="18"/>
        </w:rPr>
      </w:r>
    </w:p>
    <w:p>
      <w:pPr>
        <w:pStyle w:val="BodyText"/>
        <w:spacing w:line="316" w:lineRule="auto" w:before="19"/>
        <w:ind w:left="153" w:right="192" w:firstLine="360"/>
        <w:jc w:val="both"/>
      </w:pPr>
      <w:r>
        <w:rPr>
          <w:rFonts w:ascii="宋体" w:hAnsi="宋体" w:cs="宋体" w:eastAsia="宋体" w:hint="default"/>
          <w:spacing w:val="-2"/>
        </w:rPr>
        <w:t>2014</w:t>
      </w:r>
      <w:r>
        <w:rPr>
          <w:spacing w:val="-2"/>
        </w:rPr>
        <w:t>年，快乐购充分发挥电视媒体制作的优势，通过原产地直播和新媒体工具的运用来带动线上人气。快乐购全年外场</w:t>
      </w:r>
      <w:r>
        <w:rPr/>
        <w:t> 直播足迹遍布国内</w:t>
      </w:r>
      <w:r>
        <w:rPr>
          <w:rFonts w:ascii="宋体" w:hAnsi="宋体" w:cs="宋体" w:eastAsia="宋体" w:hint="default"/>
        </w:rPr>
        <w:t>10</w:t>
      </w:r>
      <w:r>
        <w:rPr/>
        <w:t>个省以及韩国和泰国，创收业绩</w:t>
      </w:r>
      <w:r>
        <w:rPr>
          <w:rFonts w:ascii="宋体" w:hAnsi="宋体" w:cs="宋体" w:eastAsia="宋体" w:hint="default"/>
        </w:rPr>
        <w:t>1.08</w:t>
      </w:r>
      <w:r>
        <w:rPr/>
        <w:t>亿，间接拉动业绩</w:t>
      </w:r>
      <w:r>
        <w:rPr>
          <w:rFonts w:ascii="宋体" w:hAnsi="宋体" w:cs="宋体" w:eastAsia="宋体" w:hint="default"/>
        </w:rPr>
        <w:t>3</w:t>
      </w:r>
      <w:r>
        <w:rPr/>
        <w:t>亿元以上。</w:t>
      </w:r>
    </w:p>
    <w:p>
      <w:pPr>
        <w:pStyle w:val="BodyText"/>
        <w:spacing w:line="316" w:lineRule="auto" w:before="19"/>
        <w:ind w:left="153" w:right="192" w:firstLine="360"/>
        <w:jc w:val="both"/>
      </w:pPr>
      <w:r>
        <w:rPr>
          <w:spacing w:val="-2"/>
        </w:rPr>
        <w:t>快乐购“世界精选”到达韩国，当天销售韩国商品惠人原汁机超</w:t>
      </w:r>
      <w:r>
        <w:rPr>
          <w:rFonts w:ascii="宋体" w:hAnsi="宋体" w:cs="宋体" w:eastAsia="宋体" w:hint="default"/>
          <w:spacing w:val="-2"/>
        </w:rPr>
        <w:t>5000</w:t>
      </w:r>
      <w:r>
        <w:rPr>
          <w:spacing w:val="-2"/>
        </w:rPr>
        <w:t>台，创业界销售记录；同时快乐购携手韩国大韩贸</w:t>
      </w:r>
      <w:r>
        <w:rPr/>
        <w:t> 易中小企业协会在韩国首尔京畿道</w:t>
      </w:r>
      <w:r>
        <w:rPr>
          <w:rFonts w:ascii="宋体" w:hAnsi="宋体" w:cs="宋体" w:eastAsia="宋体" w:hint="default"/>
        </w:rPr>
        <w:t>KINTEX</w:t>
      </w:r>
      <w:r>
        <w:rPr/>
        <w:t>会展中心举行专场招商会，与爱茉莉、</w:t>
      </w:r>
      <w:r>
        <w:rPr>
          <w:rFonts w:ascii="宋体" w:hAnsi="宋体" w:cs="宋体" w:eastAsia="宋体" w:hint="default"/>
        </w:rPr>
        <w:t>HUROM</w:t>
      </w:r>
      <w:r>
        <w:rPr/>
        <w:t>签署了</w:t>
      </w:r>
      <w:r>
        <w:rPr>
          <w:rFonts w:ascii="宋体" w:hAnsi="宋体" w:cs="宋体" w:eastAsia="宋体" w:hint="default"/>
        </w:rPr>
        <w:t>2015</w:t>
      </w:r>
      <w:r>
        <w:rPr/>
        <w:t>年战略合作协议，这是快</w:t>
      </w:r>
      <w:r>
        <w:rPr>
          <w:spacing w:val="-85"/>
        </w:rPr>
        <w:t> </w:t>
      </w:r>
      <w:r>
        <w:rPr>
          <w:spacing w:val="-85"/>
        </w:rPr>
      </w:r>
      <w:r>
        <w:rPr/>
        <w:t>乐购首次走出国门进行招商，对丰富商品供给具有重大意义。</w:t>
      </w:r>
    </w:p>
    <w:p>
      <w:pPr>
        <w:pStyle w:val="BodyText"/>
        <w:spacing w:line="316" w:lineRule="auto" w:before="19"/>
        <w:ind w:left="154" w:right="191" w:firstLine="360"/>
        <w:jc w:val="both"/>
      </w:pPr>
      <w:r>
        <w:rPr>
          <w:spacing w:val="-2"/>
        </w:rPr>
        <w:t>快乐购不断深入到线下与区域电视台合作，与河北经视《我为购物狂》栏目建立了长期的合作关系，栏目中植入快乐购</w:t>
      </w:r>
      <w:r>
        <w:rPr/>
        <w:t> 商品的销售，</w:t>
      </w:r>
      <w:r>
        <w:rPr>
          <w:rFonts w:ascii="宋体" w:hAnsi="宋体" w:cs="宋体" w:eastAsia="宋体" w:hint="default"/>
        </w:rPr>
        <w:t>40</w:t>
      </w:r>
      <w:r>
        <w:rPr/>
        <w:t>期节目订购金额达到</w:t>
      </w:r>
      <w:r>
        <w:rPr>
          <w:rFonts w:ascii="宋体" w:hAnsi="宋体" w:cs="宋体" w:eastAsia="宋体" w:hint="default"/>
        </w:rPr>
        <w:t>2000</w:t>
      </w:r>
      <w:r>
        <w:rPr/>
        <w:t>多万元；同时和栏目组在石家庄发起了地面团购会，探索电视购物</w:t>
      </w:r>
      <w:r>
        <w:rPr>
          <w:rFonts w:ascii="宋体" w:hAnsi="宋体" w:cs="宋体" w:eastAsia="宋体" w:hint="default"/>
        </w:rPr>
        <w:t>O2O</w:t>
      </w:r>
      <w:r>
        <w:rPr/>
        <w:t>的新模式。</w:t>
      </w:r>
    </w:p>
    <w:p>
      <w:pPr>
        <w:spacing w:line="316" w:lineRule="auto" w:before="139"/>
        <w:ind w:left="513" w:right="92" w:firstLine="12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、布局未来消费主力 移动网络成新亮点</w:t>
      </w:r>
      <w:r>
        <w:rPr>
          <w:rFonts w:ascii="宋体" w:hAnsi="宋体" w:cs="宋体" w:eastAsia="宋体" w:hint="default"/>
          <w:b/>
          <w:bCs/>
          <w:w w:val="99"/>
          <w:sz w:val="18"/>
          <w:szCs w:val="18"/>
        </w:rPr>
        <w:t> </w:t>
      </w:r>
      <w:r>
        <w:rPr>
          <w:rFonts w:ascii="宋体" w:hAnsi="宋体" w:cs="宋体" w:eastAsia="宋体" w:hint="default"/>
          <w:spacing w:val="-2"/>
          <w:sz w:val="18"/>
          <w:szCs w:val="18"/>
        </w:rPr>
        <w:t>快乐购布局未来的消费主力人群，围绕电视、电脑和手机，凭借“</w:t>
      </w:r>
      <w:r>
        <w:rPr>
          <w:rFonts w:ascii="宋体" w:hAnsi="宋体" w:cs="宋体" w:eastAsia="宋体" w:hint="default"/>
          <w:spacing w:val="-2"/>
          <w:sz w:val="18"/>
          <w:szCs w:val="18"/>
        </w:rPr>
        <w:t>APP+WAP+</w:t>
      </w:r>
      <w:r>
        <w:rPr>
          <w:rFonts w:ascii="宋体" w:hAnsi="宋体" w:cs="宋体" w:eastAsia="宋体" w:hint="default"/>
          <w:spacing w:val="-2"/>
          <w:sz w:val="18"/>
          <w:szCs w:val="18"/>
        </w:rPr>
        <w:t>微信公众号”的移动互联网产品体系，实现</w:t>
      </w:r>
    </w:p>
    <w:p>
      <w:pPr>
        <w:pStyle w:val="BodyText"/>
        <w:spacing w:line="316" w:lineRule="auto" w:before="19"/>
        <w:ind w:left="514" w:right="92" w:hanging="360"/>
        <w:jc w:val="left"/>
      </w:pPr>
      <w:r>
        <w:rPr/>
        <w:t>三屏会员共享互联，为客户和商户提供便利的交易手段、便捷的交互方式和多元的资讯分享平台。 </w:t>
      </w:r>
      <w:r>
        <w:rPr>
          <w:rFonts w:ascii="宋体" w:hAnsi="宋体" w:cs="宋体" w:eastAsia="宋体" w:hint="default"/>
        </w:rPr>
        <w:t>2014</w:t>
      </w:r>
      <w:r>
        <w:rPr/>
        <w:t>年快乐购微信产品“狗小二”被腾讯评为“年度十大最实用微信公众号”。快乐购运用移动互联网工具促进销售，</w:t>
      </w:r>
    </w:p>
    <w:p>
      <w:pPr>
        <w:pStyle w:val="BodyText"/>
        <w:spacing w:line="316" w:lineRule="auto" w:before="19"/>
        <w:ind w:left="154" w:right="190"/>
        <w:jc w:val="both"/>
      </w:pPr>
      <w:r>
        <w:rPr/>
        <w:t>推出了“一块抢” 、“用力榨干</w:t>
      </w:r>
      <w:r>
        <w:rPr>
          <w:rFonts w:ascii="宋体" w:hAnsi="宋体" w:cs="宋体" w:eastAsia="宋体" w:hint="default"/>
        </w:rPr>
        <w:t>TA</w:t>
      </w:r>
      <w:r>
        <w:rPr/>
        <w:t>”、“抢钱话”</w:t>
      </w:r>
      <w:r>
        <w:rPr>
          <w:spacing w:val="5"/>
        </w:rPr>
        <w:t> </w:t>
      </w:r>
      <w:r>
        <w:rPr/>
        <w:t>等游戏和一系列轻</w:t>
      </w:r>
      <w:r>
        <w:rPr>
          <w:rFonts w:ascii="宋体" w:hAnsi="宋体" w:cs="宋体" w:eastAsia="宋体" w:hint="default"/>
        </w:rPr>
        <w:t>APP</w:t>
      </w:r>
      <w:r>
        <w:rPr/>
        <w:t>销售推广应用。通过用户高频次的互动，带来了 销售的增长，移动端业绩同比增长</w:t>
      </w:r>
      <w:r>
        <w:rPr>
          <w:rFonts w:ascii="宋体" w:hAnsi="宋体" w:cs="宋体" w:eastAsia="宋体" w:hint="default"/>
        </w:rPr>
        <w:t>129%</w:t>
      </w:r>
      <w:r>
        <w:rPr/>
        <w:t>。</w:t>
      </w:r>
    </w:p>
    <w:p>
      <w:pPr>
        <w:pStyle w:val="BodyText"/>
        <w:spacing w:line="316" w:lineRule="auto" w:before="19"/>
        <w:ind w:left="153" w:right="190" w:firstLine="360"/>
        <w:jc w:val="both"/>
      </w:pPr>
      <w:r>
        <w:rPr/>
        <w:t>为布局未来移动互联网战略，</w:t>
      </w:r>
      <w:r>
        <w:rPr>
          <w:rFonts w:ascii="宋体" w:hAnsi="宋体" w:cs="宋体" w:eastAsia="宋体" w:hint="default"/>
        </w:rPr>
        <w:t>2014</w:t>
      </w:r>
      <w:r>
        <w:rPr/>
        <w:t>年</w:t>
      </w:r>
      <w:r>
        <w:rPr>
          <w:rFonts w:ascii="宋体" w:hAnsi="宋体" w:cs="宋体" w:eastAsia="宋体" w:hint="default"/>
        </w:rPr>
        <w:t>10</w:t>
      </w:r>
      <w:r>
        <w:rPr/>
        <w:t>月北京快乐的狗全面转型，迈向</w:t>
      </w:r>
      <w:r>
        <w:rPr>
          <w:rFonts w:ascii="宋体" w:hAnsi="宋体" w:cs="宋体" w:eastAsia="宋体" w:hint="default"/>
        </w:rPr>
        <w:t>OTT</w:t>
      </w:r>
      <w:r>
        <w:rPr/>
        <w:t>电商、新媒体互动营销领域。北京快乐的狗 </w:t>
      </w:r>
      <w:r>
        <w:rPr>
          <w:spacing w:val="-2"/>
        </w:rPr>
        <w:t>目前与芒果</w:t>
      </w:r>
      <w:r>
        <w:rPr>
          <w:rFonts w:ascii="宋体" w:hAnsi="宋体" w:cs="宋体" w:eastAsia="宋体" w:hint="default"/>
          <w:spacing w:val="-2"/>
        </w:rPr>
        <w:t>TV</w:t>
      </w:r>
      <w:r>
        <w:rPr>
          <w:spacing w:val="-2"/>
        </w:rPr>
        <w:t>建立了战略合作关系，目标建立基于</w:t>
      </w:r>
      <w:r>
        <w:rPr>
          <w:rFonts w:ascii="宋体" w:hAnsi="宋体" w:cs="宋体" w:eastAsia="宋体" w:hint="default"/>
          <w:spacing w:val="-2"/>
        </w:rPr>
        <w:t>OTT</w:t>
      </w:r>
      <w:r>
        <w:rPr>
          <w:spacing w:val="-2"/>
        </w:rPr>
        <w:t>的电子商务应用平台。在芒果</w:t>
      </w:r>
      <w:r>
        <w:rPr>
          <w:rFonts w:ascii="宋体" w:hAnsi="宋体" w:cs="宋体" w:eastAsia="宋体" w:hint="default"/>
          <w:spacing w:val="-2"/>
        </w:rPr>
        <w:t>TV</w:t>
      </w:r>
      <w:r>
        <w:rPr>
          <w:spacing w:val="-2"/>
        </w:rPr>
        <w:t>全平台进行了首页推广“</w:t>
      </w:r>
      <w:r>
        <w:rPr>
          <w:rFonts w:ascii="宋体" w:hAnsi="宋体" w:cs="宋体" w:eastAsia="宋体" w:hint="default"/>
          <w:spacing w:val="-2"/>
        </w:rPr>
        <w:t>1</w:t>
      </w:r>
      <w:r>
        <w:rPr>
          <w:spacing w:val="-2"/>
        </w:rPr>
        <w:t>元秒拍特斯</w:t>
      </w:r>
      <w:r>
        <w:rPr>
          <w:spacing w:val="-60"/>
        </w:rPr>
        <w:t> </w:t>
      </w:r>
      <w:r>
        <w:rPr/>
        <w:t>拉”活动，形成了上千万的微博话题浏览；“芒果铺子”已于</w:t>
      </w:r>
      <w:r>
        <w:rPr>
          <w:rFonts w:ascii="宋体" w:hAnsi="宋体" w:cs="宋体" w:eastAsia="宋体" w:hint="default"/>
        </w:rPr>
        <w:t>2015</w:t>
      </w:r>
      <w:r>
        <w:rPr/>
        <w:t>年</w:t>
      </w:r>
      <w:r>
        <w:rPr>
          <w:rFonts w:ascii="宋体" w:hAnsi="宋体" w:cs="宋体" w:eastAsia="宋体" w:hint="default"/>
        </w:rPr>
        <w:t>1</w:t>
      </w:r>
      <w:r>
        <w:rPr/>
        <w:t>月上线试运营。</w:t>
      </w:r>
    </w:p>
    <w:p>
      <w:pPr>
        <w:spacing w:line="240" w:lineRule="auto" w:before="5"/>
        <w:rPr>
          <w:rFonts w:ascii="宋体" w:hAnsi="宋体" w:cs="宋体" w:eastAsia="宋体" w:hint="default"/>
          <w:sz w:val="13"/>
          <w:szCs w:val="13"/>
        </w:rPr>
      </w:pPr>
    </w:p>
    <w:p>
      <w:pPr>
        <w:spacing w:line="316" w:lineRule="auto" w:before="0"/>
        <w:ind w:left="514" w:right="92" w:firstLine="111"/>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、打造社交媒体新产业链</w:t>
      </w:r>
      <w:r>
        <w:rPr>
          <w:rFonts w:ascii="宋体" w:hAnsi="宋体" w:cs="宋体" w:eastAsia="宋体" w:hint="default"/>
          <w:b/>
          <w:bCs/>
          <w:spacing w:val="89"/>
          <w:sz w:val="18"/>
          <w:szCs w:val="18"/>
        </w:rPr>
        <w:t> </w:t>
      </w:r>
      <w:r>
        <w:rPr>
          <w:rFonts w:ascii="宋体" w:hAnsi="宋体" w:cs="宋体" w:eastAsia="宋体" w:hint="default"/>
          <w:b/>
          <w:bCs/>
          <w:sz w:val="18"/>
          <w:szCs w:val="18"/>
        </w:rPr>
        <w:t>创新流量变现</w:t>
      </w:r>
      <w:r>
        <w:rPr>
          <w:rFonts w:ascii="宋体" w:hAnsi="宋体" w:cs="宋体" w:eastAsia="宋体" w:hint="default"/>
          <w:b/>
          <w:bCs/>
          <w:w w:val="99"/>
          <w:sz w:val="18"/>
          <w:szCs w:val="18"/>
        </w:rPr>
        <w:t> </w:t>
      </w:r>
      <w:r>
        <w:rPr>
          <w:rFonts w:ascii="宋体" w:hAnsi="宋体" w:cs="宋体" w:eastAsia="宋体" w:hint="default"/>
          <w:spacing w:val="-2"/>
          <w:sz w:val="18"/>
          <w:szCs w:val="18"/>
        </w:rPr>
        <w:t>上海快乐讯制作“我是大美人”、“辣妈学院”等时尚类综艺节目，通过在节目中展示商品信息将客户导流至网站实现</w:t>
      </w:r>
    </w:p>
    <w:p>
      <w:pPr>
        <w:pStyle w:val="BodyText"/>
        <w:spacing w:line="316" w:lineRule="auto" w:before="19"/>
        <w:ind w:left="154" w:right="191"/>
        <w:jc w:val="both"/>
      </w:pPr>
      <w:r>
        <w:rPr>
          <w:spacing w:val="-2"/>
        </w:rPr>
        <w:t>商品销售收入，打造社交媒体新产业链，通过内容资源在电商渠道整合，建立了专属电子商务平台，与品牌商共同开发类自</w:t>
      </w:r>
      <w:r>
        <w:rPr>
          <w:spacing w:val="-66"/>
        </w:rPr>
        <w:t> </w:t>
      </w:r>
      <w:r>
        <w:rPr>
          <w:spacing w:val="-66"/>
        </w:rPr>
      </w:r>
      <w:r>
        <w:rPr>
          <w:spacing w:val="-2"/>
        </w:rPr>
        <w:t>营商品，重视与粉丝的互动交流，全年电商发展迅速。随着电视节目向微信引流，微信公众号粉丝增加，微信商城业务增长</w:t>
      </w:r>
      <w:r>
        <w:rPr>
          <w:spacing w:val="-66"/>
        </w:rPr>
        <w:t> </w:t>
      </w:r>
      <w:r>
        <w:rPr>
          <w:spacing w:val="-66"/>
        </w:rPr>
      </w:r>
      <w:r>
        <w:rPr/>
        <w:t>快速。截至</w:t>
      </w:r>
      <w:r>
        <w:rPr>
          <w:rFonts w:ascii="宋体" w:hAnsi="宋体" w:cs="宋体" w:eastAsia="宋体" w:hint="default"/>
        </w:rPr>
        <w:t>12</w:t>
      </w:r>
      <w:r>
        <w:rPr/>
        <w:t>月，《辣妈学院》、《我是大美人》微信累计粉丝</w:t>
      </w:r>
      <w:r>
        <w:rPr>
          <w:rFonts w:ascii="宋体" w:hAnsi="宋体" w:cs="宋体" w:eastAsia="宋体" w:hint="default"/>
        </w:rPr>
        <w:t>91</w:t>
      </w:r>
      <w:r>
        <w:rPr/>
        <w:t>万，微博累计粉丝</w:t>
      </w:r>
      <w:r>
        <w:rPr>
          <w:rFonts w:ascii="宋体" w:hAnsi="宋体" w:cs="宋体" w:eastAsia="宋体" w:hint="default"/>
        </w:rPr>
        <w:t>78</w:t>
      </w:r>
      <w:r>
        <w:rPr/>
        <w:t>万。</w:t>
      </w:r>
    </w:p>
    <w:p>
      <w:pPr>
        <w:spacing w:line="240" w:lineRule="auto" w:before="5"/>
        <w:rPr>
          <w:rFonts w:ascii="宋体" w:hAnsi="宋体" w:cs="宋体" w:eastAsia="宋体" w:hint="default"/>
          <w:sz w:val="13"/>
          <w:szCs w:val="13"/>
        </w:rPr>
      </w:pPr>
    </w:p>
    <w:p>
      <w:pPr>
        <w:pStyle w:val="Heading4"/>
        <w:spacing w:line="240" w:lineRule="auto" w:before="0"/>
        <w:ind w:left="625" w:right="5193"/>
        <w:jc w:val="left"/>
        <w:rPr>
          <w:b w:val="0"/>
          <w:bCs w:val="0"/>
        </w:rPr>
      </w:pPr>
      <w:r>
        <w:rPr>
          <w:rFonts w:ascii="宋体" w:hAnsi="宋体" w:cs="宋体" w:eastAsia="宋体" w:hint="default"/>
        </w:rPr>
        <w:t>4</w:t>
      </w:r>
      <w:r>
        <w:rPr/>
        <w:t>、持续推进</w:t>
      </w:r>
      <w:r>
        <w:rPr>
          <w:rFonts w:ascii="宋体" w:hAnsi="宋体" w:cs="宋体" w:eastAsia="宋体" w:hint="default"/>
        </w:rPr>
        <w:t>IT</w:t>
      </w:r>
      <w:r>
        <w:rPr/>
        <w:t>系统、供应链建设，效率提升明显</w:t>
      </w:r>
      <w:r>
        <w:rPr>
          <w:b w:val="0"/>
          <w:bCs w:val="0"/>
        </w:rPr>
      </w:r>
    </w:p>
    <w:p>
      <w:pPr>
        <w:pStyle w:val="BodyText"/>
        <w:spacing w:line="316" w:lineRule="auto" w:before="76"/>
        <w:ind w:left="153" w:right="192" w:firstLine="360"/>
        <w:jc w:val="both"/>
      </w:pPr>
      <w:r>
        <w:rPr>
          <w:rFonts w:ascii="宋体" w:hAnsi="宋体" w:cs="宋体" w:eastAsia="宋体" w:hint="default"/>
          <w:spacing w:val="-3"/>
        </w:rPr>
        <w:t>2014</w:t>
      </w:r>
      <w:r>
        <w:rPr>
          <w:spacing w:val="-3"/>
        </w:rPr>
        <w:t>年，快乐购投入了将近亿元资金对供应链进行升级建设，</w:t>
      </w:r>
      <w:r>
        <w:rPr>
          <w:rFonts w:ascii="宋体" w:hAnsi="宋体" w:cs="宋体" w:eastAsia="宋体" w:hint="default"/>
          <w:spacing w:val="-3"/>
        </w:rPr>
        <w:t>CRM</w:t>
      </w:r>
      <w:r>
        <w:rPr>
          <w:spacing w:val="-3"/>
        </w:rPr>
        <w:t>和</w:t>
      </w:r>
      <w:r>
        <w:rPr>
          <w:rFonts w:ascii="宋体" w:hAnsi="宋体" w:cs="宋体" w:eastAsia="宋体" w:hint="default"/>
          <w:spacing w:val="-3"/>
        </w:rPr>
        <w:t>ERP</w:t>
      </w:r>
      <w:r>
        <w:rPr>
          <w:spacing w:val="-3"/>
        </w:rPr>
        <w:t>系统经过将近一年的建设，于</w:t>
      </w:r>
      <w:r>
        <w:rPr>
          <w:rFonts w:ascii="宋体" w:hAnsi="宋体" w:cs="宋体" w:eastAsia="宋体" w:hint="default"/>
          <w:spacing w:val="-3"/>
        </w:rPr>
        <w:t>12</w:t>
      </w:r>
      <w:r>
        <w:rPr>
          <w:spacing w:val="-3"/>
        </w:rPr>
        <w:t>月</w:t>
      </w:r>
      <w:r>
        <w:rPr>
          <w:rFonts w:ascii="宋体" w:hAnsi="宋体" w:cs="宋体" w:eastAsia="宋体" w:hint="default"/>
          <w:spacing w:val="-3"/>
        </w:rPr>
        <w:t>1</w:t>
      </w:r>
      <w:r>
        <w:rPr>
          <w:spacing w:val="-3"/>
        </w:rPr>
        <w:t>号成功上线。</w:t>
      </w:r>
      <w:r>
        <w:rPr/>
        <w:t> </w:t>
      </w:r>
      <w:r>
        <w:rPr>
          <w:rFonts w:ascii="宋体" w:hAnsi="宋体" w:cs="宋体" w:eastAsia="宋体" w:hint="default"/>
          <w:spacing w:val="-2"/>
        </w:rPr>
        <w:t>CRM</w:t>
      </w:r>
      <w:r>
        <w:rPr>
          <w:spacing w:val="-2"/>
        </w:rPr>
        <w:t>系统能从拉升销售、提高顾客体验以及提升座席效率和质量三个方面，实现运营能力的整体提升；</w:t>
      </w:r>
      <w:r>
        <w:rPr>
          <w:rFonts w:ascii="宋体" w:hAnsi="宋体" w:cs="宋体" w:eastAsia="宋体" w:hint="default"/>
          <w:spacing w:val="-2"/>
        </w:rPr>
        <w:t>ERP</w:t>
      </w:r>
      <w:r>
        <w:rPr>
          <w:spacing w:val="-2"/>
        </w:rPr>
        <w:t>将全面支撑来自互</w:t>
      </w:r>
      <w:r>
        <w:rPr>
          <w:spacing w:val="-59"/>
        </w:rPr>
        <w:t> </w:t>
      </w:r>
      <w:r>
        <w:rPr>
          <w:spacing w:val="-2"/>
        </w:rPr>
        <w:t>联网</w:t>
      </w:r>
      <w:r>
        <w:rPr>
          <w:rFonts w:ascii="宋体" w:hAnsi="宋体" w:cs="宋体" w:eastAsia="宋体" w:hint="default"/>
          <w:spacing w:val="-2"/>
        </w:rPr>
        <w:t>+</w:t>
      </w:r>
      <w:r>
        <w:rPr>
          <w:spacing w:val="-2"/>
        </w:rPr>
        <w:t>移动互联网</w:t>
      </w:r>
      <w:r>
        <w:rPr>
          <w:rFonts w:ascii="宋体" w:hAnsi="宋体" w:cs="宋体" w:eastAsia="宋体" w:hint="default"/>
          <w:spacing w:val="-2"/>
        </w:rPr>
        <w:t>+TV</w:t>
      </w:r>
      <w:r>
        <w:rPr>
          <w:spacing w:val="-2"/>
        </w:rPr>
        <w:t>的多种销售、采购和物流模式，全面支持三屏融合的电商运行模式，这对于快乐购的基础能力是质的提</w:t>
      </w:r>
    </w:p>
    <w:p>
      <w:pPr>
        <w:spacing w:after="0" w:line="316" w:lineRule="auto"/>
        <w:jc w:val="both"/>
        <w:sectPr>
          <w:pgSz w:w="11910" w:h="16840"/>
          <w:pgMar w:header="851" w:footer="979" w:top="1320" w:bottom="1160" w:left="980" w:right="940"/>
        </w:sectPr>
      </w:pPr>
    </w:p>
    <w:p>
      <w:pPr>
        <w:pStyle w:val="BodyText"/>
        <w:spacing w:line="316" w:lineRule="auto" w:before="114"/>
        <w:ind w:left="514" w:right="92" w:hanging="360"/>
        <w:jc w:val="left"/>
        <w:rPr>
          <w:rFonts w:ascii="宋体" w:hAnsi="宋体" w:cs="宋体" w:eastAsia="宋体" w:hint="default"/>
        </w:rPr>
      </w:pPr>
      <w:r>
        <w:rPr/>
        <w:t>升，为未来电商业务的发展打下了坚实基础。 </w:t>
      </w:r>
      <w:r>
        <w:rPr>
          <w:spacing w:val="-2"/>
        </w:rPr>
        <w:t>为满足未来业务快速发展的需要，快乐购启动了长沙仓的自建项目，</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月已投入到使用。新的仓库规划面积</w:t>
      </w:r>
      <w:r>
        <w:rPr>
          <w:rFonts w:ascii="宋体" w:hAnsi="宋体" w:cs="宋体" w:eastAsia="宋体" w:hint="default"/>
          <w:spacing w:val="-2"/>
        </w:rPr>
        <w:t>22713</w:t>
      </w:r>
    </w:p>
    <w:p>
      <w:pPr>
        <w:pStyle w:val="BodyText"/>
        <w:spacing w:line="316" w:lineRule="auto" w:before="19"/>
        <w:ind w:left="513" w:right="1173" w:hanging="360"/>
        <w:jc w:val="left"/>
      </w:pPr>
      <w:r>
        <w:rPr/>
        <w:t>㎡，针对特殊商品也将实现冷藏仓和恒温仓功能，这些都将极大提升供应链效率。 </w:t>
      </w:r>
      <w:r>
        <w:rPr>
          <w:rFonts w:ascii="宋体" w:hAnsi="宋体" w:cs="宋体" w:eastAsia="宋体" w:hint="default"/>
        </w:rPr>
        <w:t>2014</w:t>
      </w:r>
      <w:r>
        <w:rPr/>
        <w:t>年快乐购获得“中国电子商务最具发展潜力行业门户”、“全国质量和服务诚信优秀企业”等荣誉。</w:t>
      </w:r>
    </w:p>
    <w:p>
      <w:pPr>
        <w:spacing w:line="240" w:lineRule="auto" w:before="7"/>
        <w:rPr>
          <w:rFonts w:ascii="宋体" w:hAnsi="宋体" w:cs="宋体" w:eastAsia="宋体" w:hint="default"/>
          <w:sz w:val="22"/>
          <w:szCs w:val="22"/>
        </w:rPr>
      </w:pPr>
    </w:p>
    <w:p>
      <w:pPr>
        <w:pStyle w:val="Heading3"/>
        <w:spacing w:line="240" w:lineRule="auto"/>
        <w:ind w:right="5193"/>
        <w:jc w:val="left"/>
        <w:rPr>
          <w:b w:val="0"/>
          <w:bCs w:val="0"/>
        </w:rPr>
      </w:pPr>
      <w:bookmarkStart w:name="2、报告期内主要经营情况" w:id="18"/>
      <w:bookmarkEnd w:id="18"/>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5193"/>
        <w:jc w:val="left"/>
        <w:rPr>
          <w:b w:val="0"/>
          <w:bCs w:val="0"/>
        </w:rPr>
      </w:pPr>
      <w:bookmarkStart w:name="（1）主营业务分析" w:id="19"/>
      <w:bookmarkEnd w:id="19"/>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5193"/>
        <w:jc w:val="left"/>
      </w:pPr>
      <w:r>
        <w:rPr>
          <w:rFonts w:ascii="Times New Roman" w:hAnsi="Times New Roman" w:cs="Times New Roman" w:eastAsia="Times New Roman" w:hint="default"/>
        </w:rPr>
        <w:t>1</w:t>
      </w:r>
      <w:r>
        <w:rPr/>
        <w:t>）概述</w:t>
      </w:r>
    </w:p>
    <w:p>
      <w:pPr>
        <w:pStyle w:val="BodyText"/>
        <w:spacing w:line="300" w:lineRule="auto" w:before="101"/>
        <w:ind w:left="153" w:right="92" w:firstLine="480"/>
        <w:jc w:val="left"/>
      </w:pPr>
      <w:r>
        <w:rPr>
          <w:rFonts w:ascii="Times New Roman" w:hAnsi="Times New Roman" w:cs="Times New Roman" w:eastAsia="Times New Roman" w:hint="default"/>
          <w:spacing w:val="-1"/>
        </w:rPr>
        <w:t>2014</w:t>
      </w:r>
      <w:r>
        <w:rPr>
          <w:spacing w:val="-1"/>
        </w:rPr>
        <w:t>年度公司营业收入为</w:t>
      </w:r>
      <w:r>
        <w:rPr>
          <w:rFonts w:ascii="Times New Roman" w:hAnsi="Times New Roman" w:cs="Times New Roman" w:eastAsia="Times New Roman" w:hint="default"/>
          <w:spacing w:val="-1"/>
        </w:rPr>
        <w:t>2,738,011,404.04</w:t>
      </w:r>
      <w:r>
        <w:rPr>
          <w:spacing w:val="-1"/>
        </w:rPr>
        <w:t>元，较上年同期下降</w:t>
      </w:r>
      <w:r>
        <w:rPr>
          <w:rFonts w:ascii="Times New Roman" w:hAnsi="Times New Roman" w:cs="Times New Roman" w:eastAsia="Times New Roman" w:hint="default"/>
          <w:spacing w:val="-1"/>
        </w:rPr>
        <w:t>13.08</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2"/>
        </w:rPr>
        <w:t>%</w:t>
      </w:r>
      <w:r>
        <w:rPr>
          <w:spacing w:val="-2"/>
        </w:rPr>
        <w:t>，营业成本为</w:t>
      </w:r>
      <w:r>
        <w:rPr>
          <w:rFonts w:ascii="Times New Roman" w:hAnsi="Times New Roman" w:cs="Times New Roman" w:eastAsia="Times New Roman" w:hint="default"/>
          <w:spacing w:val="-2"/>
        </w:rPr>
        <w:t>1,974,939,546.71</w:t>
      </w:r>
      <w:r>
        <w:rPr>
          <w:spacing w:val="-2"/>
        </w:rPr>
        <w:t>元，较上年同期下</w:t>
      </w:r>
      <w:r>
        <w:rPr/>
        <w:t> 降</w:t>
      </w:r>
      <w:r>
        <w:rPr>
          <w:rFonts w:ascii="Times New Roman" w:hAnsi="Times New Roman" w:cs="Times New Roman" w:eastAsia="Times New Roman" w:hint="default"/>
        </w:rPr>
        <w:t>15.01%</w:t>
      </w:r>
      <w:r>
        <w:rPr/>
        <w:t>，期间费用为</w:t>
      </w:r>
      <w:r>
        <w:rPr>
          <w:rFonts w:ascii="Times New Roman" w:hAnsi="Times New Roman" w:cs="Times New Roman" w:eastAsia="Times New Roman" w:hint="default"/>
        </w:rPr>
        <w:t>617,299,195.75</w:t>
      </w:r>
      <w:r>
        <w:rPr/>
        <w:t>元，较上年同期下降</w:t>
      </w:r>
      <w:r>
        <w:rPr>
          <w:rFonts w:ascii="Times New Roman" w:hAnsi="Times New Roman" w:cs="Times New Roman" w:eastAsia="Times New Roman" w:hint="default"/>
        </w:rPr>
        <w:t>3.89%</w:t>
      </w:r>
      <w:r>
        <w:rPr/>
        <w:t>，研发费用为</w:t>
      </w:r>
      <w:r>
        <w:rPr>
          <w:rFonts w:ascii="Times New Roman" w:hAnsi="Times New Roman" w:cs="Times New Roman" w:eastAsia="Times New Roman" w:hint="default"/>
        </w:rPr>
        <w:t>53,952,076.00</w:t>
      </w:r>
      <w:r>
        <w:rPr/>
        <w:t>元，比上一年度上涨</w:t>
      </w:r>
      <w:r>
        <w:rPr>
          <w:rFonts w:ascii="Times New Roman" w:hAnsi="Times New Roman" w:cs="Times New Roman" w:eastAsia="Times New Roman" w:hint="default"/>
        </w:rPr>
        <w:t>12.88%</w:t>
      </w:r>
      <w:r>
        <w:rPr>
          <w:rFonts w:ascii="Times New Roman" w:hAnsi="Times New Roman" w:cs="Times New Roman" w:eastAsia="Times New Roman" w:hint="default"/>
          <w:spacing w:val="22"/>
        </w:rPr>
        <w:t> </w:t>
      </w:r>
      <w:r>
        <w:rPr/>
        <w:t>， 经营活动产生的现金流量净额为</w:t>
      </w:r>
      <w:r>
        <w:rPr>
          <w:rFonts w:ascii="Times New Roman" w:hAnsi="Times New Roman" w:cs="Times New Roman" w:eastAsia="Times New Roman" w:hint="default"/>
        </w:rPr>
        <w:t>106,808,896.38</w:t>
      </w:r>
      <w:r>
        <w:rPr/>
        <w:t>元，比上一年度减少</w:t>
      </w:r>
      <w:r>
        <w:rPr>
          <w:rFonts w:ascii="Times New Roman" w:hAnsi="Times New Roman" w:cs="Times New Roman" w:eastAsia="Times New Roman" w:hint="default"/>
        </w:rPr>
        <w:t>56.43%</w:t>
      </w:r>
      <w:r>
        <w:rPr/>
        <w:t>。</w:t>
      </w:r>
    </w:p>
    <w:p>
      <w:pPr>
        <w:spacing w:line="240" w:lineRule="auto" w:before="0"/>
        <w:rPr>
          <w:rFonts w:ascii="宋体" w:hAnsi="宋体" w:cs="宋体" w:eastAsia="宋体" w:hint="default"/>
          <w:sz w:val="18"/>
          <w:szCs w:val="18"/>
        </w:rPr>
      </w:pPr>
    </w:p>
    <w:p>
      <w:pPr>
        <w:pStyle w:val="BodyText"/>
        <w:spacing w:line="240" w:lineRule="auto" w:before="130"/>
        <w:ind w:left="153" w:right="5193"/>
        <w:jc w:val="left"/>
      </w:pPr>
      <w:r>
        <w:rPr>
          <w:rFonts w:ascii="Times New Roman" w:hAnsi="Times New Roman" w:cs="Times New Roman" w:eastAsia="Times New Roman" w:hint="default"/>
        </w:rPr>
        <w:t>2</w:t>
      </w:r>
      <w:r>
        <w:rPr/>
        <w:t>）收入</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07" w:right="0"/>
              <w:jc w:val="left"/>
              <w:rPr>
                <w:rFonts w:ascii="Times New Roman" w:hAnsi="Times New Roman" w:cs="Times New Roman" w:eastAsia="Times New Roman" w:hint="default"/>
                <w:sz w:val="18"/>
                <w:szCs w:val="18"/>
              </w:rPr>
            </w:pPr>
            <w:r>
              <w:rPr>
                <w:rFonts w:ascii="Times New Roman"/>
                <w:sz w:val="18"/>
              </w:rPr>
              <w:t>2,738,011,404.04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3,149,875,201.33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r>
    </w:tbl>
    <w:p>
      <w:pPr>
        <w:pStyle w:val="BodyText"/>
        <w:spacing w:line="357" w:lineRule="auto" w:before="51"/>
        <w:ind w:left="633" w:right="92" w:hanging="480"/>
        <w:jc w:val="left"/>
      </w:pPr>
      <w:r>
        <w:rPr/>
        <w:t>驱动收入变化的因素 </w:t>
      </w:r>
      <w:r>
        <w:rPr>
          <w:spacing w:val="-1"/>
        </w:rPr>
        <w:t>受全国整体经济环境的不利影响，零售整体需求不足，顾客购买意愿不强，会员订购人数与订购件单价均较去年减少</w:t>
      </w:r>
    </w:p>
    <w:p>
      <w:pPr>
        <w:pStyle w:val="BodyText"/>
        <w:spacing w:line="237" w:lineRule="exact"/>
        <w:ind w:left="153" w:right="0"/>
        <w:jc w:val="left"/>
      </w:pPr>
      <w:r>
        <w:rPr/>
        <w:t>是营业收入下滑的主要原因</w:t>
      </w:r>
      <w:r>
        <w:rPr>
          <w:spacing w:val="-77"/>
        </w:rPr>
        <w:t>，</w:t>
      </w:r>
      <w:r>
        <w:rPr/>
        <w:t>影响营业收入较上年下降</w:t>
      </w:r>
      <w:r>
        <w:rPr>
          <w:rFonts w:ascii="Times New Roman" w:hAnsi="Times New Roman" w:cs="Times New Roman" w:eastAsia="Times New Roman" w:hint="default"/>
        </w:rPr>
        <w:t>13.</w:t>
      </w:r>
      <w:r>
        <w:rPr>
          <w:rFonts w:ascii="Times New Roman" w:hAnsi="Times New Roman" w:cs="Times New Roman" w:eastAsia="Times New Roman" w:hint="default"/>
          <w:spacing w:val="-2"/>
        </w:rPr>
        <w:t>0</w:t>
      </w:r>
      <w:r>
        <w:rPr>
          <w:rFonts w:ascii="Times New Roman" w:hAnsi="Times New Roman" w:cs="Times New Roman" w:eastAsia="Times New Roman" w:hint="default"/>
        </w:rPr>
        <w:t>8%</w:t>
      </w:r>
      <w:r>
        <w:rPr>
          <w:spacing w:val="-77"/>
        </w:rPr>
        <w:t>，</w:t>
      </w:r>
      <w:r>
        <w:rPr/>
        <w:t>电视和电话购物分别下降</w:t>
      </w:r>
      <w:r>
        <w:rPr>
          <w:rFonts w:ascii="Times New Roman" w:hAnsi="Times New Roman" w:cs="Times New Roman" w:eastAsia="Times New Roman" w:hint="default"/>
        </w:rPr>
        <w:t>15.4%</w:t>
      </w:r>
      <w:r>
        <w:rPr/>
        <w:t>和</w:t>
      </w:r>
      <w:r>
        <w:rPr>
          <w:rFonts w:ascii="Times New Roman" w:hAnsi="Times New Roman" w:cs="Times New Roman" w:eastAsia="Times New Roman" w:hint="default"/>
        </w:rPr>
        <w:t>24.</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spacing w:val="-77"/>
        </w:rPr>
        <w:t>；</w:t>
      </w:r>
      <w:r>
        <w:rPr/>
        <w:t>网络购物增长</w:t>
      </w:r>
      <w:r>
        <w:rPr>
          <w:rFonts w:ascii="Times New Roman" w:hAnsi="Times New Roman" w:cs="Times New Roman" w:eastAsia="Times New Roman" w:hint="default"/>
        </w:rPr>
        <w:t>6.7%</w:t>
      </w:r>
      <w:r>
        <w:rPr/>
        <w:t>，</w:t>
      </w:r>
    </w:p>
    <w:p>
      <w:pPr>
        <w:pStyle w:val="BodyText"/>
        <w:spacing w:line="240" w:lineRule="auto" w:before="64"/>
        <w:ind w:left="153" w:right="5193"/>
        <w:jc w:val="left"/>
      </w:pPr>
      <w:r>
        <w:rPr/>
        <w:t>其中移动购物增长</w:t>
      </w:r>
      <w:r>
        <w:rPr>
          <w:rFonts w:ascii="Times New Roman" w:hAnsi="Times New Roman" w:cs="Times New Roman" w:eastAsia="Times New Roman" w:hint="default"/>
        </w:rPr>
        <w:t>129%</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154" w:right="5193"/>
        <w:jc w:val="left"/>
      </w:pPr>
      <w:r>
        <w:rPr/>
        <w:t>公司实物销售收入是否大于劳务收入</w:t>
      </w:r>
    </w:p>
    <w:p>
      <w:pPr>
        <w:pStyle w:val="BodyText"/>
        <w:spacing w:line="240" w:lineRule="auto" w:before="117"/>
        <w:ind w:left="154" w:right="5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-37.72%</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w:t>
            </w:r>
          </w:p>
        </w:tc>
      </w:tr>
      <w:tr>
        <w:trPr>
          <w:trHeight w:val="403"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10.25%</w:t>
            </w:r>
          </w:p>
        </w:tc>
      </w:tr>
    </w:tbl>
    <w:p>
      <w:pPr>
        <w:spacing w:line="240" w:lineRule="auto" w:before="5"/>
        <w:rPr>
          <w:rFonts w:ascii="宋体" w:hAnsi="宋体" w:cs="宋体" w:eastAsia="宋体" w:hint="default"/>
          <w:sz w:val="27"/>
          <w:szCs w:val="27"/>
        </w:rPr>
      </w:pPr>
    </w:p>
    <w:p>
      <w:pPr>
        <w:pStyle w:val="BodyText"/>
        <w:spacing w:line="240" w:lineRule="auto" w:before="44"/>
        <w:ind w:left="154" w:right="5193"/>
        <w:jc w:val="left"/>
      </w:pPr>
      <w:r>
        <w:rPr/>
        <w:t>公司重大的在手订单情况</w:t>
      </w:r>
    </w:p>
    <w:p>
      <w:pPr>
        <w:pStyle w:val="BodyText"/>
        <w:spacing w:line="338" w:lineRule="auto" w:before="117"/>
        <w:ind w:left="153"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340" w:lineRule="auto" w:before="42"/>
        <w:ind w:left="153" w:right="5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1"/>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3</w:t>
      </w:r>
      <w:r>
        <w:rPr/>
        <w:t>） 毛利率 毛利率</w:t>
      </w:r>
    </w:p>
    <w:p>
      <w:pPr>
        <w:spacing w:after="0" w:line="338" w:lineRule="auto"/>
        <w:jc w:val="left"/>
        <w:sectPr>
          <w:pgSz w:w="11910" w:h="16840"/>
          <w:pgMar w:header="851" w:footer="979" w:top="1320" w:bottom="1160" w:left="980" w:right="940"/>
        </w:sectPr>
      </w:pPr>
    </w:p>
    <w:p>
      <w:pPr>
        <w:spacing w:line="240" w:lineRule="auto" w:before="1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464"/>
        <w:gridCol w:w="2463"/>
        <w:gridCol w:w="2464"/>
        <w:gridCol w:w="2465"/>
      </w:tblGrid>
      <w:tr>
        <w:trPr>
          <w:trHeight w:val="427" w:hRule="exact"/>
        </w:trPr>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同比</w:t>
            </w:r>
          </w:p>
        </w:tc>
      </w:tr>
      <w:tr>
        <w:trPr>
          <w:trHeight w:val="427" w:hRule="exact"/>
        </w:trPr>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left"/>
              <w:rPr>
                <w:rFonts w:ascii="Times New Roman" w:hAnsi="Times New Roman" w:cs="Times New Roman" w:eastAsia="Times New Roman" w:hint="default"/>
                <w:sz w:val="22"/>
                <w:szCs w:val="22"/>
              </w:rPr>
            </w:pPr>
            <w:r>
              <w:rPr>
                <w:rFonts w:ascii="Times New Roman"/>
                <w:sz w:val="22"/>
              </w:rPr>
              <w:t>27.87%</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left"/>
              <w:rPr>
                <w:rFonts w:ascii="Times New Roman" w:hAnsi="Times New Roman" w:cs="Times New Roman" w:eastAsia="Times New Roman" w:hint="default"/>
                <w:sz w:val="22"/>
                <w:szCs w:val="22"/>
              </w:rPr>
            </w:pPr>
            <w:r>
              <w:rPr>
                <w:rFonts w:ascii="Times New Roman"/>
                <w:sz w:val="22"/>
              </w:rPr>
              <w:t>26.23%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1.64%</w:t>
            </w:r>
          </w:p>
        </w:tc>
      </w:tr>
    </w:tbl>
    <w:p>
      <w:pPr>
        <w:pStyle w:val="BodyText"/>
        <w:spacing w:line="240" w:lineRule="auto" w:before="51"/>
        <w:ind w:left="154" w:right="341"/>
        <w:jc w:val="left"/>
      </w:pPr>
      <w:r>
        <w:rPr>
          <w:rFonts w:ascii="Times New Roman" w:hAnsi="Times New Roman" w:cs="Times New Roman" w:eastAsia="Times New Roman" w:hint="default"/>
        </w:rPr>
        <w:t>2014</w:t>
      </w:r>
      <w:r>
        <w:rPr/>
        <w:t>年度，公司保持了良好的商品结构，整体毛利率较去年增加</w:t>
      </w:r>
      <w:r>
        <w:rPr>
          <w:rFonts w:ascii="Times New Roman" w:hAnsi="Times New Roman" w:cs="Times New Roman" w:eastAsia="Times New Roman" w:hint="default"/>
        </w:rPr>
        <w:t>1.64%</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153" w:right="341"/>
        <w:jc w:val="left"/>
      </w:pPr>
      <w:r>
        <w:rPr>
          <w:rFonts w:ascii="Times New Roman" w:hAnsi="Times New Roman" w:cs="Times New Roman" w:eastAsia="Times New Roman" w:hint="default"/>
        </w:rPr>
        <w:t>4</w:t>
      </w:r>
      <w:r>
        <w:rPr/>
        <w:t>）费用</w:t>
      </w:r>
    </w:p>
    <w:p>
      <w:pPr>
        <w:pStyle w:val="BodyText"/>
        <w:spacing w:line="240" w:lineRule="auto" w:before="102"/>
        <w:ind w:left="0" w:right="3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547,182,336.61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554,351,326.01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94,840,431.42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104,098,804.10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-24,723,572.28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-16,685,982.00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-48.17%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合理控制营运资金数额，运用非营运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资金实现资金收益的最大化，</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29"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804,899.57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1,199,439.86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-32.89%</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年度上海快乐讯与上海快</w:t>
            </w:r>
            <w:r>
              <w:rPr>
                <w:rFonts w:ascii="宋体" w:hAnsi="宋体" w:cs="宋体" w:eastAsia="宋体" w:hint="default"/>
                <w:sz w:val="18"/>
                <w:szCs w:val="18"/>
              </w:rPr>
              <w:t> 乐购两家子公司均实现了盈利，同期 </w:t>
            </w:r>
            <w:r>
              <w:rPr>
                <w:rFonts w:ascii="宋体" w:hAnsi="宋体" w:cs="宋体" w:eastAsia="宋体" w:hint="default"/>
                <w:spacing w:val="10"/>
                <w:sz w:val="18"/>
                <w:szCs w:val="18"/>
              </w:rPr>
              <w:t>北京的狗公司新业务的开展前期产</w:t>
            </w:r>
            <w:r>
              <w:rPr>
                <w:rFonts w:ascii="宋体" w:hAnsi="宋体" w:cs="宋体" w:eastAsia="宋体" w:hint="default"/>
                <w:sz w:val="18"/>
                <w:szCs w:val="18"/>
              </w:rPr>
              <w:t> 生的费用增加，产生暂时性的递延所 得税资产，相应减少了所得税费用。</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341"/>
        <w:jc w:val="left"/>
      </w:pPr>
      <w:r>
        <w:rPr>
          <w:rFonts w:ascii="Times New Roman" w:hAnsi="Times New Roman" w:cs="Times New Roman" w:eastAsia="Times New Roman" w:hint="default"/>
        </w:rPr>
        <w:t>5</w:t>
      </w:r>
      <w:r>
        <w:rPr/>
        <w:t>）研发投入</w:t>
      </w:r>
    </w:p>
    <w:p>
      <w:pPr>
        <w:pStyle w:val="BodyText"/>
        <w:spacing w:line="338" w:lineRule="auto" w:before="103"/>
        <w:ind w:left="405" w:right="341" w:hanging="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公司作为电子商务企业，持续进行研发投入才能更好利用先进技术优化公司系统，满足客户需求和保持行业内技术领先</w:t>
      </w:r>
    </w:p>
    <w:p>
      <w:pPr>
        <w:pStyle w:val="BodyText"/>
        <w:spacing w:line="240" w:lineRule="auto" w:before="3"/>
        <w:ind w:left="153" w:right="341"/>
        <w:jc w:val="left"/>
      </w:pPr>
      <w:r>
        <w:rPr/>
        <w:t>优势，公司预计未来仍将加大研发投入金额。</w:t>
      </w:r>
    </w:p>
    <w:p>
      <w:pPr>
        <w:pStyle w:val="BodyText"/>
        <w:spacing w:line="640" w:lineRule="auto" w:before="76"/>
        <w:ind w:left="153" w:right="1858" w:firstLine="217"/>
        <w:jc w:val="left"/>
      </w:pPr>
      <w:r>
        <w:rPr/>
        <w:pict>
          <v:shape style="position:absolute;margin-left:57.029999pt;margin-top:54.091724pt;width:478.6pt;height:152.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53,952,076.00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47,796,333.25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41,428,900.00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2,329,990.24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934,534.22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0.66%</w:t>
                        </w:r>
                      </w:p>
                    </w:tc>
                  </w:tr>
                </w:tbl>
                <w:p>
                  <w:pPr/>
                </w:p>
              </w:txbxContent>
            </v:textbox>
            <w10:wrap type="none"/>
          </v:shape>
        </w:pict>
      </w:r>
      <w:r>
        <w:rPr>
          <w:rFonts w:ascii="Times New Roman" w:hAnsi="Times New Roman" w:cs="Times New Roman" w:eastAsia="Times New Roman" w:hint="default"/>
        </w:rPr>
        <w:t>2014</w:t>
      </w:r>
      <w:r>
        <w:rPr>
          <w:rFonts w:ascii="Times New Roman" w:hAnsi="Times New Roman" w:cs="Times New Roman" w:eastAsia="Times New Roman" w:hint="default"/>
          <w:spacing w:val="18"/>
        </w:rPr>
        <w:t> </w:t>
      </w:r>
      <w:r>
        <w:rPr/>
        <w:t>年公司研发支出</w:t>
      </w:r>
      <w:r>
        <w:rPr>
          <w:rFonts w:ascii="Times New Roman" w:hAnsi="Times New Roman" w:cs="Times New Roman" w:eastAsia="Times New Roman" w:hint="default"/>
        </w:rPr>
        <w:t>53,952,076.00</w:t>
      </w:r>
      <w:r>
        <w:rPr/>
        <w:t>元，占营业收入的</w:t>
      </w:r>
      <w:r>
        <w:rPr>
          <w:rFonts w:ascii="Times New Roman" w:hAnsi="Times New Roman" w:cs="Times New Roman" w:eastAsia="Times New Roman" w:hint="default"/>
        </w:rPr>
        <w:t>1.97%</w:t>
      </w:r>
      <w:r>
        <w:rPr/>
        <w:t>，研发投入金额较上一年度增加</w:t>
      </w:r>
      <w:r>
        <w:rPr>
          <w:rFonts w:ascii="Times New Roman" w:hAnsi="Times New Roman" w:cs="Times New Roman" w:eastAsia="Times New Roman" w:hint="default"/>
        </w:rPr>
        <w:t>12.88%</w:t>
      </w:r>
      <w:r>
        <w:rPr/>
        <w:t>。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1" w:footer="979" w:top="1320" w:bottom="1160" w:left="980" w:right="800"/>
        </w:sectPr>
      </w:pPr>
    </w:p>
    <w:p>
      <w:pPr>
        <w:pStyle w:val="BodyText"/>
        <w:spacing w:line="240" w:lineRule="auto" w:before="44"/>
        <w:ind w:left="154" w:right="-20"/>
        <w:jc w:val="left"/>
      </w:pPr>
      <w:r>
        <w:rPr/>
        <w:t>研发投入资本化率大幅变动的原因及其合理性说明</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3" w:right="-20"/>
        <w:jc w:val="left"/>
      </w:pPr>
      <w:r>
        <w:rPr>
          <w:rFonts w:ascii="Times New Roman" w:hAnsi="Times New Roman" w:cs="Times New Roman" w:eastAsia="Times New Roman" w:hint="default"/>
        </w:rPr>
        <w:t>6</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320" w:bottom="1160" w:left="980" w:right="800"/>
          <w:cols w:num="2" w:equalWidth="0">
            <w:col w:w="4115" w:space="4805"/>
            <w:col w:w="12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07" w:right="0"/>
              <w:jc w:val="left"/>
              <w:rPr>
                <w:rFonts w:ascii="Times New Roman" w:hAnsi="Times New Roman" w:cs="Times New Roman" w:eastAsia="Times New Roman" w:hint="default"/>
                <w:sz w:val="18"/>
                <w:szCs w:val="18"/>
              </w:rPr>
            </w:pPr>
            <w:r>
              <w:rPr>
                <w:rFonts w:ascii="Times New Roman"/>
                <w:sz w:val="18"/>
              </w:rPr>
              <w:t>3,533,011,794.14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4,032,852,408.83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20" w:bottom="1160" w:left="980" w:right="80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3,426,202,897.76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3,787,713,963.43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106,808,896.38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245,138,445.40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21,167.02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78,754,406.61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32,606,768.37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141.53%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-78,730,840.83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-32,585,601.35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52,527,400.89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54,415,109.08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-52,527,400.89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-54,415,109.08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-24,449,345.34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158,137,734.97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-115.46%</w:t>
            </w:r>
            <w:r>
              <w:rPr>
                <w:rFonts w:ascii="Times New Roman"/>
                <w:spacing w:val="-1"/>
                <w:sz w:val="18"/>
              </w:rPr>
            </w:r>
          </w:p>
        </w:tc>
      </w:tr>
    </w:tbl>
    <w:p>
      <w:pPr>
        <w:pStyle w:val="BodyText"/>
        <w:spacing w:line="240" w:lineRule="auto" w:before="51"/>
        <w:ind w:left="154" w:right="5193"/>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left="153" w:right="5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left="153" w:right="93" w:firstLine="384"/>
        <w:jc w:val="left"/>
      </w:pPr>
      <w:r>
        <w:rPr>
          <w:rFonts w:ascii="Times New Roman" w:hAnsi="Times New Roman" w:cs="Times New Roman" w:eastAsia="Times New Roman" w:hint="default"/>
          <w:spacing w:val="-2"/>
        </w:rPr>
        <w:t>1</w:t>
      </w:r>
      <w:r>
        <w:rPr>
          <w:spacing w:val="-2"/>
        </w:rPr>
        <w:t>、经营活动净现金流入</w:t>
      </w:r>
      <w:r>
        <w:rPr>
          <w:rFonts w:ascii="Times New Roman" w:hAnsi="Times New Roman" w:cs="Times New Roman" w:eastAsia="Times New Roman" w:hint="default"/>
          <w:spacing w:val="-2"/>
        </w:rPr>
        <w:t>10,681</w:t>
      </w:r>
      <w:r>
        <w:rPr>
          <w:spacing w:val="-2"/>
        </w:rPr>
        <w:t>万元，比上年减少了</w:t>
      </w:r>
      <w:r>
        <w:rPr>
          <w:rFonts w:ascii="Times New Roman" w:hAnsi="Times New Roman" w:cs="Times New Roman" w:eastAsia="Times New Roman" w:hint="default"/>
          <w:spacing w:val="-2"/>
        </w:rPr>
        <w:t>13,833</w:t>
      </w:r>
      <w:r>
        <w:rPr>
          <w:spacing w:val="-2"/>
        </w:rPr>
        <w:t>万元，减幅</w:t>
      </w:r>
      <w:r>
        <w:rPr>
          <w:rFonts w:ascii="Times New Roman" w:hAnsi="Times New Roman" w:cs="Times New Roman" w:eastAsia="Times New Roman" w:hint="default"/>
          <w:spacing w:val="-2"/>
        </w:rPr>
        <w:t>56%</w:t>
      </w:r>
      <w:r>
        <w:rPr>
          <w:spacing w:val="-2"/>
        </w:rPr>
        <w:t>。主要因为</w:t>
      </w:r>
      <w:r>
        <w:rPr>
          <w:rFonts w:ascii="Times New Roman" w:hAnsi="Times New Roman" w:cs="Times New Roman" w:eastAsia="Times New Roman" w:hint="default"/>
          <w:spacing w:val="-2"/>
        </w:rPr>
        <w:t>2013</w:t>
      </w:r>
      <w:r>
        <w:rPr>
          <w:spacing w:val="-2"/>
        </w:rPr>
        <w:t>年销售规模较大，相应形成较</w:t>
      </w:r>
      <w:r>
        <w:rPr/>
        <w:t> 大的应付账款和税费在本期进行了支付；另一方面，经营活动净现金流入主要得益于公司的高盈利能力和高现金回收能力，</w:t>
      </w:r>
      <w:r>
        <w:rPr>
          <w:spacing w:val="-85"/>
        </w:rPr>
        <w:t> </w:t>
      </w:r>
      <w:r>
        <w:rPr>
          <w:spacing w:val="-85"/>
        </w:rPr>
      </w:r>
      <w:r>
        <w:rPr/>
        <w:t>本期实现净利润</w:t>
      </w:r>
      <w:r>
        <w:rPr>
          <w:rFonts w:ascii="Times New Roman" w:hAnsi="Times New Roman" w:cs="Times New Roman" w:eastAsia="Times New Roman" w:hint="default"/>
        </w:rPr>
        <w:t>1.54</w:t>
      </w:r>
      <w:r>
        <w:rPr/>
        <w:t>亿元为经营活动净现金流入的主要影响因素。</w:t>
      </w:r>
    </w:p>
    <w:p>
      <w:pPr>
        <w:pStyle w:val="BodyText"/>
        <w:spacing w:line="300" w:lineRule="auto" w:before="77"/>
        <w:ind w:left="153" w:right="190" w:firstLine="290"/>
        <w:jc w:val="both"/>
      </w:pPr>
      <w:r>
        <w:rPr>
          <w:rFonts w:ascii="Times New Roman" w:hAnsi="Times New Roman" w:cs="Times New Roman" w:eastAsia="Times New Roman" w:hint="default"/>
        </w:rPr>
        <w:t>2</w:t>
      </w:r>
      <w:r>
        <w:rPr/>
        <w:t>、公司投资活动现金流主要为对公司生产经营所需设施设备的建设及升级改造投资，为了满足业务发展及实现互联网 </w:t>
      </w:r>
      <w:r>
        <w:rPr>
          <w:spacing w:val="-2"/>
        </w:rPr>
        <w:t>转型的需要，</w:t>
      </w:r>
      <w:r>
        <w:rPr>
          <w:rFonts w:ascii="Times New Roman" w:hAnsi="Times New Roman" w:cs="Times New Roman" w:eastAsia="Times New Roman" w:hint="default"/>
          <w:spacing w:val="-2"/>
        </w:rPr>
        <w:t>2014</w:t>
      </w:r>
      <w:r>
        <w:rPr>
          <w:spacing w:val="-2"/>
        </w:rPr>
        <w:t>年，公司开展了信息系统、供应链基地、高清改造、呼叫中心扩容等项目建设，影响投资活动现金净流出</w:t>
      </w:r>
      <w:r>
        <w:rPr>
          <w:spacing w:val="-62"/>
        </w:rPr>
        <w:t> </w:t>
      </w:r>
      <w:r>
        <w:rPr>
          <w:spacing w:val="-62"/>
        </w:rPr>
      </w:r>
      <w:r>
        <w:rPr>
          <w:rFonts w:ascii="Times New Roman" w:hAnsi="Times New Roman" w:cs="Times New Roman" w:eastAsia="Times New Roman" w:hint="default"/>
        </w:rPr>
        <w:t>7,873</w:t>
      </w:r>
      <w:r>
        <w:rPr/>
        <w:t>万元，较去年同期增加</w:t>
      </w:r>
      <w:r>
        <w:rPr>
          <w:rFonts w:ascii="Times New Roman" w:hAnsi="Times New Roman" w:cs="Times New Roman" w:eastAsia="Times New Roman" w:hint="default"/>
        </w:rPr>
        <w:t>4,615</w:t>
      </w:r>
      <w:r>
        <w:rPr/>
        <w:t>万元，增幅</w:t>
      </w:r>
      <w:r>
        <w:rPr>
          <w:rFonts w:ascii="Times New Roman" w:hAnsi="Times New Roman" w:cs="Times New Roman" w:eastAsia="Times New Roman" w:hint="default"/>
        </w:rPr>
        <w:t>142%</w:t>
      </w:r>
      <w:r>
        <w:rPr/>
        <w:t>。</w:t>
      </w:r>
    </w:p>
    <w:p>
      <w:pPr>
        <w:spacing w:line="240" w:lineRule="auto" w:before="0"/>
        <w:rPr>
          <w:rFonts w:ascii="宋体" w:hAnsi="宋体" w:cs="宋体" w:eastAsia="宋体" w:hint="default"/>
          <w:sz w:val="18"/>
          <w:szCs w:val="18"/>
        </w:rPr>
      </w:pPr>
    </w:p>
    <w:p>
      <w:pPr>
        <w:pStyle w:val="BodyText"/>
        <w:spacing w:line="240" w:lineRule="auto" w:before="130"/>
        <w:ind w:left="154" w:right="92"/>
        <w:jc w:val="left"/>
      </w:pPr>
      <w:r>
        <w:rPr/>
        <w:t>报告期内公司经营活动的现金流量与本年度净利润存在重大差异的原因说明</w:t>
      </w:r>
    </w:p>
    <w:p>
      <w:pPr>
        <w:pStyle w:val="BodyText"/>
        <w:spacing w:line="338" w:lineRule="auto" w:before="117"/>
        <w:ind w:left="153" w:right="73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7</w:t>
      </w:r>
      <w:r>
        <w:rPr/>
        <w:t>）公司主要供应商、客户情况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121,952,313.16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bl>
    <w:p>
      <w:pPr>
        <w:pStyle w:val="BodyText"/>
        <w:spacing w:line="240" w:lineRule="auto" w:before="51"/>
        <w:ind w:left="154" w:right="5193"/>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left="153"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292,577,730.82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w:t>
            </w:r>
          </w:p>
        </w:tc>
      </w:tr>
    </w:tbl>
    <w:p>
      <w:pPr>
        <w:pStyle w:val="BodyText"/>
        <w:spacing w:line="240" w:lineRule="auto" w:before="51"/>
        <w:ind w:left="154" w:right="5193"/>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left="153" w:right="5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5193"/>
        <w:jc w:val="left"/>
        <w:rPr>
          <w:b w:val="0"/>
          <w:bCs w:val="0"/>
        </w:rPr>
      </w:pPr>
      <w:bookmarkStart w:name="（2）主营业务分部报告" w:id="20"/>
      <w:bookmarkEnd w:id="20"/>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5193"/>
        <w:jc w:val="left"/>
      </w:pPr>
      <w:r>
        <w:rPr>
          <w:rFonts w:ascii="Times New Roman" w:hAnsi="Times New Roman" w:cs="Times New Roman" w:eastAsia="Times New Roman" w:hint="default"/>
        </w:rPr>
        <w:t>1</w:t>
      </w:r>
      <w:r>
        <w:rPr/>
        <w:t>）报告期主营业务收入及主营业务利润的构成</w:t>
      </w:r>
    </w:p>
    <w:p>
      <w:pPr>
        <w:spacing w:after="0" w:line="240" w:lineRule="auto"/>
        <w:jc w:val="left"/>
        <w:sectPr>
          <w:pgSz w:w="11910" w:h="16840"/>
          <w:pgMar w:header="851" w:footer="979" w:top="1320" w:bottom="1160" w:left="980" w:right="940"/>
        </w:sectPr>
      </w:pPr>
    </w:p>
    <w:p>
      <w:pPr>
        <w:pStyle w:val="BodyText"/>
        <w:spacing w:line="240" w:lineRule="auto" w:before="116"/>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电视购物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1,836,887,114.05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505,853,962.77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网络购物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261,408,731.63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63,545,713.84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外呼购物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394,369,155.94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131,467,979.57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245,346,402.42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62,204,201.15</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1,339,145,258.18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322,732,710.15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430,614,984.62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42,228,159.30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246,465,072.92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94,537,855.79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613,738,182.45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244,552,091.20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3,449,426.11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659,140.76</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902,692,868.74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226,298,513.75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非湖南省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1,730,720,055.54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478,411,443.45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其中：华东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504,053,165.28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140,740,741.05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611,587,860.53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170,303,752.43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其他（包括华北、东北和西北等）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615,079,029.73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167,366,949.97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pStyle w:val="BodyText"/>
        <w:spacing w:line="240" w:lineRule="auto" w:before="51"/>
        <w:ind w:left="154" w:right="-2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2"/>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320" w:bottom="1160" w:left="980" w:right="980"/>
          <w:cols w:num="2" w:equalWidth="0">
            <w:col w:w="3499" w:space="5330"/>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电视购物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1,836,887,114.05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1,331,033,151.28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网络购物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261,408,731.63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197,863,017.79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外呼购物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394,369,155.94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262,901,176.37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245,346,402.42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183,142,201.27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1,339,145,258.18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1,016,412,548.03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430,614,984.62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388,386,825.32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246,465,072.92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151,927,217.13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613,738,182.45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369,186,091.25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3,449,426.11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2,790,285.35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902,692,868.74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676,394,354.99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非湖南省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1,730,720,055.54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1,252,308,612.09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504,053,165.23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363,312,424.23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611,587,860.53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441,284,108.10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pacing w:val="-6"/>
                <w:sz w:val="18"/>
                <w:szCs w:val="18"/>
              </w:rPr>
              <w:t>其他（包括华北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东北和西北等）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08" w:right="0"/>
              <w:jc w:val="left"/>
              <w:rPr>
                <w:rFonts w:ascii="Times New Roman" w:hAnsi="Times New Roman" w:cs="Times New Roman" w:eastAsia="Times New Roman" w:hint="default"/>
                <w:sz w:val="18"/>
                <w:szCs w:val="18"/>
              </w:rPr>
            </w:pPr>
            <w:r>
              <w:rPr>
                <w:rFonts w:ascii="Times New Roman"/>
                <w:sz w:val="18"/>
              </w:rPr>
              <w:t>615,079,029.73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447,712,079.76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r>
        <w:rPr/>
        <w:pict>
          <v:group style="position:absolute;margin-left:125.300003pt;margin-top:-48.266312pt;width:67.8pt;height:28pt;mso-position-horizontal-relative:page;mso-position-vertical-relative:paragraph;z-index:-655192" coordorigin="2506,-965" coordsize="1356,560">
            <v:group style="position:absolute;left:2506;top:-965;width:1356;height:156" coordorigin="2506,-965" coordsize="1356,156">
              <v:shape style="position:absolute;left:2506;top:-965;width:1356;height:156" coordorigin="2506,-965" coordsize="1356,156" path="m2506,-809l3862,-809,3862,-965,2506,-965,2506,-809xe" filled="true" fillcolor="#ffffff" stroked="false">
                <v:path arrowok="t"/>
                <v:fill type="solid"/>
              </v:shape>
            </v:group>
            <v:group style="position:absolute;left:2517;top:-809;width:2;height:393" coordorigin="2517,-809" coordsize="2,393">
              <v:shape style="position:absolute;left:2517;top:-809;width:2;height:393" coordorigin="2517,-809" coordsize="0,393" path="m2517,-809l2517,-417e" filled="false" stroked="true" strokeweight="1.140pt" strokecolor="#ffffff">
                <v:path arrowok="t"/>
              </v:shape>
            </v:group>
            <v:group style="position:absolute;left:2529;top:-809;width:1311;height:393" coordorigin="2529,-809" coordsize="1311,393">
              <v:shape style="position:absolute;left:2529;top:-809;width:1311;height:393" coordorigin="2529,-809" coordsize="1311,393" path="m2529,-417l3839,-417,3839,-809,2529,-809,2529,-417xe" filled="true" fillcolor="#ffffff" stroked="false">
                <v:path arrowok="t"/>
                <v:fill type="solid"/>
              </v:shape>
            </v:group>
            <w10:wrap type="none"/>
          </v:group>
        </w:pict>
      </w:r>
      <w:bookmarkStart w:name="（3）资产、负债状况分析" w:id="21"/>
      <w:bookmarkEnd w:id="21"/>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50"/>
        <w:jc w:val="right"/>
      </w:pPr>
      <w:r>
        <w:rPr/>
        <w:t>单位：元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996,505,294.0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67.67%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1,020,954,639.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73.07%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-5.40%</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年，公司开展了信息系统、供应</w:t>
            </w:r>
            <w:r>
              <w:rPr>
                <w:rFonts w:ascii="宋体" w:hAnsi="宋体" w:cs="宋体" w:eastAsia="宋体" w:hint="default"/>
                <w:sz w:val="18"/>
                <w:szCs w:val="18"/>
              </w:rPr>
              <w:t> </w:t>
            </w:r>
            <w:r>
              <w:rPr>
                <w:rFonts w:ascii="宋体" w:hAnsi="宋体" w:cs="宋体" w:eastAsia="宋体" w:hint="default"/>
                <w:spacing w:val="-2"/>
                <w:sz w:val="18"/>
                <w:szCs w:val="18"/>
              </w:rPr>
              <w:t>链基地、高清改造、呼叫中心扩容等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项目建设，致使现金较上年减少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5.4%</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21,213,747.43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17,252,531.88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57,673,713.10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61,865,282.82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49,794,120.16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46,613,950.00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38,960,591.73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6,769,933.51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供应链仓储中心建设投入</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73,752,171.77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48,679,516.00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预收顾客及集团业务货款增加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3,910,404.32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2,005,008.22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银行定期存款未结转</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13,072,659.30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8,601,733.89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新增场地租赁保证金</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60,397,327.26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42,062,592.32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ERP&amp;CRM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项目投入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154" w:right="0"/>
        <w:jc w:val="left"/>
      </w:pPr>
      <w:r>
        <w:rPr>
          <w:rFonts w:ascii="Times New Roman" w:hAnsi="Times New Roman" w:cs="Times New Roman" w:eastAsia="Times New Roman" w:hint="default"/>
        </w:rPr>
        <w:t>2</w:t>
      </w:r>
      <w:r>
        <w:rPr/>
        <w:t>）负债项目重大变动情况</w:t>
      </w:r>
    </w:p>
    <w:p>
      <w:pPr>
        <w:pStyle w:val="BodyText"/>
        <w:spacing w:line="240" w:lineRule="auto" w:before="102"/>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2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64,849,685.74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5,886,073.34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本年度预收账款较上年同期增长</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5896</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万元，主要原因是本年度部分集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团业务下游客户预付款项在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日时暂未提货，导致已收款</w:t>
            </w:r>
          </w:p>
        </w:tc>
      </w:tr>
    </w:tbl>
    <w:p>
      <w:pPr>
        <w:spacing w:after="0" w:line="240" w:lineRule="auto"/>
        <w:jc w:val="left"/>
        <w:rPr>
          <w:rFonts w:ascii="宋体" w:hAnsi="宋体" w:cs="宋体" w:eastAsia="宋体"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未发货形成预收账款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28,706,144.49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49,930,512.81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公司没有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年度奖金的计划，年 末余额较上年减少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11,442,342.44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31,098,558.57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年末销售收入下降，当期应交税费减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主要控股参股公司分析" w:id="22"/>
      <w:bookmarkEnd w:id="22"/>
      <w:r>
        <w:rPr>
          <w:b w:val="0"/>
          <w:bCs w:val="0"/>
        </w:rPr>
      </w:r>
      <w:r>
        <w:rPr/>
        <w:t>（</w:t>
      </w:r>
      <w:r>
        <w:rPr>
          <w:rFonts w:ascii="Times New Roman" w:hAnsi="Times New Roman" w:cs="Times New Roman" w:eastAsia="Times New Roman" w:hint="default"/>
        </w:rPr>
        <w:t>4</w:t>
      </w:r>
      <w:r>
        <w:rPr/>
        <w:t>）主要控股参股公司分析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20" w:bottom="1160" w:left="980" w:right="980"/>
        </w:sectPr>
      </w:pPr>
    </w:p>
    <w:p>
      <w:pPr>
        <w:pStyle w:val="BodyText"/>
        <w:spacing w:line="338" w:lineRule="auto" w:before="44"/>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320" w:bottom="1160" w:left="980" w:right="980"/>
          <w:cols w:num="2" w:equalWidth="0">
            <w:col w:w="2315" w:space="660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6"/>
        <w:gridCol w:w="898"/>
        <w:gridCol w:w="851"/>
        <w:gridCol w:w="1212"/>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9" w:right="60" w:hanging="450"/>
              <w:jc w:val="left"/>
              <w:rPr>
                <w:rFonts w:ascii="宋体" w:hAnsi="宋体" w:cs="宋体" w:eastAsia="宋体" w:hint="default"/>
                <w:sz w:val="18"/>
                <w:szCs w:val="18"/>
              </w:rPr>
            </w:pPr>
            <w:r>
              <w:rPr>
                <w:rFonts w:ascii="宋体" w:hAnsi="宋体" w:cs="宋体" w:eastAsia="宋体" w:hint="default"/>
                <w:sz w:val="18"/>
                <w:szCs w:val="18"/>
              </w:rPr>
              <w:t>主要产品或服 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北京快乐 的狗</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经营并拓展网 络购物业务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30,635,594.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12,631,970.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207,814,85</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9.23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-12,280,4</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54.45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-10,084,899.9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r>
        <w:trPr>
          <w:trHeight w:val="19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上海快乐 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时尚产业，通 过在节目中展 示商品信息将 客户导流至网 站实现商品销 售收入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40,462,531.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8,024,990.8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145,375,65</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2.98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5,903,419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4,293,495.24</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上海快乐 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零售与批 发业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17,532,670.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4,070,618.5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8,559,137.6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1,200,222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1,013,209.12</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供应链公 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物流运输</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仓储及物流供 应链的建设及 管理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93,096,581.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74,385,518.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-673,058.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-673,058.32</w:t>
            </w:r>
            <w:r>
              <w:rPr>
                <w:rFonts w:ascii="Times New Roman"/>
                <w:sz w:val="18"/>
              </w:rPr>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湖南快乐 的狗</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零售与批 发业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从事汽车销售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6,258,688.3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3,839,758.9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271,387.05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96,820.89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96,820.89</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91"/>
              <w:jc w:val="left"/>
              <w:rPr>
                <w:rFonts w:ascii="宋体" w:hAnsi="宋体" w:cs="宋体" w:eastAsia="宋体" w:hint="default"/>
                <w:sz w:val="18"/>
                <w:szCs w:val="18"/>
              </w:rPr>
            </w:pPr>
            <w:r>
              <w:rPr>
                <w:rFonts w:ascii="宋体" w:hAnsi="宋体" w:cs="宋体" w:eastAsia="宋体" w:hint="default"/>
                <w:sz w:val="18"/>
                <w:szCs w:val="18"/>
              </w:rPr>
              <w:t>上海妈妈 觅呀</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电视节目制 作，发展与节 目相关的新媒 体及达人业务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2,830,090.0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2,242,578.8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16,192,289.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-1,357,42</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2.73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-1,357,421.12</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湖南道格</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零售与批 发业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15,328,779.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9,659,324.9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5,675,276.9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-340,675.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-340,675.02</w:t>
            </w:r>
            <w:r>
              <w:rPr>
                <w:rFonts w:ascii="Times New Roman"/>
                <w:sz w:val="18"/>
              </w:rPr>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上海道格</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零售与批 发业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5,000.00</w:t>
            </w: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芒果生活</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运用电视频道 和互联网产 品、打造快速 连接线上线下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50,009,108.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49,999,108.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-891.11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-891.11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6"/>
        <w:gridCol w:w="898"/>
        <w:gridCol w:w="851"/>
        <w:gridCol w:w="1212"/>
        <w:gridCol w:w="943"/>
        <w:gridCol w:w="944"/>
        <w:gridCol w:w="942"/>
        <w:gridCol w:w="944"/>
        <w:gridCol w:w="809"/>
        <w:gridCol w:w="1078"/>
      </w:tblGrid>
      <w:tr>
        <w:trPr>
          <w:trHeight w:val="322" w:hRule="exact"/>
        </w:trPr>
        <w:tc>
          <w:tcPr>
            <w:tcW w:w="94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w:t>
            </w:r>
          </w:p>
        </w:tc>
        <w:tc>
          <w:tcPr>
            <w:tcW w:w="943" w:type="dxa"/>
            <w:vMerge w:val="restart"/>
            <w:tcBorders>
              <w:top w:val="single" w:sz="4" w:space="0" w:color="000000"/>
              <w:left w:val="single" w:sz="4" w:space="0" w:color="000000"/>
              <w:right w:val="single" w:sz="4" w:space="0" w:color="000000"/>
            </w:tcBorders>
          </w:tcPr>
          <w:p>
            <w:pPr/>
          </w:p>
        </w:tc>
        <w:tc>
          <w:tcPr>
            <w:tcW w:w="944" w:type="dxa"/>
            <w:vMerge w:val="restart"/>
            <w:tcBorders>
              <w:top w:val="single" w:sz="4" w:space="0" w:color="000000"/>
              <w:left w:val="single" w:sz="4" w:space="0" w:color="000000"/>
              <w:right w:val="single" w:sz="4" w:space="0" w:color="000000"/>
            </w:tcBorders>
          </w:tcPr>
          <w:p>
            <w:pPr/>
          </w:p>
        </w:tc>
        <w:tc>
          <w:tcPr>
            <w:tcW w:w="942" w:type="dxa"/>
            <w:vMerge w:val="restart"/>
            <w:tcBorders>
              <w:top w:val="single" w:sz="4" w:space="0" w:color="000000"/>
              <w:left w:val="single" w:sz="4" w:space="0" w:color="000000"/>
              <w:right w:val="single" w:sz="4" w:space="0" w:color="000000"/>
            </w:tcBorders>
          </w:tcPr>
          <w:p>
            <w:pPr/>
          </w:p>
        </w:tc>
        <w:tc>
          <w:tcPr>
            <w:tcW w:w="944"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
        </w:tc>
      </w:tr>
      <w:tr>
        <w:trPr>
          <w:trHeight w:val="307" w:hRule="exact"/>
        </w:trPr>
        <w:tc>
          <w:tcPr>
            <w:tcW w:w="94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为湖南市场消</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费者提供生活</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资讯、商品服</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务及互动社区</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等的生活方式</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3" w:hRule="exact"/>
        </w:trPr>
        <w:tc>
          <w:tcPr>
            <w:tcW w:w="94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解决方案本地</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57" w:hRule="exact"/>
        </w:trPr>
        <w:tc>
          <w:tcPr>
            <w:tcW w:w="94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化服务</w:t>
            </w:r>
          </w:p>
        </w:tc>
        <w:tc>
          <w:tcPr>
            <w:tcW w:w="943"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r>
    </w:tbl>
    <w:p>
      <w:pPr>
        <w:pStyle w:val="BodyText"/>
        <w:spacing w:line="360" w:lineRule="auto" w:before="51"/>
        <w:ind w:left="154" w:right="7112"/>
        <w:jc w:val="left"/>
      </w:pPr>
      <w:r>
        <w:rPr/>
        <w:t>主要子公司、参股公司情况说明 报告期内取得和处置子公司的情况</w:t>
      </w:r>
    </w:p>
    <w:p>
      <w:pPr>
        <w:pStyle w:val="BodyText"/>
        <w:spacing w:line="240" w:lineRule="auto" w:before="26"/>
        <w:ind w:left="154" w:right="5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before="0"/>
        <w:ind w:right="5193"/>
        <w:jc w:val="left"/>
        <w:rPr>
          <w:b w:val="0"/>
          <w:bCs w:val="0"/>
        </w:rPr>
      </w:pPr>
      <w:bookmarkStart w:name="二、公司未来发展的展望" w:id="23"/>
      <w:bookmarkEnd w:id="23"/>
      <w:r>
        <w:rPr>
          <w:b w:val="0"/>
          <w:bCs w:val="0"/>
        </w:rPr>
      </w:r>
      <w:r>
        <w:rPr/>
        <w:t>二、公司未来发展的展望</w:t>
      </w:r>
      <w:r>
        <w:rPr>
          <w:b w:val="0"/>
          <w:bCs w:val="0"/>
        </w:rPr>
      </w:r>
    </w:p>
    <w:p>
      <w:pPr>
        <w:spacing w:line="240" w:lineRule="auto" w:before="2"/>
        <w:rPr>
          <w:rFonts w:ascii="宋体" w:hAnsi="宋体" w:cs="宋体" w:eastAsia="宋体" w:hint="default"/>
          <w:b/>
          <w:bCs/>
          <w:sz w:val="34"/>
          <w:szCs w:val="34"/>
        </w:rPr>
      </w:pPr>
    </w:p>
    <w:p>
      <w:pPr>
        <w:pStyle w:val="BodyText"/>
        <w:spacing w:line="408" w:lineRule="auto"/>
        <w:ind w:left="153" w:right="93" w:firstLine="480"/>
        <w:jc w:val="left"/>
      </w:pPr>
      <w:r>
        <w:rPr>
          <w:rFonts w:ascii="宋体" w:hAnsi="宋体" w:cs="宋体" w:eastAsia="宋体" w:hint="default"/>
        </w:rPr>
        <w:t>2015</w:t>
      </w:r>
      <w:r>
        <w:rPr/>
        <w:t>年，在新的形势与考验面前，快乐购将紧密围绕以电视内容制作优势和传播渠道变化，推进“互联网</w:t>
      </w:r>
      <w:r>
        <w:rPr>
          <w:rFonts w:ascii="宋体" w:hAnsi="宋体" w:cs="宋体" w:eastAsia="宋体" w:hint="default"/>
        </w:rPr>
        <w:t>+</w:t>
      </w:r>
      <w:r>
        <w:rPr/>
        <w:t>电视”战 略，大力发展移动互联网业务，围绕消费场景布局家庭消费、社交电商、互动营销三大领域，明确“做大主业、做实产业、</w:t>
      </w:r>
      <w:r>
        <w:rPr>
          <w:spacing w:val="-85"/>
        </w:rPr>
        <w:t> </w:t>
      </w:r>
      <w:r>
        <w:rPr>
          <w:spacing w:val="-85"/>
        </w:rPr>
      </w:r>
      <w:r>
        <w:rPr/>
        <w:t>做宽入口、做好创新”四大目标，主要经营规划为：</w:t>
      </w:r>
    </w:p>
    <w:p>
      <w:pPr>
        <w:pStyle w:val="BodyText"/>
        <w:tabs>
          <w:tab w:pos="1117" w:val="left" w:leader="none"/>
        </w:tabs>
        <w:spacing w:line="408" w:lineRule="auto" w:before="38"/>
        <w:ind w:left="1118" w:right="189" w:hanging="482"/>
        <w:jc w:val="left"/>
      </w:pPr>
      <w:r>
        <w:rPr>
          <w:rFonts w:ascii="宋体" w:hAnsi="宋体" w:cs="宋体" w:eastAsia="宋体" w:hint="default"/>
        </w:rPr>
        <w:t>1</w:t>
      </w:r>
      <w:r>
        <w:rPr/>
        <w:t>、</w:t>
        <w:tab/>
        <w:t>主营业务将围绕家庭消费场景做业务布局，从三屏互动走向三屏融合，将强化商品企划为核心，以节目制作和</w:t>
      </w:r>
      <w:r>
        <w:rPr>
          <w:spacing w:val="-57"/>
        </w:rPr>
        <w:t> </w:t>
      </w:r>
      <w:r>
        <w:rPr>
          <w:spacing w:val="-57"/>
        </w:rPr>
      </w:r>
      <w:r>
        <w:rPr/>
        <w:t>会员数据库营销为两翼，大力发展移动互联网业务来提增量，运用互联网工具优化效率和提升客户体验。</w:t>
      </w:r>
    </w:p>
    <w:p>
      <w:pPr>
        <w:pStyle w:val="BodyText"/>
        <w:tabs>
          <w:tab w:pos="1117" w:val="left" w:leader="none"/>
        </w:tabs>
        <w:spacing w:line="240" w:lineRule="auto" w:before="39"/>
        <w:ind w:left="636" w:right="92"/>
        <w:jc w:val="left"/>
      </w:pPr>
      <w:r>
        <w:rPr>
          <w:rFonts w:ascii="宋体" w:hAnsi="宋体" w:cs="宋体" w:eastAsia="宋体" w:hint="default"/>
        </w:rPr>
        <w:t>2</w:t>
      </w:r>
      <w:r>
        <w:rPr/>
        <w:t>、</w:t>
        <w:tab/>
        <w:t>依托“我是大美人”电视栏目，以塑造达人为核心，通过视频传播聚集流量，打造社交电商交易平台。</w:t>
      </w:r>
    </w:p>
    <w:p>
      <w:pPr>
        <w:spacing w:line="240" w:lineRule="auto" w:before="7"/>
        <w:rPr>
          <w:rFonts w:ascii="宋体" w:hAnsi="宋体" w:cs="宋体" w:eastAsia="宋体" w:hint="default"/>
          <w:sz w:val="12"/>
          <w:szCs w:val="12"/>
        </w:rPr>
      </w:pPr>
    </w:p>
    <w:p>
      <w:pPr>
        <w:pStyle w:val="BodyText"/>
        <w:tabs>
          <w:tab w:pos="1117" w:val="left" w:leader="none"/>
        </w:tabs>
        <w:spacing w:line="240" w:lineRule="auto"/>
        <w:ind w:left="636" w:right="92"/>
        <w:jc w:val="left"/>
      </w:pPr>
      <w:r>
        <w:rPr>
          <w:rFonts w:ascii="宋体" w:hAnsi="宋体" w:cs="宋体" w:eastAsia="宋体" w:hint="default"/>
        </w:rPr>
        <w:t>3</w:t>
      </w:r>
      <w:r>
        <w:rPr/>
        <w:t>、</w:t>
        <w:tab/>
        <w:t>以电视、手机双屏互动技术为核心，发展互动营销和</w:t>
      </w:r>
      <w:r>
        <w:rPr>
          <w:rFonts w:ascii="宋体" w:hAnsi="宋体" w:cs="宋体" w:eastAsia="宋体" w:hint="default"/>
        </w:rPr>
        <w:t>OTT</w:t>
      </w:r>
      <w:r>
        <w:rPr/>
        <w:t>电商，探索电视流量变现的新路径。</w:t>
      </w:r>
    </w:p>
    <w:p>
      <w:pPr>
        <w:spacing w:line="240" w:lineRule="auto" w:before="7"/>
        <w:rPr>
          <w:rFonts w:ascii="宋体" w:hAnsi="宋体" w:cs="宋体" w:eastAsia="宋体" w:hint="default"/>
          <w:sz w:val="12"/>
          <w:szCs w:val="12"/>
        </w:rPr>
      </w:pPr>
    </w:p>
    <w:p>
      <w:pPr>
        <w:pStyle w:val="BodyText"/>
        <w:tabs>
          <w:tab w:pos="1117" w:val="left" w:leader="none"/>
        </w:tabs>
        <w:spacing w:line="240" w:lineRule="auto"/>
        <w:ind w:left="636" w:right="92"/>
        <w:jc w:val="left"/>
      </w:pPr>
      <w:r>
        <w:rPr>
          <w:rFonts w:ascii="宋体" w:hAnsi="宋体" w:cs="宋体" w:eastAsia="宋体" w:hint="default"/>
        </w:rPr>
        <w:t>4</w:t>
      </w:r>
      <w:r>
        <w:rPr/>
        <w:t>、</w:t>
        <w:tab/>
        <w:t>通过整合本地化生活资源，创造新型时尚电视节目，探索电视</w:t>
      </w:r>
      <w:r>
        <w:rPr>
          <w:rFonts w:ascii="宋体" w:hAnsi="宋体" w:cs="宋体" w:eastAsia="宋体" w:hint="default"/>
        </w:rPr>
        <w:t>020</w:t>
      </w:r>
      <w:r>
        <w:rPr/>
        <w:t>新模式。</w:t>
      </w:r>
    </w:p>
    <w:p>
      <w:pPr>
        <w:spacing w:line="240" w:lineRule="auto" w:before="8"/>
        <w:rPr>
          <w:rFonts w:ascii="宋体" w:hAnsi="宋体" w:cs="宋体" w:eastAsia="宋体" w:hint="default"/>
          <w:sz w:val="12"/>
          <w:szCs w:val="12"/>
        </w:rPr>
      </w:pPr>
    </w:p>
    <w:p>
      <w:pPr>
        <w:pStyle w:val="BodyText"/>
        <w:tabs>
          <w:tab w:pos="1117" w:val="left" w:leader="none"/>
        </w:tabs>
        <w:spacing w:line="408" w:lineRule="auto"/>
        <w:ind w:left="1118" w:right="192" w:hanging="482"/>
        <w:jc w:val="left"/>
      </w:pPr>
      <w:r>
        <w:rPr>
          <w:rFonts w:ascii="宋体" w:hAnsi="宋体" w:cs="宋体" w:eastAsia="宋体" w:hint="default"/>
        </w:rPr>
        <w:t>5</w:t>
      </w:r>
      <w:r>
        <w:rPr/>
        <w:t>、</w:t>
        <w:tab/>
        <w:t>大力优化供应链，以打造买手为核心，跨境贸易和定制包销为两翼，强化商品差异化；以提速减负为核心，自</w:t>
      </w:r>
      <w:r>
        <w:rPr>
          <w:spacing w:val="-60"/>
        </w:rPr>
        <w:t> </w:t>
      </w:r>
      <w:r>
        <w:rPr>
          <w:spacing w:val="-60"/>
        </w:rPr>
      </w:r>
      <w:r>
        <w:rPr/>
        <w:t>主配送和仓储服务为两翼，发展供应链服务。</w:t>
      </w:r>
    </w:p>
    <w:p>
      <w:pPr>
        <w:pStyle w:val="BodyText"/>
        <w:tabs>
          <w:tab w:pos="1117" w:val="left" w:leader="none"/>
        </w:tabs>
        <w:spacing w:line="408" w:lineRule="auto" w:before="38"/>
        <w:ind w:left="1118" w:right="191" w:hanging="482"/>
        <w:jc w:val="left"/>
      </w:pPr>
      <w:r>
        <w:rPr>
          <w:rFonts w:ascii="宋体" w:hAnsi="宋体" w:cs="宋体" w:eastAsia="宋体" w:hint="default"/>
        </w:rPr>
        <w:t>6</w:t>
      </w:r>
      <w:r>
        <w:rPr/>
        <w:t>、</w:t>
        <w:tab/>
        <w:t>持续组织创新和团队文化建设，健全人才评价和激励机制，引入核心互联网人才，为公司业务转型提供强有力</w:t>
      </w:r>
      <w:r>
        <w:rPr>
          <w:spacing w:val="-60"/>
        </w:rPr>
        <w:t> </w:t>
      </w:r>
      <w:r>
        <w:rPr>
          <w:spacing w:val="-60"/>
        </w:rPr>
      </w:r>
      <w:r>
        <w:rPr/>
        <w:t>的人才保障。</w:t>
      </w:r>
    </w:p>
    <w:p>
      <w:pPr>
        <w:spacing w:line="240" w:lineRule="auto" w:before="8"/>
        <w:rPr>
          <w:rFonts w:ascii="宋体" w:hAnsi="宋体" w:cs="宋体" w:eastAsia="宋体" w:hint="default"/>
          <w:sz w:val="14"/>
          <w:szCs w:val="14"/>
        </w:rPr>
      </w:pPr>
    </w:p>
    <w:p>
      <w:pPr>
        <w:pStyle w:val="Heading2"/>
        <w:spacing w:line="240" w:lineRule="auto" w:before="0"/>
        <w:ind w:left="154" w:right="5193"/>
        <w:jc w:val="left"/>
        <w:rPr>
          <w:b w:val="0"/>
          <w:bCs w:val="0"/>
        </w:rPr>
      </w:pPr>
      <w:bookmarkStart w:name="三、公司利润分配及分红派息情况" w:id="24"/>
      <w:bookmarkEnd w:id="24"/>
      <w:r>
        <w:rPr>
          <w:b w:val="0"/>
          <w:bCs w:val="0"/>
        </w:rPr>
      </w:r>
      <w:r>
        <w:rPr/>
        <w:t>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92"/>
        <w:jc w:val="left"/>
      </w:pPr>
      <w:r>
        <w:rPr/>
        <w:t>报告期内利润分配政策特别是现金分红政策的制定、执行或调整情况</w:t>
      </w:r>
    </w:p>
    <w:p>
      <w:pPr>
        <w:pStyle w:val="BodyText"/>
        <w:spacing w:line="240" w:lineRule="auto" w:before="116"/>
        <w:ind w:left="153" w:right="5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439" w:lineRule="auto"/>
        <w:ind w:left="633" w:right="5193"/>
        <w:jc w:val="left"/>
      </w:pPr>
      <w:r>
        <w:rPr/>
        <w:t>一、股利分配政策 根据《公司章程》，公司现行的股利分配政策如下：</w:t>
      </w:r>
    </w:p>
    <w:p>
      <w:pPr>
        <w:pStyle w:val="BodyText"/>
        <w:spacing w:line="240" w:lineRule="auto" w:before="47"/>
        <w:ind w:left="633" w:right="5193"/>
        <w:jc w:val="left"/>
      </w:pPr>
      <w:r>
        <w:rPr/>
        <w:t>（</w:t>
      </w:r>
      <w:r>
        <w:rPr>
          <w:rFonts w:ascii="Times New Roman" w:hAnsi="Times New Roman" w:cs="Times New Roman" w:eastAsia="Times New Roman" w:hint="default"/>
        </w:rPr>
        <w:t>1</w:t>
      </w:r>
      <w:r>
        <w:rPr/>
        <w:t>）基本原则</w:t>
      </w:r>
    </w:p>
    <w:p>
      <w:pPr>
        <w:spacing w:line="240" w:lineRule="auto" w:before="13"/>
        <w:rPr>
          <w:rFonts w:ascii="宋体" w:hAnsi="宋体" w:cs="宋体" w:eastAsia="宋体" w:hint="default"/>
          <w:sz w:val="13"/>
          <w:szCs w:val="13"/>
        </w:rPr>
      </w:pPr>
    </w:p>
    <w:p>
      <w:pPr>
        <w:pStyle w:val="BodyText"/>
        <w:spacing w:line="300" w:lineRule="auto"/>
        <w:ind w:left="153" w:right="92" w:firstLine="480"/>
        <w:jc w:val="left"/>
      </w:pPr>
      <w:r>
        <w:rPr>
          <w:rFonts w:ascii="Times New Roman" w:hAnsi="Times New Roman" w:cs="Times New Roman" w:eastAsia="Times New Roman" w:hint="default"/>
        </w:rPr>
        <w:t>1</w:t>
      </w:r>
      <w:r>
        <w:rPr/>
        <w:t>、利润分配政策应兼顾对投资者的合理投资回报、公司的长远利益，并保持连续性和稳定性；公司利润分配不得超 过累计可分配利润总额，不得损害公司持续经营能力。</w:t>
      </w:r>
    </w:p>
    <w:p>
      <w:pPr>
        <w:pStyle w:val="BodyText"/>
        <w:spacing w:line="240" w:lineRule="auto" w:before="151"/>
        <w:ind w:left="634" w:right="92"/>
        <w:jc w:val="left"/>
      </w:pPr>
      <w:r>
        <w:rPr>
          <w:rFonts w:ascii="Times New Roman" w:hAnsi="Times New Roman" w:cs="Times New Roman" w:eastAsia="Times New Roman" w:hint="default"/>
        </w:rPr>
        <w:t>2</w:t>
      </w:r>
      <w:r>
        <w:rPr/>
        <w:t>、利润分配政策的论证、制定和修改过程应充分考虑独立董事、监事和社会公众股东的意见。</w:t>
      </w:r>
    </w:p>
    <w:p>
      <w:pPr>
        <w:spacing w:line="240" w:lineRule="auto" w:before="13"/>
        <w:rPr>
          <w:rFonts w:ascii="宋体" w:hAnsi="宋体" w:cs="宋体" w:eastAsia="宋体" w:hint="default"/>
          <w:sz w:val="13"/>
          <w:szCs w:val="13"/>
        </w:rPr>
      </w:pPr>
    </w:p>
    <w:p>
      <w:pPr>
        <w:pStyle w:val="BodyText"/>
        <w:spacing w:line="240" w:lineRule="auto"/>
        <w:ind w:left="634" w:right="5193"/>
        <w:jc w:val="left"/>
      </w:pPr>
      <w:r>
        <w:rPr/>
        <w:t>（</w:t>
      </w:r>
      <w:r>
        <w:rPr>
          <w:rFonts w:ascii="Times New Roman" w:hAnsi="Times New Roman" w:cs="Times New Roman" w:eastAsia="Times New Roman" w:hint="default"/>
        </w:rPr>
        <w:t>2</w:t>
      </w:r>
      <w:r>
        <w:rPr/>
        <w:t>）利润分配形式</w:t>
      </w:r>
    </w:p>
    <w:p>
      <w:pPr>
        <w:spacing w:after="0" w:line="240" w:lineRule="auto"/>
        <w:jc w:val="left"/>
        <w:sectPr>
          <w:pgSz w:w="11910" w:h="16840"/>
          <w:pgMar w:header="851" w:footer="979" w:top="1320" w:bottom="1160" w:left="980" w:right="940"/>
        </w:sectPr>
      </w:pPr>
    </w:p>
    <w:p>
      <w:pPr>
        <w:pStyle w:val="BodyText"/>
        <w:spacing w:line="316" w:lineRule="auto" w:before="114"/>
        <w:ind w:left="154" w:right="153" w:firstLine="480"/>
        <w:jc w:val="both"/>
      </w:pPr>
      <w:r>
        <w:rPr>
          <w:spacing w:val="-1"/>
        </w:rPr>
        <w:t>公司可以采取现金或股票或者现金与股票相结合等方式分配利润，并优先采取现金方式分配股利，现金分红优先于股</w:t>
      </w:r>
      <w:r>
        <w:rPr/>
        <w:t> 票股利分红。在有条件的情况下，公司可以进行中期利润分配。</w:t>
      </w:r>
    </w:p>
    <w:p>
      <w:pPr>
        <w:pStyle w:val="BodyText"/>
        <w:spacing w:line="417" w:lineRule="auto" w:before="139"/>
        <w:ind w:left="633" w:right="4433"/>
        <w:jc w:val="left"/>
      </w:pPr>
      <w:r>
        <w:rPr/>
        <w:t>（</w:t>
      </w:r>
      <w:r>
        <w:rPr>
          <w:rFonts w:ascii="Times New Roman" w:hAnsi="Times New Roman" w:cs="Times New Roman" w:eastAsia="Times New Roman" w:hint="default"/>
        </w:rPr>
        <w:t>3</w:t>
      </w:r>
      <w:r>
        <w:rPr/>
        <w:t>）现金分红的具体条件和比例 公司具备现金分红条件的，应当采用现金分红进行利润分配。</w:t>
      </w:r>
    </w:p>
    <w:p>
      <w:pPr>
        <w:pStyle w:val="BodyText"/>
        <w:spacing w:line="300" w:lineRule="auto" w:before="63"/>
        <w:ind w:left="153" w:right="151" w:firstLine="480"/>
        <w:jc w:val="both"/>
      </w:pPr>
      <w:r>
        <w:rPr>
          <w:spacing w:val="-2"/>
        </w:rPr>
        <w:t>当以下条件全部满足，即为具备现金分红条件：</w:t>
      </w:r>
      <w:r>
        <w:rPr>
          <w:rFonts w:ascii="Times New Roman" w:hAnsi="Times New Roman" w:cs="Times New Roman" w:eastAsia="Times New Roman" w:hint="default"/>
          <w:spacing w:val="-2"/>
        </w:rPr>
        <w:t>1</w:t>
      </w:r>
      <w:r>
        <w:rPr>
          <w:spacing w:val="-2"/>
        </w:rPr>
        <w:t>）当年每股收益不低于</w:t>
      </w:r>
      <w:r>
        <w:rPr>
          <w:rFonts w:ascii="Times New Roman" w:hAnsi="Times New Roman" w:cs="Times New Roman" w:eastAsia="Times New Roman" w:hint="default"/>
          <w:spacing w:val="-2"/>
        </w:rPr>
        <w:t>0.1</w:t>
      </w:r>
      <w:r>
        <w:rPr>
          <w:spacing w:val="-2"/>
        </w:rPr>
        <w:t>元；</w:t>
      </w:r>
      <w:r>
        <w:rPr>
          <w:rFonts w:ascii="Times New Roman" w:hAnsi="Times New Roman" w:cs="Times New Roman" w:eastAsia="Times New Roman" w:hint="default"/>
          <w:spacing w:val="-2"/>
        </w:rPr>
        <w:t>2</w:t>
      </w:r>
      <w:r>
        <w:rPr>
          <w:spacing w:val="-2"/>
        </w:rPr>
        <w:t>）当年每股累计可供分配利润不低于</w:t>
      </w:r>
      <w:r>
        <w:rPr/>
        <w:t> </w:t>
      </w:r>
      <w:r>
        <w:rPr>
          <w:rFonts w:ascii="Times New Roman" w:hAnsi="Times New Roman" w:cs="Times New Roman" w:eastAsia="Times New Roman" w:hint="default"/>
        </w:rPr>
        <w:t>0.2</w:t>
      </w:r>
      <w:r>
        <w:rPr/>
        <w:t>元；</w:t>
      </w:r>
      <w:r>
        <w:rPr>
          <w:rFonts w:ascii="Times New Roman" w:hAnsi="Times New Roman" w:cs="Times New Roman" w:eastAsia="Times New Roman" w:hint="default"/>
        </w:rPr>
        <w:t>3</w:t>
      </w:r>
      <w:r>
        <w:rPr/>
        <w:t>）审计机构对公司的该年度财务报告出具标准无保留意见的审计报告；</w:t>
      </w:r>
      <w:r>
        <w:rPr>
          <w:rFonts w:ascii="Times New Roman" w:hAnsi="Times New Roman" w:cs="Times New Roman" w:eastAsia="Times New Roman" w:hint="default"/>
        </w:rPr>
        <w:t>4</w:t>
      </w:r>
      <w:r>
        <w:rPr/>
        <w:t>）公司现金流充裕，实施现金分红不会影</w:t>
      </w:r>
      <w:r>
        <w:rPr>
          <w:spacing w:val="-44"/>
        </w:rPr>
        <w:t> </w:t>
      </w:r>
      <w:r>
        <w:rPr>
          <w:spacing w:val="-44"/>
        </w:rPr>
      </w:r>
      <w:r>
        <w:rPr/>
        <w:t>响公司后续的持续经营时。</w:t>
      </w:r>
    </w:p>
    <w:p>
      <w:pPr>
        <w:pStyle w:val="BodyText"/>
        <w:spacing w:line="300" w:lineRule="auto" w:before="151"/>
        <w:ind w:left="153" w:right="149" w:firstLine="480"/>
        <w:jc w:val="both"/>
      </w:pPr>
      <w:r>
        <w:rPr/>
        <w:t>重大投资计划或重大现金支出是指公司在未来</w:t>
      </w:r>
      <w:r>
        <w:rPr>
          <w:rFonts w:ascii="Times New Roman" w:hAnsi="Times New Roman" w:cs="Times New Roman" w:eastAsia="Times New Roman" w:hint="default"/>
        </w:rPr>
        <w:t>12</w:t>
      </w:r>
      <w:r>
        <w:rPr/>
        <w:t>个月内购买资产超过公司最近一期经审计总资产</w:t>
      </w:r>
      <w:r>
        <w:rPr>
          <w:rFonts w:ascii="Times New Roman" w:hAnsi="Times New Roman" w:cs="Times New Roman" w:eastAsia="Times New Roman" w:hint="default"/>
        </w:rPr>
        <w:t>30%</w:t>
      </w:r>
      <w:r>
        <w:rPr/>
        <w:t>或单项购买资产 </w:t>
      </w:r>
      <w:r>
        <w:rPr>
          <w:spacing w:val="-1"/>
        </w:rPr>
        <w:t>价值超过公司最近一期经审计的净资产</w:t>
      </w:r>
      <w:r>
        <w:rPr>
          <w:rFonts w:ascii="Times New Roman" w:hAnsi="Times New Roman" w:cs="Times New Roman" w:eastAsia="Times New Roman" w:hint="default"/>
          <w:spacing w:val="-1"/>
        </w:rPr>
        <w:t>20%</w:t>
      </w:r>
      <w:r>
        <w:rPr>
          <w:spacing w:val="-1"/>
        </w:rPr>
        <w:t>的事项，上述资产价值同时存在账面值和评估值的，以高者为准；以及对外投资</w:t>
      </w:r>
      <w:r>
        <w:rPr>
          <w:spacing w:val="-88"/>
        </w:rPr>
        <w:t> </w:t>
      </w:r>
      <w:r>
        <w:rPr>
          <w:spacing w:val="-88"/>
        </w:rPr>
      </w:r>
      <w:r>
        <w:rPr/>
        <w:t>超过公司最近一期经审计的净资产</w:t>
      </w:r>
      <w:r>
        <w:rPr>
          <w:rFonts w:ascii="Times New Roman" w:hAnsi="Times New Roman" w:cs="Times New Roman" w:eastAsia="Times New Roman" w:hint="default"/>
        </w:rPr>
        <w:t>10%</w:t>
      </w:r>
      <w:r>
        <w:rPr/>
        <w:t>及以上的事项。</w:t>
      </w:r>
    </w:p>
    <w:p>
      <w:pPr>
        <w:pStyle w:val="BodyText"/>
        <w:spacing w:line="300" w:lineRule="auto" w:before="133"/>
        <w:ind w:left="154" w:right="149" w:firstLine="480"/>
        <w:jc w:val="both"/>
      </w:pPr>
      <w:r>
        <w:rPr/>
        <w:t>公司采取现金方式分配股利，单一年度以现金方式分配的股利不少于当年度实现的可供分配利润的</w:t>
      </w:r>
      <w:r>
        <w:rPr>
          <w:rFonts w:ascii="Times New Roman" w:hAnsi="Times New Roman" w:cs="Times New Roman" w:eastAsia="Times New Roman" w:hint="default"/>
        </w:rPr>
        <w:t>10%</w:t>
      </w:r>
      <w:r>
        <w:rPr/>
        <w:t>，且公司最近 三年以现金方式累计分配的利润不少于最近三年实现的年均可供分配利润的</w:t>
      </w:r>
      <w:r>
        <w:rPr>
          <w:rFonts w:ascii="Times New Roman" w:hAnsi="Times New Roman" w:cs="Times New Roman" w:eastAsia="Times New Roman" w:hint="default"/>
        </w:rPr>
        <w:t>30%</w:t>
      </w:r>
      <w:r>
        <w:rPr/>
        <w:t>。</w:t>
      </w:r>
    </w:p>
    <w:p>
      <w:pPr>
        <w:pStyle w:val="BodyText"/>
        <w:spacing w:line="240" w:lineRule="auto" w:before="133"/>
        <w:ind w:left="633" w:right="0"/>
        <w:jc w:val="left"/>
      </w:pPr>
      <w:r>
        <w:rPr/>
        <w:t>（</w:t>
      </w:r>
      <w:r>
        <w:rPr>
          <w:rFonts w:ascii="Times New Roman" w:hAnsi="Times New Roman" w:cs="Times New Roman" w:eastAsia="Times New Roman" w:hint="default"/>
        </w:rPr>
        <w:t>4</w:t>
      </w:r>
      <w:r>
        <w:rPr/>
        <w:t>）发放股票股利的具体条件</w:t>
      </w:r>
    </w:p>
    <w:p>
      <w:pPr>
        <w:spacing w:line="240" w:lineRule="auto" w:before="13"/>
        <w:rPr>
          <w:rFonts w:ascii="宋体" w:hAnsi="宋体" w:cs="宋体" w:eastAsia="宋体" w:hint="default"/>
          <w:sz w:val="13"/>
          <w:szCs w:val="13"/>
        </w:rPr>
      </w:pPr>
    </w:p>
    <w:p>
      <w:pPr>
        <w:pStyle w:val="BodyText"/>
        <w:spacing w:line="316" w:lineRule="auto"/>
        <w:ind w:left="154" w:right="153" w:firstLine="480"/>
        <w:jc w:val="both"/>
      </w:pPr>
      <w:r>
        <w:rPr>
          <w:spacing w:val="-1"/>
        </w:rPr>
        <w:t>公司在经营情况良好，并且董事会认为公司股票价格与公司股本规模不匹配、发放股票股利有利于公司全体股东整体</w:t>
      </w:r>
      <w:r>
        <w:rPr/>
        <w:t> 利益时，可以在满足上述现金分红的条件下，提出股票股利分配预案。</w:t>
      </w:r>
    </w:p>
    <w:p>
      <w:pPr>
        <w:pStyle w:val="BodyText"/>
        <w:spacing w:line="240" w:lineRule="auto" w:before="139"/>
        <w:ind w:left="634" w:right="0"/>
        <w:jc w:val="left"/>
      </w:pPr>
      <w:r>
        <w:rPr/>
        <w:t>公司采取股票或者现金股票相结合的方式分配利润时，需经公司股东大会以特别决议方式审议通过。</w:t>
      </w:r>
    </w:p>
    <w:p>
      <w:pPr>
        <w:pStyle w:val="BodyText"/>
        <w:spacing w:line="420" w:lineRule="atLeast" w:before="25"/>
        <w:ind w:left="634" w:right="0"/>
        <w:jc w:val="left"/>
      </w:pPr>
      <w:r>
        <w:rPr/>
        <w:t>（</w:t>
      </w:r>
      <w:r>
        <w:rPr>
          <w:rFonts w:ascii="Times New Roman" w:hAnsi="Times New Roman" w:cs="Times New Roman" w:eastAsia="Times New Roman" w:hint="default"/>
        </w:rPr>
        <w:t>5</w:t>
      </w:r>
      <w:r>
        <w:rPr/>
        <w:t>）利润分配的时间间隔 </w:t>
      </w:r>
      <w:r>
        <w:rPr>
          <w:spacing w:val="-1"/>
        </w:rPr>
        <w:t>在满足现金分红条件的情况下，公司将积极采取现金方式分配股利，公司原则上每年度进行一次现金分红；公司董事</w:t>
      </w:r>
    </w:p>
    <w:p>
      <w:pPr>
        <w:pStyle w:val="BodyText"/>
        <w:spacing w:line="240" w:lineRule="auto" w:before="77"/>
        <w:ind w:left="154" w:right="0"/>
        <w:jc w:val="left"/>
      </w:pPr>
      <w:r>
        <w:rPr/>
        <w:t>会可以根据公司盈利情况及资金需求状况提议公司进行中期现金分红。</w:t>
      </w:r>
    </w:p>
    <w:p>
      <w:pPr>
        <w:pStyle w:val="BodyText"/>
        <w:spacing w:line="420" w:lineRule="atLeast" w:before="25"/>
        <w:ind w:left="634" w:right="0"/>
        <w:jc w:val="left"/>
      </w:pPr>
      <w:r>
        <w:rPr/>
        <w:t>（</w:t>
      </w:r>
      <w:r>
        <w:rPr>
          <w:rFonts w:ascii="Times New Roman" w:hAnsi="Times New Roman" w:cs="Times New Roman" w:eastAsia="Times New Roman" w:hint="default"/>
        </w:rPr>
        <w:t>6</w:t>
      </w:r>
      <w:r>
        <w:rPr/>
        <w:t>）现金分红政策 </w:t>
      </w:r>
      <w:r>
        <w:rPr>
          <w:spacing w:val="-1"/>
        </w:rPr>
        <w:t>董事会应当综合考虑公司所处行业特点、发展阶段、经营模式、盈利水平以及是否有重大资金支出安排等因素，区分</w:t>
      </w:r>
    </w:p>
    <w:p>
      <w:pPr>
        <w:pStyle w:val="BodyText"/>
        <w:spacing w:line="240" w:lineRule="auto" w:before="76"/>
        <w:ind w:left="154" w:right="0"/>
        <w:jc w:val="left"/>
      </w:pPr>
      <w:r>
        <w:rPr/>
        <w:t>下列情形，并按照本章程规定的程序，提出差异化的现金分红政策：</w:t>
      </w:r>
    </w:p>
    <w:p>
      <w:pPr>
        <w:spacing w:line="240" w:lineRule="auto" w:before="0"/>
        <w:rPr>
          <w:rFonts w:ascii="宋体" w:hAnsi="宋体" w:cs="宋体" w:eastAsia="宋体" w:hint="default"/>
          <w:sz w:val="15"/>
          <w:szCs w:val="15"/>
        </w:rPr>
      </w:pPr>
    </w:p>
    <w:p>
      <w:pPr>
        <w:pStyle w:val="BodyText"/>
        <w:spacing w:line="300" w:lineRule="auto"/>
        <w:ind w:left="154" w:right="153" w:firstLine="480"/>
        <w:jc w:val="both"/>
      </w:pP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 达到</w:t>
      </w:r>
      <w:r>
        <w:rPr>
          <w:rFonts w:ascii="Times New Roman" w:hAnsi="Times New Roman" w:cs="Times New Roman" w:eastAsia="Times New Roman" w:hint="default"/>
        </w:rPr>
        <w:t>80%</w:t>
      </w:r>
      <w:r>
        <w:rPr/>
        <w:t>；</w:t>
      </w:r>
    </w:p>
    <w:p>
      <w:pPr>
        <w:pStyle w:val="BodyText"/>
        <w:spacing w:line="300" w:lineRule="auto" w:before="133"/>
        <w:ind w:left="154" w:right="157" w:firstLine="480"/>
        <w:jc w:val="both"/>
      </w:pP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 达到</w:t>
      </w:r>
      <w:r>
        <w:rPr>
          <w:rFonts w:ascii="Times New Roman" w:hAnsi="Times New Roman" w:cs="Times New Roman" w:eastAsia="Times New Roman" w:hint="default"/>
        </w:rPr>
        <w:t>40%</w:t>
      </w:r>
      <w:r>
        <w:rPr/>
        <w:t>；</w:t>
      </w:r>
    </w:p>
    <w:p>
      <w:pPr>
        <w:pStyle w:val="BodyText"/>
        <w:spacing w:line="300" w:lineRule="auto" w:before="133"/>
        <w:ind w:left="154" w:right="157" w:firstLine="480"/>
        <w:jc w:val="both"/>
      </w:pP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 达到</w:t>
      </w:r>
      <w:r>
        <w:rPr>
          <w:rFonts w:ascii="Times New Roman" w:hAnsi="Times New Roman" w:cs="Times New Roman" w:eastAsia="Times New Roman" w:hint="default"/>
        </w:rPr>
        <w:t>20%</w:t>
      </w:r>
      <w:r>
        <w:rPr/>
        <w:t>；</w:t>
      </w:r>
    </w:p>
    <w:p>
      <w:pPr>
        <w:pStyle w:val="BodyText"/>
        <w:spacing w:line="439" w:lineRule="auto" w:before="133"/>
        <w:ind w:left="633" w:right="3353"/>
        <w:jc w:val="left"/>
      </w:pPr>
      <w:r>
        <w:rPr/>
        <w:t>公司发展阶段不易区分但有重大资金支出安排的，可以按照前项规定处理。 公司所处发展阶段由董事会根据具体情形确定。 二、公司利润分配方案的决策程序和实施</w:t>
      </w:r>
    </w:p>
    <w:p>
      <w:pPr>
        <w:pStyle w:val="BodyText"/>
        <w:spacing w:line="240" w:lineRule="auto" w:before="47"/>
        <w:ind w:left="634" w:right="0"/>
        <w:jc w:val="left"/>
      </w:pPr>
      <w:r>
        <w:rPr/>
        <w:t>（</w:t>
      </w:r>
      <w:r>
        <w:rPr>
          <w:rFonts w:ascii="Times New Roman" w:hAnsi="Times New Roman" w:cs="Times New Roman" w:eastAsia="Times New Roman" w:hint="default"/>
        </w:rPr>
        <w:t>1</w:t>
      </w:r>
      <w:r>
        <w:rPr/>
        <w:t>）利润分配方案的决策程序</w:t>
      </w:r>
    </w:p>
    <w:p>
      <w:pPr>
        <w:pStyle w:val="BodyText"/>
        <w:spacing w:line="430" w:lineRule="atLeast" w:before="2"/>
        <w:ind w:left="633" w:right="0"/>
        <w:jc w:val="left"/>
      </w:pPr>
      <w:r>
        <w:rPr>
          <w:rFonts w:ascii="Times New Roman" w:hAnsi="Times New Roman" w:cs="Times New Roman" w:eastAsia="Times New Roman" w:hint="default"/>
        </w:rPr>
        <w:t>1</w:t>
      </w:r>
      <w:r>
        <w:rPr/>
        <w:t>、董事会的研究论证程序和决策机制 </w:t>
      </w:r>
      <w:r>
        <w:rPr>
          <w:spacing w:val="-1"/>
        </w:rPr>
        <w:t>在公司董事会制定利润分配方案的</w:t>
      </w:r>
      <w:r>
        <w:rPr>
          <w:rFonts w:ascii="Times New Roman" w:hAnsi="Times New Roman" w:cs="Times New Roman" w:eastAsia="Times New Roman" w:hint="default"/>
          <w:spacing w:val="-1"/>
        </w:rPr>
        <w:t>20</w:t>
      </w:r>
      <w:r>
        <w:rPr>
          <w:spacing w:val="-1"/>
        </w:rPr>
        <w:t>日前，公司董事会将发布提示性公告，公开征询社会公众投资者对本次利润分配</w:t>
      </w:r>
    </w:p>
    <w:p>
      <w:pPr>
        <w:pStyle w:val="BodyText"/>
        <w:spacing w:line="316" w:lineRule="auto" w:before="63"/>
        <w:ind w:left="153" w:right="0"/>
        <w:jc w:val="left"/>
      </w:pPr>
      <w:r>
        <w:rPr>
          <w:spacing w:val="-2"/>
        </w:rPr>
        <w:t>方案的意见，投资者可以通过电话、信件、深圳证券交易所互动平台、公司网站等方式参与。证券事务部应做好记录并整理</w:t>
      </w:r>
      <w:r>
        <w:rPr>
          <w:spacing w:val="-66"/>
        </w:rPr>
        <w:t> </w:t>
      </w:r>
      <w:r>
        <w:rPr>
          <w:spacing w:val="-66"/>
        </w:rPr>
      </w:r>
      <w:r>
        <w:rPr/>
        <w:t>投资者意见，提交公司董事会、监事会。</w:t>
      </w:r>
    </w:p>
    <w:p>
      <w:pPr>
        <w:spacing w:after="0" w:line="316" w:lineRule="auto"/>
        <w:jc w:val="left"/>
        <w:sectPr>
          <w:pgSz w:w="11910" w:h="16840"/>
          <w:pgMar w:header="851" w:footer="979" w:top="1320" w:bottom="1160" w:left="980" w:right="980"/>
        </w:sectPr>
      </w:pPr>
    </w:p>
    <w:p>
      <w:pPr>
        <w:pStyle w:val="BodyText"/>
        <w:spacing w:line="316" w:lineRule="auto" w:before="114"/>
        <w:ind w:left="154" w:right="193" w:firstLine="480"/>
        <w:jc w:val="both"/>
      </w:pPr>
      <w:r>
        <w:rPr>
          <w:spacing w:val="-1"/>
        </w:rPr>
        <w:t>公司董事会在制定和讨论利润分配方案时，需事先书面征询全部独立董事和外部监事的意见，董事会制定的利润分配</w:t>
      </w:r>
      <w:r>
        <w:rPr/>
        <w:t> 方案需征得</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以上独立董事同意且经全体董事过半数表决通过。</w:t>
      </w:r>
    </w:p>
    <w:p>
      <w:pPr>
        <w:pStyle w:val="BodyText"/>
        <w:spacing w:line="319" w:lineRule="auto" w:before="119"/>
        <w:ind w:left="154" w:right="191" w:firstLine="480"/>
        <w:jc w:val="both"/>
      </w:pPr>
      <w:r>
        <w:rPr>
          <w:spacing w:val="-1"/>
        </w:rPr>
        <w:t>公司董事会审议现金分红具体方案时，应当认真研究和论证公司现金分红的时机、条件和最低比例、调整的条件及其</w:t>
      </w:r>
      <w:r>
        <w:rPr/>
        <w:t> </w:t>
      </w:r>
      <w:r>
        <w:rPr>
          <w:spacing w:val="-2"/>
        </w:rPr>
        <w:t>决策程序要求等事宜，独立董事应当发表明确意见并公开披露。董事会在决策和形成利润分配预案时，要详细记录管理层建</w:t>
      </w:r>
      <w:r>
        <w:rPr>
          <w:spacing w:val="-66"/>
        </w:rPr>
        <w:t> </w:t>
      </w:r>
      <w:r>
        <w:rPr>
          <w:spacing w:val="-66"/>
        </w:rPr>
      </w:r>
      <w:r>
        <w:rPr>
          <w:spacing w:val="-2"/>
        </w:rPr>
        <w:t>议、参会董事的发言要点、独立董事意见、董事会投票表决情况等内容，并形成书面记录作为公司档案妥善保存。独立董事</w:t>
      </w:r>
      <w:r>
        <w:rPr>
          <w:spacing w:val="-66"/>
        </w:rPr>
        <w:t> </w:t>
      </w:r>
      <w:r>
        <w:rPr>
          <w:spacing w:val="-66"/>
        </w:rPr>
      </w:r>
      <w:r>
        <w:rPr/>
        <w:t>可以征集中小股东的意见，提出分红提案，并直接提交董事会审议。</w:t>
      </w:r>
    </w:p>
    <w:p>
      <w:pPr>
        <w:pStyle w:val="BodyText"/>
        <w:spacing w:line="432" w:lineRule="exact" w:before="1"/>
        <w:ind w:left="633" w:right="92"/>
        <w:jc w:val="left"/>
      </w:pPr>
      <w:r>
        <w:rPr>
          <w:rFonts w:ascii="Times New Roman" w:hAnsi="Times New Roman" w:cs="Times New Roman" w:eastAsia="Times New Roman" w:hint="default"/>
        </w:rPr>
        <w:t>2</w:t>
      </w:r>
      <w:r>
        <w:rPr/>
        <w:t>、监事会的研究论证程序和决策机制 </w:t>
      </w:r>
      <w:r>
        <w:rPr>
          <w:spacing w:val="-1"/>
        </w:rPr>
        <w:t>监事会应对董事会和管理层执行公司利润分配政策和股东回报规划的情况及决策程序进行监督。公司监事会在审议利</w:t>
      </w:r>
    </w:p>
    <w:p>
      <w:pPr>
        <w:pStyle w:val="BodyText"/>
        <w:spacing w:line="316" w:lineRule="auto" w:before="15"/>
        <w:ind w:left="153" w:right="92"/>
        <w:jc w:val="left"/>
      </w:pPr>
      <w:r>
        <w:rPr>
          <w:spacing w:val="-2"/>
        </w:rPr>
        <w:t>润分配方案时，应充分考虑公众投资者对利润分配的意见，充分听取外部监事的意见，在全部外部监事对利润分配方案同意</w:t>
      </w:r>
      <w:r>
        <w:rPr>
          <w:spacing w:val="-66"/>
        </w:rPr>
        <w:t> </w:t>
      </w:r>
      <w:r>
        <w:rPr>
          <w:spacing w:val="-66"/>
        </w:rPr>
      </w:r>
      <w:r>
        <w:rPr/>
        <w:t>的基础上，需经全体监事过半数以上表决通过。</w:t>
      </w:r>
    </w:p>
    <w:p>
      <w:pPr>
        <w:pStyle w:val="BodyText"/>
        <w:spacing w:line="432" w:lineRule="exact" w:before="3"/>
        <w:ind w:left="633" w:right="92"/>
        <w:jc w:val="left"/>
      </w:pPr>
      <w:r>
        <w:rPr>
          <w:rFonts w:ascii="Times New Roman" w:hAnsi="Times New Roman" w:cs="Times New Roman" w:eastAsia="Times New Roman" w:hint="default"/>
        </w:rPr>
        <w:t>3</w:t>
      </w:r>
      <w:r>
        <w:rPr/>
        <w:t>、股东大会的研究论证程序和决策机制 利润分配方案经董事会、监事会审议通过后，由董事会提议召开股东大会审议批准。 </w:t>
      </w:r>
      <w:r>
        <w:rPr>
          <w:spacing w:val="-1"/>
        </w:rPr>
        <w:t>股东大会在审议利润分配方案时，公司董事会指派一名董事向股东大会汇报制定该利润分配方案时的论证过程和决策</w:t>
      </w:r>
    </w:p>
    <w:p>
      <w:pPr>
        <w:pStyle w:val="BodyText"/>
        <w:spacing w:line="240" w:lineRule="auto" w:before="15"/>
        <w:ind w:left="153" w:right="0"/>
        <w:jc w:val="left"/>
      </w:pPr>
      <w:r>
        <w:rPr/>
        <w:t>程序，以及公司证券事务部整理的投资者意见。利润分配方案需经参加股东大会的股东所持表决权的过半数以上表决通过。</w:t>
      </w:r>
    </w:p>
    <w:p>
      <w:pPr>
        <w:spacing w:line="240" w:lineRule="auto" w:before="0"/>
        <w:rPr>
          <w:rFonts w:ascii="宋体" w:hAnsi="宋体" w:cs="宋体" w:eastAsia="宋体" w:hint="default"/>
          <w:sz w:val="15"/>
          <w:szCs w:val="15"/>
        </w:rPr>
      </w:pPr>
    </w:p>
    <w:p>
      <w:pPr>
        <w:pStyle w:val="BodyText"/>
        <w:spacing w:line="316" w:lineRule="auto"/>
        <w:ind w:left="154" w:right="190" w:firstLine="480"/>
        <w:jc w:val="both"/>
      </w:pPr>
      <w:r>
        <w:rPr>
          <w:spacing w:val="-1"/>
        </w:rPr>
        <w:t>股东大会对利润分配方案进行审议时，可为股东提供网络投票方式，并应当通过多种渠道主动与股东特别是中小股东</w:t>
      </w:r>
      <w:r>
        <w:rPr/>
        <w:t> </w:t>
      </w:r>
      <w:r>
        <w:rPr>
          <w:spacing w:val="-2"/>
        </w:rPr>
        <w:t>进行沟通和交流（包括但不限于电话沟通、筹划股东接待日或邀请中小股东参会等），充分听取中小股东的意见和诉求，并</w:t>
      </w:r>
      <w:r>
        <w:rPr>
          <w:spacing w:val="-66"/>
        </w:rPr>
        <w:t> </w:t>
      </w:r>
      <w:r>
        <w:rPr>
          <w:spacing w:val="-66"/>
        </w:rPr>
      </w:r>
      <w:r>
        <w:rPr/>
        <w:t>及时答复中小股东关心的问题。</w:t>
      </w:r>
    </w:p>
    <w:p>
      <w:pPr>
        <w:pStyle w:val="BodyText"/>
        <w:spacing w:line="300" w:lineRule="auto" w:before="139"/>
        <w:ind w:left="154" w:right="197" w:firstLine="480"/>
        <w:jc w:val="both"/>
      </w:pPr>
      <w:r>
        <w:rPr>
          <w:rFonts w:ascii="Times New Roman" w:hAnsi="Times New Roman" w:cs="Times New Roman" w:eastAsia="Times New Roman" w:hint="default"/>
        </w:rPr>
        <w:t>4</w:t>
      </w:r>
      <w:r>
        <w:rPr/>
        <w:t>、公司应当在年度报告中详细披露利润分配方案。对利润分配政策进行调整或变更的，还应对调整或变更的条件及 程序是否合规和透明等进行详细说明。</w:t>
      </w:r>
    </w:p>
    <w:p>
      <w:pPr>
        <w:pStyle w:val="BodyText"/>
        <w:spacing w:line="300" w:lineRule="auto" w:before="152"/>
        <w:ind w:left="154" w:right="197" w:firstLine="480"/>
        <w:jc w:val="both"/>
      </w:pPr>
      <w:r>
        <w:rPr>
          <w:rFonts w:ascii="Times New Roman" w:hAnsi="Times New Roman" w:cs="Times New Roman" w:eastAsia="Times New Roman" w:hint="default"/>
        </w:rPr>
        <w:t>5</w:t>
      </w:r>
      <w:r>
        <w:rPr/>
        <w:t>、公司董事会负有提出现金分红提案的义务，对当年实现的可分配利润中未分配部分，董事会应说明使用计划安排 或原则。</w:t>
      </w:r>
    </w:p>
    <w:p>
      <w:pPr>
        <w:pStyle w:val="BodyText"/>
        <w:spacing w:line="300" w:lineRule="auto" w:before="151"/>
        <w:ind w:left="154" w:right="197" w:firstLine="480"/>
        <w:jc w:val="both"/>
      </w:pPr>
      <w:r>
        <w:rPr>
          <w:rFonts w:ascii="Times New Roman" w:hAnsi="Times New Roman" w:cs="Times New Roman" w:eastAsia="Times New Roman" w:hint="default"/>
        </w:rPr>
        <w:t>6</w:t>
      </w:r>
      <w:r>
        <w:rPr/>
        <w:t>、公司在年度报告期内有能力现金分红但不进行现金分红或分红水平较低的，应当在定期报告中披露原因，独立董 事对未进行现金分红或现金分红水平较低的合理性发表独立意见。</w:t>
      </w:r>
    </w:p>
    <w:p>
      <w:pPr>
        <w:pStyle w:val="BodyText"/>
        <w:spacing w:line="427" w:lineRule="auto" w:before="151"/>
        <w:ind w:left="633" w:right="333"/>
        <w:jc w:val="left"/>
      </w:pPr>
      <w:r>
        <w:rPr/>
        <w:t>（</w:t>
      </w:r>
      <w:r>
        <w:rPr>
          <w:rFonts w:ascii="Times New Roman" w:hAnsi="Times New Roman" w:cs="Times New Roman" w:eastAsia="Times New Roman" w:hint="default"/>
        </w:rPr>
        <w:t>2</w:t>
      </w:r>
      <w:r>
        <w:rPr/>
        <w:t>）公司利润分配方案的实施 公司股东大会对利润分配方案作出决议后，董事会须在股东大会召开后两个月内完成股利（或股份）的派发事项。 三、公司利润分配政策的制定和调整</w:t>
      </w:r>
    </w:p>
    <w:p>
      <w:pPr>
        <w:pStyle w:val="BodyText"/>
        <w:spacing w:line="300" w:lineRule="auto" w:before="56"/>
        <w:ind w:left="153" w:right="197" w:firstLine="480"/>
        <w:jc w:val="both"/>
      </w:pPr>
      <w:r>
        <w:rPr/>
        <w:t>（</w:t>
      </w:r>
      <w:r>
        <w:rPr>
          <w:rFonts w:ascii="Times New Roman" w:hAnsi="Times New Roman" w:cs="Times New Roman" w:eastAsia="Times New Roman" w:hint="default"/>
        </w:rPr>
        <w:t>1</w:t>
      </w:r>
      <w:r>
        <w:rPr/>
        <w:t>）公司的利润分配政策的制定应当着眼于公司的长远和可持续发展，在综合分析公司经营发展实际、股东要求和 意愿、社会资金成本、外部融资环境等因素的基础上，建立对股东持续、稳定、科学的回报机制。</w:t>
      </w:r>
    </w:p>
    <w:p>
      <w:pPr>
        <w:pStyle w:val="BodyText"/>
        <w:spacing w:line="309" w:lineRule="auto" w:before="151"/>
        <w:ind w:left="153" w:right="191" w:firstLine="480"/>
        <w:jc w:val="both"/>
      </w:pPr>
      <w:r>
        <w:rPr/>
        <w:t>（</w:t>
      </w:r>
      <w:r>
        <w:rPr>
          <w:rFonts w:ascii="Times New Roman" w:hAnsi="Times New Roman" w:cs="Times New Roman" w:eastAsia="Times New Roman" w:hint="default"/>
        </w:rPr>
        <w:t>2</w:t>
      </w:r>
      <w:r>
        <w:rPr/>
        <w:t>）公司根据生产经营情况、投资规划和长期发展的需要以及外部经营环境，结合股东（特别是公众投资者）、独 </w:t>
      </w:r>
      <w:r>
        <w:rPr>
          <w:spacing w:val="-2"/>
        </w:rPr>
        <w:t>立董事和监事的意见，经过详细论证，确需调整利润分配政策的，可调整利润分配政策，但是调整后的利润分配政策不得违</w:t>
      </w:r>
      <w:r>
        <w:rPr>
          <w:spacing w:val="-66"/>
        </w:rPr>
        <w:t> </w:t>
      </w:r>
      <w:r>
        <w:rPr>
          <w:spacing w:val="-66"/>
        </w:rPr>
      </w:r>
      <w:r>
        <w:rPr/>
        <w:t>反中国证监会和证券交易所的有关规定。</w:t>
      </w:r>
    </w:p>
    <w:p>
      <w:pPr>
        <w:pStyle w:val="BodyText"/>
        <w:spacing w:line="240" w:lineRule="auto" w:before="144"/>
        <w:ind w:left="633" w:right="5193"/>
        <w:jc w:val="left"/>
      </w:pPr>
      <w:r>
        <w:rPr/>
        <w:t>（</w:t>
      </w:r>
      <w:r>
        <w:rPr>
          <w:rFonts w:ascii="Times New Roman" w:hAnsi="Times New Roman" w:cs="Times New Roman" w:eastAsia="Times New Roman" w:hint="default"/>
        </w:rPr>
        <w:t>3</w:t>
      </w:r>
      <w:r>
        <w:rPr/>
        <w:t>）公司利润分配政策的制定和调整程序</w:t>
      </w:r>
    </w:p>
    <w:p>
      <w:pPr>
        <w:spacing w:line="240" w:lineRule="auto" w:before="13"/>
        <w:rPr>
          <w:rFonts w:ascii="宋体" w:hAnsi="宋体" w:cs="宋体" w:eastAsia="宋体" w:hint="default"/>
          <w:sz w:val="13"/>
          <w:szCs w:val="13"/>
        </w:rPr>
      </w:pPr>
    </w:p>
    <w:p>
      <w:pPr>
        <w:pStyle w:val="BodyText"/>
        <w:spacing w:line="240" w:lineRule="auto"/>
        <w:ind w:left="634" w:right="9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、董事会做出专题论述，详细论证利润分配政策的制定和调整理由，形成书面论证报告</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15"/>
          <w:szCs w:val="15"/>
        </w:rPr>
      </w:pPr>
    </w:p>
    <w:p>
      <w:pPr>
        <w:pStyle w:val="BodyText"/>
        <w:spacing w:line="300" w:lineRule="auto"/>
        <w:ind w:left="154" w:right="197" w:firstLine="480"/>
        <w:jc w:val="both"/>
      </w:pPr>
      <w:r>
        <w:rPr>
          <w:rFonts w:ascii="Times New Roman" w:hAnsi="Times New Roman" w:cs="Times New Roman" w:eastAsia="Times New Roman" w:hint="default"/>
        </w:rPr>
        <w:t>2</w:t>
      </w:r>
      <w:r>
        <w:rPr/>
        <w:t>、利润分配政策的制定和调整的议案在提交董事会讨论前，需经全体独立董事的过半数同意并形成书面审核意见； 董事会审议时，应经全体董事的过半数通过并形成决议。</w:t>
      </w:r>
    </w:p>
    <w:p>
      <w:pPr>
        <w:pStyle w:val="BodyText"/>
        <w:spacing w:line="240" w:lineRule="auto" w:before="151"/>
        <w:ind w:left="634" w:right="92"/>
        <w:jc w:val="left"/>
      </w:pPr>
      <w:r>
        <w:rPr>
          <w:rFonts w:ascii="Times New Roman" w:hAnsi="Times New Roman" w:cs="Times New Roman" w:eastAsia="Times New Roman" w:hint="default"/>
        </w:rPr>
        <w:t>3</w:t>
      </w:r>
      <w:r>
        <w:rPr/>
        <w:t>、利润分配政策的制定和调整的议案应经全体监事的过半数通过并形成书面审核意见。</w:t>
      </w:r>
    </w:p>
    <w:p>
      <w:pPr>
        <w:spacing w:line="240" w:lineRule="auto" w:before="13"/>
        <w:rPr>
          <w:rFonts w:ascii="宋体" w:hAnsi="宋体" w:cs="宋体" w:eastAsia="宋体" w:hint="default"/>
          <w:sz w:val="13"/>
          <w:szCs w:val="13"/>
        </w:rPr>
      </w:pPr>
    </w:p>
    <w:p>
      <w:pPr>
        <w:pStyle w:val="BodyText"/>
        <w:spacing w:line="240" w:lineRule="auto"/>
        <w:ind w:left="634" w:right="92"/>
        <w:jc w:val="left"/>
      </w:pPr>
      <w:r>
        <w:rPr>
          <w:rFonts w:ascii="Times New Roman" w:hAnsi="Times New Roman" w:cs="Times New Roman" w:eastAsia="Times New Roman" w:hint="default"/>
        </w:rPr>
        <w:t>4</w:t>
      </w:r>
      <w:r>
        <w:rPr/>
        <w:t>、利润分配政策的制定和调整的议案经董事会、监事会审议通过后，由董事会提议召开股东大会审议批准；利润分</w:t>
      </w:r>
    </w:p>
    <w:p>
      <w:pPr>
        <w:spacing w:after="0" w:line="240" w:lineRule="auto"/>
        <w:jc w:val="left"/>
        <w:sectPr>
          <w:pgSz w:w="11910" w:h="16840"/>
          <w:pgMar w:header="851" w:footer="979" w:top="1320" w:bottom="1160" w:left="980" w:right="940"/>
        </w:sectPr>
      </w:pPr>
    </w:p>
    <w:p>
      <w:pPr>
        <w:pStyle w:val="BodyText"/>
        <w:spacing w:line="316" w:lineRule="auto" w:before="114"/>
        <w:ind w:left="154" w:right="191"/>
        <w:jc w:val="both"/>
      </w:pPr>
      <w:r>
        <w:rPr>
          <w:spacing w:val="-2"/>
        </w:rPr>
        <w:t>配政策制定的议案应当由出席股东大会的股东（包括股东代理人）所持表决权的二分之一以上通过，利润分配政策调整的议</w:t>
      </w:r>
      <w:r>
        <w:rPr>
          <w:spacing w:val="-66"/>
        </w:rPr>
        <w:t> </w:t>
      </w:r>
      <w:r>
        <w:rPr>
          <w:spacing w:val="-66"/>
        </w:rPr>
      </w:r>
      <w:r>
        <w:rPr>
          <w:spacing w:val="-2"/>
        </w:rPr>
        <w:t>案应当由出席股东大会的股东（包括股东代理人）所持表决权的三分之二以上通过。股东大会除现场会议投票外，公司还应</w:t>
      </w:r>
      <w:r>
        <w:rPr>
          <w:spacing w:val="-66"/>
        </w:rPr>
        <w:t> </w:t>
      </w:r>
      <w:r>
        <w:rPr>
          <w:spacing w:val="-66"/>
        </w:rPr>
      </w:r>
      <w:r>
        <w:rPr/>
        <w:t>当向股东提供股东大会网络投票系统；股东大会股权登记日登记在册的所有股东，均有权通过网络投票系统行使表决权。</w:t>
      </w:r>
    </w:p>
    <w:p>
      <w:pPr>
        <w:pStyle w:val="BodyText"/>
        <w:spacing w:line="432" w:lineRule="exact" w:before="3"/>
        <w:ind w:left="633" w:right="92"/>
        <w:jc w:val="left"/>
      </w:pPr>
      <w:r>
        <w:rPr/>
        <w:t>四、公司的股东分红回报规划 在既定的利润分配政策下，公司应着眼长远和可持续发展，综合考虑经营发展实际需要、盈利规模、现金流量状况、</w:t>
      </w:r>
    </w:p>
    <w:p>
      <w:pPr>
        <w:pStyle w:val="BodyText"/>
        <w:spacing w:line="316" w:lineRule="auto" w:before="15"/>
        <w:ind w:left="153" w:right="191"/>
        <w:jc w:val="both"/>
      </w:pPr>
      <w:r>
        <w:rPr>
          <w:spacing w:val="-2"/>
        </w:rPr>
        <w:t>所处发展阶段、股东要求和意愿、融资环境等因素，制定未来三年的股东分红回报规划，明确公司的利润分配目标和股东的</w:t>
      </w:r>
      <w:r>
        <w:rPr>
          <w:spacing w:val="-66"/>
        </w:rPr>
        <w:t> </w:t>
      </w:r>
      <w:r>
        <w:rPr>
          <w:spacing w:val="-66"/>
        </w:rPr>
      </w:r>
      <w:r>
        <w:rPr/>
        <w:t>利润分配预期。</w:t>
      </w:r>
    </w:p>
    <w:p>
      <w:pPr>
        <w:pStyle w:val="BodyText"/>
        <w:spacing w:line="316" w:lineRule="auto" w:before="139"/>
        <w:ind w:left="153" w:right="92" w:firstLine="480"/>
        <w:jc w:val="left"/>
      </w:pPr>
      <w:r>
        <w:rPr>
          <w:spacing w:val="-1"/>
        </w:rPr>
        <w:t>股东分红回报规划由董事会制定及修改。董事会审议有关公司股东分红回报规划制定和修改的议案，需经全体董事的</w:t>
      </w:r>
      <w:r>
        <w:rPr/>
        <w:t> 过半数通过并经全体独立董事的过半数通过。</w:t>
      </w:r>
    </w:p>
    <w:p>
      <w:pPr>
        <w:pStyle w:val="BodyText"/>
        <w:spacing w:line="240" w:lineRule="auto" w:before="139"/>
        <w:ind w:left="633" w:right="92"/>
        <w:jc w:val="left"/>
      </w:pPr>
      <w:r>
        <w:rPr/>
        <w:t>经公司董事会审议通过的股东分红回报规划，应在公司年度报告中予以披露。</w:t>
      </w: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符合公司章程的规定，并按照股东大会决议的要求严格执行</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明确、清晰</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公司董事会、股东大会已经审议通过，决策程序与机制完备</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中小股东的合法权益未受侵害</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合规、透明</w:t>
            </w:r>
          </w:p>
        </w:tc>
      </w:tr>
    </w:tbl>
    <w:p>
      <w:pPr>
        <w:pStyle w:val="BodyText"/>
        <w:spacing w:line="240" w:lineRule="auto" w:before="51"/>
        <w:ind w:left="154" w:right="92"/>
        <w:jc w:val="left"/>
      </w:pPr>
      <w:r>
        <w:rPr/>
        <w:t>公司报告期利润分配预案及资本公积金转增股本预案与公司章程和分红管理办法等的相关规定一致</w:t>
      </w:r>
    </w:p>
    <w:p>
      <w:pPr>
        <w:pStyle w:val="BodyText"/>
        <w:spacing w:line="348" w:lineRule="auto" w:before="117"/>
        <w:ind w:left="153" w:right="3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200"/>
        <w:jc w:val="right"/>
      </w:pPr>
      <w:r>
        <w:rPr/>
        <w:pict>
          <v:shape style="position:absolute;margin-left:57.029999pt;margin-top:-217.468277pt;width:478.6pt;height:252.8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145,048,376.64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经德勤华永会计师事务所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审计确认，公司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年母公司实现净利润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161,164,862.93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元。根据《上市</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公司监管指引第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上市公司现金分红》和《公司章程》的有关规定，按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16,116,486.29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年实现可分配利润为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145,048,376.64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footerReference w:type="default" r:id="rId14"/>
          <w:pgSz w:w="11910" w:h="16840"/>
          <w:pgMar w:footer="979" w:header="851" w:top="1320" w:bottom="1160" w:left="980" w:right="940"/>
          <w:pgNumType w:start="21"/>
        </w:sectPr>
      </w:pPr>
    </w:p>
    <w:p>
      <w:pPr>
        <w:spacing w:line="240" w:lineRule="auto" w:before="4"/>
        <w:rPr>
          <w:rFonts w:ascii="宋体" w:hAnsi="宋体" w:cs="宋体" w:eastAsia="宋体" w:hint="default"/>
          <w:sz w:val="8"/>
          <w:szCs w:val="8"/>
        </w:rPr>
      </w:pPr>
    </w:p>
    <w:p>
      <w:pPr>
        <w:spacing w:line="986" w:lineRule="exact"/>
        <w:ind w:left="154"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45pt;height:49.35pt;mso-position-horizontal-relative:char;mso-position-vertical-relative:line" type="#_x0000_t202" filled="false" stroked="true" strokeweight=".48pt" strokecolor="#000000">
            <w10:anchorlock/>
            <v:textbox inset="0,0,0,0">
              <w:txbxContent>
                <w:p>
                  <w:pPr>
                    <w:pStyle w:val="BodyText"/>
                    <w:spacing w:line="240" w:lineRule="auto" w:before="10"/>
                    <w:ind w:left="382" w:right="0"/>
                    <w:jc w:val="left"/>
                  </w:pPr>
                  <w:r>
                    <w:rPr/>
                    <w:t>结合公司发展与资金需求的现状，并结合行业特点，公司董事会提出</w:t>
                  </w:r>
                  <w:r>
                    <w:rPr>
                      <w:spacing w:val="-45"/>
                    </w:rPr>
                    <w:t> </w:t>
                  </w:r>
                  <w:r>
                    <w:rPr>
                      <w:rFonts w:ascii="Times New Roman" w:hAnsi="Times New Roman" w:cs="Times New Roman" w:eastAsia="Times New Roman" w:hint="default"/>
                    </w:rPr>
                    <w:t>2014  </w:t>
                  </w:r>
                  <w:r>
                    <w:rPr/>
                    <w:t>年度利润分配预案：以公司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p>
                <w:p>
                  <w:pPr>
                    <w:pStyle w:val="BodyText"/>
                    <w:spacing w:line="240" w:lineRule="auto" w:before="63"/>
                    <w:ind w:left="22" w:right="0"/>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日总股本</w:t>
                  </w:r>
                  <w:r>
                    <w:rPr>
                      <w:spacing w:val="-46"/>
                    </w:rPr>
                    <w:t> </w:t>
                  </w:r>
                  <w:r>
                    <w:rPr>
                      <w:rFonts w:ascii="Times New Roman" w:hAnsi="Times New Roman" w:cs="Times New Roman" w:eastAsia="Times New Roman" w:hint="default"/>
                    </w:rPr>
                    <w:t>4.01</w:t>
                  </w:r>
                  <w:r>
                    <w:rPr>
                      <w:rFonts w:ascii="Times New Roman" w:hAnsi="Times New Roman" w:cs="Times New Roman" w:eastAsia="Times New Roman" w:hint="default"/>
                      <w:spacing w:val="-1"/>
                    </w:rPr>
                    <w:t> </w:t>
                  </w:r>
                  <w:r>
                    <w:rPr/>
                    <w:t>亿股为基数，向全体股东每 </w:t>
                  </w:r>
                  <w:r>
                    <w:rPr>
                      <w:rFonts w:ascii="Times New Roman" w:hAnsi="Times New Roman" w:cs="Times New Roman" w:eastAsia="Times New Roman" w:hint="default"/>
                    </w:rPr>
                    <w:t>10  </w:t>
                  </w:r>
                  <w:r>
                    <w:rPr/>
                    <w:t>股派发现金股利</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元（含税</w:t>
                  </w:r>
                  <w:r>
                    <w:rPr>
                      <w:spacing w:val="-90"/>
                    </w:rPr>
                    <w:t>）</w:t>
                  </w:r>
                  <w:r>
                    <w:rPr/>
                    <w:t>，送</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
                    </w:rPr>
                    <w:t>，</w:t>
                  </w:r>
                  <w:r>
                    <w:rPr/>
                    <w:t>转增</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
                    </w:rPr>
                    <w:t>总</w:t>
                  </w:r>
                  <w:r>
                    <w:rPr/>
                    <w:t>计派发现金股利</w:t>
                  </w:r>
                </w:p>
                <w:p>
                  <w:pPr>
                    <w:pStyle w:val="BodyText"/>
                    <w:spacing w:line="240" w:lineRule="auto" w:before="64"/>
                    <w:ind w:left="22" w:right="0"/>
                    <w:jc w:val="left"/>
                  </w:pPr>
                  <w:r>
                    <w:rPr>
                      <w:rFonts w:ascii="Times New Roman" w:hAnsi="Times New Roman" w:cs="Times New Roman" w:eastAsia="Times New Roman" w:hint="default"/>
                    </w:rPr>
                    <w:t>44,110,000</w:t>
                  </w:r>
                  <w:r>
                    <w:rPr>
                      <w:rFonts w:ascii="Times New Roman" w:hAnsi="Times New Roman" w:cs="Times New Roman" w:eastAsia="Times New Roman" w:hint="default"/>
                      <w:spacing w:val="-2"/>
                    </w:rPr>
                    <w:t> </w:t>
                  </w:r>
                  <w:r>
                    <w:rPr/>
                    <w:t>元，占公司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年实现可分配利润的</w:t>
                  </w:r>
                  <w:r>
                    <w:rPr>
                      <w:spacing w:val="-48"/>
                    </w:rPr>
                    <w:t> </w:t>
                  </w:r>
                  <w:r>
                    <w:rPr>
                      <w:rFonts w:ascii="Times New Roman" w:hAnsi="Times New Roman" w:cs="Times New Roman" w:eastAsia="Times New Roman" w:hint="default"/>
                    </w:rPr>
                    <w:t>30.4%</w:t>
                  </w:r>
                  <w:r>
                    <w:rPr/>
                    <w:t>。</w:t>
                  </w:r>
                </w:p>
              </w:txbxContent>
            </v:textbox>
          </v:shape>
        </w:pict>
      </w:r>
      <w:r>
        <w:rPr>
          <w:rFonts w:ascii="宋体" w:hAnsi="宋体" w:cs="宋体" w:eastAsia="宋体" w:hint="default"/>
          <w:position w:val="-19"/>
          <w:sz w:val="20"/>
          <w:szCs w:val="20"/>
        </w:rPr>
      </w:r>
    </w:p>
    <w:p>
      <w:pPr>
        <w:pStyle w:val="BodyText"/>
        <w:spacing w:line="240" w:lineRule="auto" w:before="56"/>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0" w:lineRule="auto" w:before="103"/>
        <w:ind w:left="153" w:right="146"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26</w:t>
      </w:r>
      <w:r>
        <w:rPr>
          <w:spacing w:val="-1"/>
        </w:rPr>
        <w:t>日，公司召开</w:t>
      </w:r>
      <w:r>
        <w:rPr>
          <w:rFonts w:ascii="Times New Roman" w:hAnsi="Times New Roman" w:cs="Times New Roman" w:eastAsia="Times New Roman" w:hint="default"/>
          <w:spacing w:val="-1"/>
        </w:rPr>
        <w:t>2012</w:t>
      </w:r>
      <w:r>
        <w:rPr>
          <w:spacing w:val="-1"/>
        </w:rPr>
        <w:t>年度股东大会，审议通过了《公司</w:t>
      </w:r>
      <w:r>
        <w:rPr>
          <w:rFonts w:ascii="Times New Roman" w:hAnsi="Times New Roman" w:cs="Times New Roman" w:eastAsia="Times New Roman" w:hint="default"/>
          <w:spacing w:val="-1"/>
        </w:rPr>
        <w:t>2012</w:t>
      </w:r>
      <w:r>
        <w:rPr>
          <w:spacing w:val="-1"/>
        </w:rPr>
        <w:t>年度利润分配方案》，以截至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w:t>
      </w:r>
      <w:r>
        <w:rPr/>
        <w:t> 司总股本</w:t>
      </w:r>
      <w:r>
        <w:rPr>
          <w:rFonts w:ascii="Times New Roman" w:hAnsi="Times New Roman" w:cs="Times New Roman" w:eastAsia="Times New Roman" w:hint="default"/>
        </w:rPr>
        <w:t>33,100</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1.64</w:t>
      </w:r>
      <w:r>
        <w:rPr/>
        <w:t>元人民币（含税），合计派发现金红利</w:t>
      </w:r>
      <w:r>
        <w:rPr>
          <w:rFonts w:ascii="Times New Roman" w:hAnsi="Times New Roman" w:cs="Times New Roman" w:eastAsia="Times New Roman" w:hint="default"/>
        </w:rPr>
        <w:t>5,441.51</w:t>
      </w:r>
      <w:r>
        <w:rPr/>
        <w:t>万元。</w:t>
      </w:r>
    </w:p>
    <w:p>
      <w:pPr>
        <w:pStyle w:val="BodyText"/>
        <w:spacing w:line="300" w:lineRule="auto" w:before="13"/>
        <w:ind w:left="153" w:right="146" w:firstLine="42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10</w:t>
      </w:r>
      <w:r>
        <w:rPr>
          <w:spacing w:val="-1"/>
        </w:rPr>
        <w:t>日，公司召开</w:t>
      </w:r>
      <w:r>
        <w:rPr>
          <w:rFonts w:ascii="Times New Roman" w:hAnsi="Times New Roman" w:cs="Times New Roman" w:eastAsia="Times New Roman" w:hint="default"/>
          <w:spacing w:val="-1"/>
        </w:rPr>
        <w:t>2013</w:t>
      </w:r>
      <w:r>
        <w:rPr>
          <w:spacing w:val="-1"/>
        </w:rPr>
        <w:t>年度股东大会，审议通过了《公司</w:t>
      </w:r>
      <w:r>
        <w:rPr>
          <w:rFonts w:ascii="Times New Roman" w:hAnsi="Times New Roman" w:cs="Times New Roman" w:eastAsia="Times New Roman" w:hint="default"/>
          <w:spacing w:val="-1"/>
        </w:rPr>
        <w:t>2013</w:t>
      </w:r>
      <w:r>
        <w:rPr>
          <w:spacing w:val="-1"/>
        </w:rPr>
        <w:t>年度利润分配方案》，以截至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w:t>
      </w:r>
      <w:r>
        <w:rPr/>
        <w:t> 司总股本</w:t>
      </w:r>
      <w:r>
        <w:rPr>
          <w:rFonts w:ascii="Times New Roman" w:hAnsi="Times New Roman" w:cs="Times New Roman" w:eastAsia="Times New Roman" w:hint="default"/>
        </w:rPr>
        <w:t>33,100</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1.51</w:t>
      </w:r>
      <w:r>
        <w:rPr/>
        <w:t>元人民币（含税），合计派发现金红利</w:t>
      </w:r>
      <w:r>
        <w:rPr>
          <w:rFonts w:ascii="Times New Roman" w:hAnsi="Times New Roman" w:cs="Times New Roman" w:eastAsia="Times New Roman" w:hint="default"/>
        </w:rPr>
        <w:t>4,991.66</w:t>
      </w:r>
      <w:r>
        <w:rPr/>
        <w:t>万元。</w:t>
      </w:r>
    </w:p>
    <w:p>
      <w:pPr>
        <w:pStyle w:val="BodyText"/>
        <w:spacing w:line="240" w:lineRule="auto" w:before="53"/>
        <w:ind w:left="513" w:right="0"/>
        <w:jc w:val="left"/>
      </w:pPr>
      <w:r>
        <w:rPr/>
        <w:t>公司近三年现金分红情况表</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17"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154,111,442.70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184,876,356.63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54,415,100.00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141,327,019.33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38.50%</w:t>
            </w: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bookmarkStart w:name="四、内幕信息知情人管理制度的建立和执行情况" w:id="25"/>
      <w:bookmarkEnd w:id="25"/>
      <w:r>
        <w:rPr>
          <w:b w:val="0"/>
          <w:bCs w:val="0"/>
        </w:rPr>
      </w:r>
      <w:r>
        <w:rPr/>
        <w:t>四、内幕信息知情人管理制度的建立和执行情况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公司将于</w:t>
      </w:r>
      <w:r>
        <w:rPr>
          <w:rFonts w:ascii="Times New Roman" w:hAnsi="Times New Roman" w:cs="Times New Roman" w:eastAsia="Times New Roman" w:hint="default"/>
        </w:rPr>
        <w:t>2014</w:t>
      </w:r>
      <w:bookmarkStart w:name="_bookmark4" w:id="26"/>
      <w:bookmarkEnd w:id="26"/>
      <w:r>
        <w:rPr>
          <w:rFonts w:ascii="Times New Roman" w:hAnsi="Times New Roman" w:cs="Times New Roman" w:eastAsia="Times New Roman" w:hint="default"/>
        </w:rPr>
      </w:r>
      <w:r>
        <w:rPr/>
        <w:t>年度股东大会审议《内幕信息知情人管理制度》。</w:t>
      </w:r>
    </w:p>
    <w:p>
      <w:pPr>
        <w:spacing w:after="0" w:line="240" w:lineRule="auto"/>
        <w:jc w:val="left"/>
        <w:sectPr>
          <w:pgSz w:w="11910" w:h="16840"/>
          <w:pgMar w:header="851" w:footer="979" w:top="1320" w:bottom="1160" w:left="980" w:right="980"/>
        </w:sectPr>
      </w:pPr>
    </w:p>
    <w:p>
      <w:pPr>
        <w:spacing w:line="240" w:lineRule="auto" w:before="10"/>
        <w:rPr>
          <w:rFonts w:ascii="宋体" w:hAnsi="宋体" w:cs="宋体" w:eastAsia="宋体" w:hint="default"/>
          <w:sz w:val="16"/>
          <w:szCs w:val="16"/>
        </w:rPr>
      </w:pPr>
    </w:p>
    <w:p>
      <w:pPr>
        <w:pStyle w:val="Heading1"/>
        <w:spacing w:line="240" w:lineRule="auto"/>
        <w:ind w:right="2989"/>
        <w:jc w:val="center"/>
        <w:rPr>
          <w:b w:val="0"/>
          <w:bCs w:val="0"/>
        </w:rPr>
      </w:pPr>
      <w:bookmarkStart w:name="第五节 重要事项" w:id="27"/>
      <w:bookmarkEnd w:id="27"/>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重大关联交易" w:id="28"/>
      <w:bookmarkEnd w:id="28"/>
      <w:r>
        <w:rPr>
          <w:b w:val="0"/>
          <w:bCs w:val="0"/>
        </w:rPr>
      </w:r>
      <w:r>
        <w:rPr/>
        <w:t>一、重大关联交易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29"/>
      <w:bookmarkEnd w:id="2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97"/>
        <w:gridCol w:w="810"/>
        <w:gridCol w:w="810"/>
        <w:gridCol w:w="798"/>
        <w:gridCol w:w="824"/>
        <w:gridCol w:w="808"/>
        <w:gridCol w:w="809"/>
        <w:gridCol w:w="809"/>
        <w:gridCol w:w="809"/>
        <w:gridCol w:w="809"/>
        <w:gridCol w:w="805"/>
        <w:gridCol w:w="671"/>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7" w:right="39"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9" w:right="2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3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湖南广播 电视台</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入网合作 费</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1,894.58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9.88%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一次性付 款</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1,894.58</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4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4"/>
                <w:sz w:val="18"/>
                <w:szCs w:val="18"/>
              </w:rPr>
              <w:t>行总金额预计的，在报告期内的实际履行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情况（如有）</w:t>
            </w:r>
          </w:p>
        </w:tc>
        <w:tc>
          <w:tcPr>
            <w:tcW w:w="634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4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2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关联交易事项对公司利润的影响</w:t>
            </w:r>
          </w:p>
        </w:tc>
        <w:tc>
          <w:tcPr>
            <w:tcW w:w="634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上述信号传输入网费一次性计入当前损益。</w:t>
            </w:r>
          </w:p>
        </w:tc>
      </w:tr>
    </w:tbl>
    <w:p>
      <w:pPr>
        <w:pStyle w:val="BodyText"/>
        <w:spacing w:line="240" w:lineRule="auto" w:before="51"/>
        <w:ind w:left="154" w:right="0"/>
        <w:jc w:val="left"/>
      </w:pPr>
      <w:r>
        <w:rPr/>
        <w:t>报告期内公司向关联方销售（采购）产品和提供（接受）劳务的情况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0"/>
        <w:gridCol w:w="1856"/>
        <w:gridCol w:w="1856"/>
        <w:gridCol w:w="1827"/>
        <w:gridCol w:w="1830"/>
      </w:tblGrid>
      <w:tr>
        <w:trPr>
          <w:trHeight w:val="402" w:hRule="exact"/>
        </w:trPr>
        <w:tc>
          <w:tcPr>
            <w:tcW w:w="2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4" w:hRule="exact"/>
        </w:trPr>
        <w:tc>
          <w:tcPr>
            <w:tcW w:w="2200" w:type="dxa"/>
            <w:vMerge/>
            <w:tcBorders>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9" w:right="98" w:hanging="720"/>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1,894.58</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1,894.58</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w:t>
            </w:r>
          </w:p>
        </w:tc>
      </w:tr>
    </w:tbl>
    <w:p>
      <w:pPr>
        <w:pStyle w:val="BodyText"/>
        <w:spacing w:line="240" w:lineRule="auto" w:before="51"/>
        <w:ind w:left="154" w:right="0"/>
        <w:jc w:val="left"/>
      </w:pPr>
      <w:r>
        <w:rPr/>
        <w:t>其中：报告期内公司向控股股东及其子公司销售产品或提供劳务的关联交易金额</w:t>
      </w:r>
      <w:r>
        <w:rPr>
          <w:spacing w:val="-45"/>
        </w:rPr>
        <w:t> </w:t>
      </w:r>
      <w:r>
        <w:rPr>
          <w:rFonts w:ascii="Times New Roman" w:hAnsi="Times New Roman" w:cs="Times New Roman" w:eastAsia="Times New Roman" w:hint="default"/>
        </w:rPr>
        <w:t>0 </w:t>
      </w:r>
      <w:r>
        <w:rPr/>
        <w:t>万元。</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bookmarkStart w:name="二、重大合同及其履行情况" w:id="30"/>
      <w:bookmarkEnd w:id="30"/>
      <w:r>
        <w:rPr>
          <w:b w:val="0"/>
          <w:bCs w:val="0"/>
        </w:rPr>
      </w:r>
      <w:r>
        <w:rPr/>
        <w:t>二、重大合同及其履行情况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31"/>
      <w:bookmarkEnd w:id="31"/>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租赁情况" w:id="32"/>
      <w:bookmarkEnd w:id="32"/>
      <w:r>
        <w:rPr>
          <w:b w:val="0"/>
          <w:bCs w:val="0"/>
        </w:rPr>
      </w:r>
      <w:r>
        <w:rPr/>
        <w:t>（</w:t>
      </w:r>
      <w:r>
        <w:rPr>
          <w:rFonts w:ascii="Times New Roman" w:hAnsi="Times New Roman" w:cs="Times New Roman" w:eastAsia="Times New Roman" w:hint="default"/>
        </w:rPr>
        <w:t>1</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left="153" w:right="78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 关联租赁情况</w:t>
      </w:r>
    </w:p>
    <w:p>
      <w:pPr>
        <w:spacing w:line="240" w:lineRule="auto" w:before="11"/>
        <w:rPr>
          <w:rFonts w:ascii="宋体" w:hAnsi="宋体" w:cs="宋体" w:eastAsia="宋体" w:hint="default"/>
          <w:sz w:val="18"/>
          <w:szCs w:val="18"/>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right"/>
        <w:rPr>
          <w:rFonts w:ascii="宋体" w:hAnsi="宋体" w:cs="宋体" w:eastAsia="宋体" w:hint="default"/>
          <w:sz w:val="21"/>
          <w:szCs w:val="21"/>
        </w:rPr>
        <w:sectPr>
          <w:pgSz w:w="11910" w:h="16840"/>
          <w:pgMar w:header="851" w:footer="979" w:top="1320" w:bottom="1160" w:left="980" w:right="980"/>
        </w:sectPr>
      </w:pPr>
    </w:p>
    <w:p>
      <w:pPr>
        <w:spacing w:line="240" w:lineRule="auto" w:before="4"/>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2000"/>
        <w:gridCol w:w="451"/>
        <w:gridCol w:w="816"/>
        <w:gridCol w:w="2128"/>
        <w:gridCol w:w="708"/>
        <w:gridCol w:w="1134"/>
        <w:gridCol w:w="851"/>
        <w:gridCol w:w="1321"/>
      </w:tblGrid>
      <w:tr>
        <w:trPr>
          <w:trHeight w:val="329" w:hRule="exact"/>
        </w:trPr>
        <w:tc>
          <w:tcPr>
            <w:tcW w:w="200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49"/>
              <w:ind w:right="1"/>
              <w:jc w:val="center"/>
              <w:rPr>
                <w:rFonts w:ascii="宋体" w:hAnsi="宋体" w:cs="宋体" w:eastAsia="宋体" w:hint="default"/>
                <w:sz w:val="12"/>
                <w:szCs w:val="12"/>
              </w:rPr>
            </w:pPr>
            <w:r>
              <w:rPr>
                <w:rFonts w:ascii="宋体" w:hAnsi="宋体" w:cs="宋体" w:eastAsia="宋体" w:hint="default"/>
                <w:sz w:val="12"/>
                <w:szCs w:val="12"/>
              </w:rPr>
              <w:t>出租方名称</w:t>
            </w:r>
          </w:p>
        </w:tc>
        <w:tc>
          <w:tcPr>
            <w:tcW w:w="451" w:type="dxa"/>
            <w:vMerge w:val="restart"/>
            <w:tcBorders>
              <w:top w:val="single" w:sz="6" w:space="0" w:color="000000"/>
              <w:left w:val="single" w:sz="6" w:space="0" w:color="000000"/>
              <w:right w:val="single" w:sz="6" w:space="0" w:color="000000"/>
            </w:tcBorders>
            <w:shd w:val="clear" w:color="auto" w:fill="CCCCCC"/>
          </w:tcPr>
          <w:p>
            <w:pPr>
              <w:pStyle w:val="TableParagraph"/>
              <w:spacing w:line="477" w:lineRule="auto" w:before="49"/>
              <w:ind w:left="98" w:right="36" w:hanging="60"/>
              <w:jc w:val="left"/>
              <w:rPr>
                <w:rFonts w:ascii="宋体" w:hAnsi="宋体" w:cs="宋体" w:eastAsia="宋体" w:hint="default"/>
                <w:sz w:val="12"/>
                <w:szCs w:val="12"/>
              </w:rPr>
            </w:pPr>
            <w:r>
              <w:rPr>
                <w:rFonts w:ascii="宋体" w:hAnsi="宋体" w:cs="宋体" w:eastAsia="宋体" w:hint="default"/>
                <w:sz w:val="12"/>
                <w:szCs w:val="12"/>
              </w:rPr>
              <w:t>承租方 名称</w:t>
            </w:r>
          </w:p>
        </w:tc>
        <w:tc>
          <w:tcPr>
            <w:tcW w:w="81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49"/>
              <w:ind w:left="40" w:right="0"/>
              <w:jc w:val="left"/>
              <w:rPr>
                <w:rFonts w:ascii="宋体" w:hAnsi="宋体" w:cs="宋体" w:eastAsia="宋体" w:hint="default"/>
                <w:sz w:val="12"/>
                <w:szCs w:val="12"/>
              </w:rPr>
            </w:pPr>
            <w:r>
              <w:rPr>
                <w:rFonts w:ascii="宋体" w:hAnsi="宋体" w:cs="宋体" w:eastAsia="宋体" w:hint="default"/>
                <w:sz w:val="12"/>
                <w:szCs w:val="12"/>
              </w:rPr>
              <w:t>关联交易内容</w:t>
            </w:r>
          </w:p>
        </w:tc>
        <w:tc>
          <w:tcPr>
            <w:tcW w:w="2128"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49"/>
              <w:ind w:left="277" w:right="0"/>
              <w:jc w:val="left"/>
              <w:rPr>
                <w:rFonts w:ascii="宋体" w:hAnsi="宋体" w:cs="宋体" w:eastAsia="宋体" w:hint="default"/>
                <w:sz w:val="12"/>
                <w:szCs w:val="12"/>
              </w:rPr>
            </w:pPr>
            <w:r>
              <w:rPr>
                <w:rFonts w:ascii="宋体" w:hAnsi="宋体" w:cs="宋体" w:eastAsia="宋体" w:hint="default"/>
                <w:sz w:val="12"/>
                <w:szCs w:val="12"/>
              </w:rPr>
              <w:t>关联交易定价方式及决策程序</w:t>
            </w:r>
          </w:p>
        </w:tc>
        <w:tc>
          <w:tcPr>
            <w:tcW w:w="184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1"/>
              <w:jc w:val="center"/>
              <w:rPr>
                <w:rFonts w:ascii="宋体" w:hAnsi="宋体" w:cs="宋体" w:eastAsia="宋体" w:hint="default"/>
                <w:sz w:val="12"/>
                <w:szCs w:val="12"/>
              </w:rPr>
            </w:pPr>
            <w:r>
              <w:rPr>
                <w:rFonts w:ascii="Times New Roman" w:hAnsi="Times New Roman" w:cs="Times New Roman" w:eastAsia="Times New Roman" w:hint="default"/>
                <w:sz w:val="12"/>
                <w:szCs w:val="12"/>
              </w:rPr>
              <w:t>2014</w:t>
            </w:r>
            <w:r>
              <w:rPr>
                <w:rFonts w:ascii="宋体" w:hAnsi="宋体" w:cs="宋体" w:eastAsia="宋体" w:hint="default"/>
                <w:sz w:val="12"/>
                <w:szCs w:val="12"/>
              </w:rPr>
              <w:t>年度</w:t>
            </w:r>
          </w:p>
        </w:tc>
        <w:tc>
          <w:tcPr>
            <w:tcW w:w="217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0"/>
              <w:jc w:val="center"/>
              <w:rPr>
                <w:rFonts w:ascii="宋体" w:hAnsi="宋体" w:cs="宋体" w:eastAsia="宋体" w:hint="default"/>
                <w:sz w:val="12"/>
                <w:szCs w:val="12"/>
              </w:rPr>
            </w:pPr>
            <w:r>
              <w:rPr>
                <w:rFonts w:ascii="Times New Roman" w:hAnsi="Times New Roman" w:cs="Times New Roman" w:eastAsia="Times New Roman" w:hint="default"/>
                <w:sz w:val="12"/>
                <w:szCs w:val="12"/>
              </w:rPr>
              <w:t>2013</w:t>
            </w:r>
            <w:r>
              <w:rPr>
                <w:rFonts w:ascii="宋体" w:hAnsi="宋体" w:cs="宋体" w:eastAsia="宋体" w:hint="default"/>
                <w:sz w:val="12"/>
                <w:szCs w:val="12"/>
              </w:rPr>
              <w:t>年度</w:t>
            </w:r>
          </w:p>
        </w:tc>
      </w:tr>
      <w:tr>
        <w:trPr>
          <w:trHeight w:val="659" w:hRule="exact"/>
        </w:trPr>
        <w:tc>
          <w:tcPr>
            <w:tcW w:w="2000" w:type="dxa"/>
            <w:vMerge/>
            <w:tcBorders>
              <w:left w:val="single" w:sz="6" w:space="0" w:color="000000"/>
              <w:bottom w:val="single" w:sz="6" w:space="0" w:color="000000"/>
              <w:right w:val="single" w:sz="6" w:space="0" w:color="000000"/>
            </w:tcBorders>
            <w:shd w:val="clear" w:color="auto" w:fill="CCCCCC"/>
          </w:tcPr>
          <w:p>
            <w:pPr/>
          </w:p>
        </w:tc>
        <w:tc>
          <w:tcPr>
            <w:tcW w:w="451" w:type="dxa"/>
            <w:vMerge/>
            <w:tcBorders>
              <w:left w:val="single" w:sz="6" w:space="0" w:color="000000"/>
              <w:bottom w:val="single" w:sz="6" w:space="0" w:color="000000"/>
              <w:right w:val="single" w:sz="6" w:space="0" w:color="000000"/>
            </w:tcBorders>
            <w:shd w:val="clear" w:color="auto" w:fill="CCCCCC"/>
          </w:tcPr>
          <w:p>
            <w:pPr/>
          </w:p>
        </w:tc>
        <w:tc>
          <w:tcPr>
            <w:tcW w:w="816" w:type="dxa"/>
            <w:vMerge/>
            <w:tcBorders>
              <w:left w:val="single" w:sz="6" w:space="0" w:color="000000"/>
              <w:bottom w:val="single" w:sz="6" w:space="0" w:color="000000"/>
              <w:right w:val="single" w:sz="6" w:space="0" w:color="000000"/>
            </w:tcBorders>
            <w:shd w:val="clear" w:color="auto" w:fill="CCCCCC"/>
          </w:tcPr>
          <w:p>
            <w:pPr/>
          </w:p>
        </w:tc>
        <w:tc>
          <w:tcPr>
            <w:tcW w:w="2128" w:type="dxa"/>
            <w:vMerge/>
            <w:tcBorders>
              <w:left w:val="single" w:sz="6" w:space="0" w:color="000000"/>
              <w:bottom w:val="single" w:sz="6" w:space="0" w:color="000000"/>
              <w:right w:val="single" w:sz="6" w:space="0" w:color="000000"/>
            </w:tcBorders>
            <w:shd w:val="clear" w:color="auto" w:fill="CCCCCC"/>
          </w:tcPr>
          <w:p>
            <w:pPr/>
          </w:p>
        </w:tc>
        <w:tc>
          <w:tcPr>
            <w:tcW w:w="70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7"/>
              <w:ind w:right="0"/>
              <w:jc w:val="center"/>
              <w:rPr>
                <w:rFonts w:ascii="宋体" w:hAnsi="宋体" w:cs="宋体" w:eastAsia="宋体" w:hint="default"/>
                <w:sz w:val="12"/>
                <w:szCs w:val="12"/>
              </w:rPr>
            </w:pPr>
            <w:r>
              <w:rPr>
                <w:rFonts w:ascii="宋体" w:hAnsi="宋体" w:cs="宋体" w:eastAsia="宋体" w:hint="default"/>
                <w:sz w:val="12"/>
                <w:szCs w:val="12"/>
              </w:rPr>
              <w:t>金额</w:t>
            </w:r>
          </w:p>
        </w:tc>
        <w:tc>
          <w:tcPr>
            <w:tcW w:w="11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477" w:lineRule="auto" w:before="67"/>
              <w:ind w:left="409" w:right="18" w:hanging="390"/>
              <w:jc w:val="left"/>
              <w:rPr>
                <w:rFonts w:ascii="Times New Roman" w:hAnsi="Times New Roman" w:cs="Times New Roman" w:eastAsia="Times New Roman" w:hint="default"/>
                <w:sz w:val="12"/>
                <w:szCs w:val="12"/>
              </w:rPr>
            </w:pPr>
            <w:r>
              <w:rPr>
                <w:rFonts w:ascii="宋体" w:hAnsi="宋体" w:cs="宋体" w:eastAsia="宋体" w:hint="default"/>
                <w:sz w:val="12"/>
                <w:szCs w:val="12"/>
              </w:rPr>
              <w:t>占同类交易金额的比 例</w:t>
            </w:r>
            <w:r>
              <w:rPr>
                <w:rFonts w:ascii="Times New Roman" w:hAnsi="Times New Roman" w:cs="Times New Roman" w:eastAsia="Times New Roman" w:hint="default"/>
                <w:sz w:val="12"/>
                <w:szCs w:val="12"/>
              </w:rPr>
              <w:t>(%)</w:t>
            </w:r>
          </w:p>
        </w:tc>
        <w:tc>
          <w:tcPr>
            <w:tcW w:w="85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7"/>
              <w:ind w:right="1"/>
              <w:jc w:val="center"/>
              <w:rPr>
                <w:rFonts w:ascii="宋体" w:hAnsi="宋体" w:cs="宋体" w:eastAsia="宋体" w:hint="default"/>
                <w:sz w:val="12"/>
                <w:szCs w:val="12"/>
              </w:rPr>
            </w:pPr>
            <w:r>
              <w:rPr>
                <w:rFonts w:ascii="宋体" w:hAnsi="宋体" w:cs="宋体" w:eastAsia="宋体" w:hint="default"/>
                <w:sz w:val="12"/>
                <w:szCs w:val="12"/>
              </w:rPr>
              <w:t>金额</w:t>
            </w:r>
          </w:p>
        </w:tc>
        <w:tc>
          <w:tcPr>
            <w:tcW w:w="13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7"/>
              <w:ind w:right="1"/>
              <w:jc w:val="center"/>
              <w:rPr>
                <w:rFonts w:ascii="宋体" w:hAnsi="宋体" w:cs="宋体" w:eastAsia="宋体" w:hint="default"/>
                <w:sz w:val="12"/>
                <w:szCs w:val="12"/>
              </w:rPr>
            </w:pPr>
            <w:r>
              <w:rPr>
                <w:rFonts w:ascii="宋体" w:hAnsi="宋体" w:cs="宋体" w:eastAsia="宋体" w:hint="default"/>
                <w:sz w:val="12"/>
                <w:szCs w:val="12"/>
              </w:rPr>
              <w:t>占同类交易金额的比例</w:t>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2"/>
              </w:rPr>
              <w:t>(%)</w:t>
            </w:r>
          </w:p>
        </w:tc>
      </w:tr>
      <w:tr>
        <w:trPr>
          <w:trHeight w:val="348" w:hRule="exact"/>
        </w:trPr>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湖南广播影视物业管理中心</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8" w:right="0"/>
              <w:jc w:val="left"/>
              <w:rPr>
                <w:rFonts w:ascii="宋体" w:hAnsi="宋体" w:cs="宋体" w:eastAsia="宋体" w:hint="default"/>
                <w:sz w:val="12"/>
                <w:szCs w:val="12"/>
              </w:rPr>
            </w:pPr>
            <w:r>
              <w:rPr>
                <w:rFonts w:ascii="宋体" w:hAnsi="宋体" w:cs="宋体" w:eastAsia="宋体" w:hint="default"/>
                <w:sz w:val="12"/>
                <w:szCs w:val="12"/>
              </w:rPr>
              <w:t>本公司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 w:right="0"/>
              <w:jc w:val="left"/>
              <w:rPr>
                <w:rFonts w:ascii="宋体" w:hAnsi="宋体" w:cs="宋体" w:eastAsia="宋体" w:hint="default"/>
                <w:sz w:val="12"/>
                <w:szCs w:val="12"/>
              </w:rPr>
            </w:pPr>
            <w:r>
              <w:rPr>
                <w:rFonts w:ascii="宋体" w:hAnsi="宋体" w:cs="宋体" w:eastAsia="宋体" w:hint="default"/>
                <w:sz w:val="12"/>
                <w:szCs w:val="12"/>
              </w:rPr>
              <w:t>物业管理费</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697" w:right="0"/>
              <w:jc w:val="left"/>
              <w:rPr>
                <w:rFonts w:ascii="宋体" w:hAnsi="宋体" w:cs="宋体" w:eastAsia="宋体" w:hint="default"/>
                <w:sz w:val="12"/>
                <w:szCs w:val="12"/>
              </w:rPr>
            </w:pPr>
            <w:r>
              <w:rPr>
                <w:rFonts w:ascii="宋体" w:hAnsi="宋体" w:cs="宋体" w:eastAsia="宋体" w:hint="default"/>
                <w:sz w:val="12"/>
                <w:szCs w:val="12"/>
              </w:rPr>
              <w:t>租赁合同定价</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56" w:right="0"/>
              <w:jc w:val="center"/>
              <w:rPr>
                <w:rFonts w:ascii="Times New Roman" w:hAnsi="Times New Roman" w:cs="Times New Roman" w:eastAsia="Times New Roman" w:hint="default"/>
                <w:sz w:val="12"/>
                <w:szCs w:val="12"/>
              </w:rPr>
            </w:pPr>
            <w:r>
              <w:rPr>
                <w:rFonts w:ascii="Times New Roman"/>
                <w:sz w:val="12"/>
              </w:rPr>
              <w:t>2,963,315.60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20.39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203" w:right="0"/>
              <w:jc w:val="left"/>
              <w:rPr>
                <w:rFonts w:ascii="Times New Roman" w:hAnsi="Times New Roman" w:cs="Times New Roman" w:eastAsia="Times New Roman" w:hint="default"/>
                <w:sz w:val="12"/>
                <w:szCs w:val="12"/>
              </w:rPr>
            </w:pPr>
            <w:r>
              <w:rPr>
                <w:rFonts w:ascii="Times New Roman"/>
                <w:sz w:val="12"/>
              </w:rPr>
              <w:t>1,760,376.00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86" w:right="0"/>
              <w:jc w:val="left"/>
              <w:rPr>
                <w:rFonts w:ascii="Times New Roman" w:hAnsi="Times New Roman" w:cs="Times New Roman" w:eastAsia="Times New Roman" w:hint="default"/>
                <w:sz w:val="12"/>
                <w:szCs w:val="12"/>
              </w:rPr>
            </w:pPr>
            <w:r>
              <w:rPr>
                <w:rFonts w:ascii="Times New Roman"/>
                <w:sz w:val="12"/>
              </w:rPr>
              <w:t>20.39</w:t>
            </w:r>
          </w:p>
        </w:tc>
      </w:tr>
    </w:tbl>
    <w:p>
      <w:pPr>
        <w:spacing w:line="240" w:lineRule="auto" w:before="3"/>
        <w:rPr>
          <w:rFonts w:ascii="宋体" w:hAnsi="宋体" w:cs="宋体" w:eastAsia="宋体" w:hint="default"/>
          <w:sz w:val="21"/>
          <w:szCs w:val="21"/>
        </w:rPr>
      </w:pPr>
    </w:p>
    <w:p>
      <w:pPr>
        <w:pStyle w:val="BodyText"/>
        <w:spacing w:line="307" w:lineRule="auto" w:before="44"/>
        <w:ind w:left="153" w:right="93" w:firstLine="360"/>
        <w:jc w:val="left"/>
      </w:pPr>
      <w:r>
        <w:rPr/>
        <w:t>湖南广播影视物业管理中心承诺本公司享有长期租赁使用现有办公和节目制作场地之权利。根据相关协议规定的费率， 场地面积及其它相关约定，本公司预计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日后</w:t>
      </w:r>
      <w:r>
        <w:rPr>
          <w:rFonts w:ascii="Times New Roman" w:hAnsi="Times New Roman" w:cs="Times New Roman" w:eastAsia="Times New Roman" w:hint="default"/>
        </w:rPr>
        <w:t>1</w:t>
      </w:r>
      <w:r>
        <w:rPr/>
        <w:t>年内、</w:t>
      </w:r>
      <w:r>
        <w:rPr>
          <w:rFonts w:ascii="Times New Roman" w:hAnsi="Times New Roman" w:cs="Times New Roman" w:eastAsia="Times New Roman" w:hint="default"/>
        </w:rPr>
        <w:t>2</w:t>
      </w:r>
      <w:r>
        <w:rPr/>
        <w:t>年内及</w:t>
      </w:r>
      <w:r>
        <w:rPr>
          <w:rFonts w:ascii="Times New Roman" w:hAnsi="Times New Roman" w:cs="Times New Roman" w:eastAsia="Times New Roman" w:hint="default"/>
        </w:rPr>
        <w:t>3</w:t>
      </w:r>
      <w:r>
        <w:rPr/>
        <w:t>年内，将支付的租赁及物业管理费用分别为：人</w:t>
      </w:r>
      <w:r>
        <w:rPr>
          <w:spacing w:val="-83"/>
        </w:rPr>
        <w:t> </w:t>
      </w:r>
      <w:r>
        <w:rPr>
          <w:spacing w:val="-83"/>
        </w:rPr>
      </w:r>
      <w:r>
        <w:rPr>
          <w:spacing w:val="-2"/>
        </w:rPr>
        <w:t>民币</w:t>
      </w:r>
      <w:r>
        <w:rPr>
          <w:rFonts w:ascii="Times New Roman" w:hAnsi="Times New Roman" w:cs="Times New Roman" w:eastAsia="Times New Roman" w:hint="default"/>
          <w:spacing w:val="-2"/>
        </w:rPr>
        <w:t>2,256,035.10</w:t>
      </w:r>
      <w:r>
        <w:rPr>
          <w:spacing w:val="-2"/>
        </w:rPr>
        <w:t>元，人民币</w:t>
      </w:r>
      <w:r>
        <w:rPr>
          <w:rFonts w:ascii="Times New Roman" w:hAnsi="Times New Roman" w:cs="Times New Roman" w:eastAsia="Times New Roman" w:hint="default"/>
          <w:spacing w:val="-2"/>
        </w:rPr>
        <w:t>2,312,217.60</w:t>
      </w:r>
      <w:r>
        <w:rPr>
          <w:spacing w:val="-2"/>
        </w:rPr>
        <w:t>元，人民币</w:t>
      </w:r>
      <w:r>
        <w:rPr>
          <w:rFonts w:ascii="Times New Roman" w:hAnsi="Times New Roman" w:cs="Times New Roman" w:eastAsia="Times New Roman" w:hint="default"/>
          <w:spacing w:val="-2"/>
        </w:rPr>
        <w:t>963,424.00</w:t>
      </w:r>
      <w:r>
        <w:rPr>
          <w:spacing w:val="-2"/>
        </w:rPr>
        <w:t>元。租赁期限从</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2018</w:t>
      </w:r>
      <w:r>
        <w:rPr>
          <w:spacing w:val="-2"/>
        </w:rPr>
        <w:t>年。公司将该项租赁作为经营租</w:t>
      </w:r>
      <w:r>
        <w:rPr>
          <w:spacing w:val="-28"/>
        </w:rPr>
        <w:t> </w:t>
      </w:r>
      <w:r>
        <w:rPr>
          <w:spacing w:val="-28"/>
        </w:rPr>
      </w:r>
      <w:r>
        <w:rPr/>
        <w:t>赁处理，租赁费用计入当期损益。</w:t>
      </w:r>
    </w:p>
    <w:p>
      <w:pPr>
        <w:pStyle w:val="BodyText"/>
        <w:spacing w:line="240" w:lineRule="auto" w:before="67"/>
        <w:ind w:left="153" w:right="92"/>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5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3" w:right="92"/>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2"/>
        <w:rPr>
          <w:rFonts w:ascii="宋体" w:hAnsi="宋体" w:cs="宋体" w:eastAsia="宋体" w:hint="default"/>
          <w:sz w:val="23"/>
          <w:szCs w:val="23"/>
        </w:rPr>
      </w:pPr>
    </w:p>
    <w:p>
      <w:pPr>
        <w:pStyle w:val="Heading2"/>
        <w:spacing w:line="240" w:lineRule="auto" w:before="0"/>
        <w:ind w:right="5193"/>
        <w:jc w:val="left"/>
        <w:rPr>
          <w:b w:val="0"/>
          <w:bCs w:val="0"/>
        </w:rPr>
      </w:pPr>
      <w:bookmarkStart w:name="三、聘任、解聘会计师事务所情况" w:id="33"/>
      <w:bookmarkEnd w:id="33"/>
      <w:r>
        <w:rPr>
          <w:b w:val="0"/>
          <w:bCs w:val="0"/>
        </w:rPr>
      </w:r>
      <w:r>
        <w:rPr/>
        <w:t>三、聘任、解聘会计师事务所情况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5193"/>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徐璐、黄莺</w:t>
            </w:r>
          </w:p>
        </w:tc>
      </w:tr>
    </w:tbl>
    <w:p>
      <w:pPr>
        <w:pStyle w:val="BodyText"/>
        <w:spacing w:line="240" w:lineRule="auto" w:before="51"/>
        <w:ind w:left="154" w:right="5193"/>
        <w:jc w:val="left"/>
      </w:pPr>
      <w:r>
        <w:rPr/>
        <w:t>是否改聘会计师事务所</w:t>
      </w:r>
    </w:p>
    <w:p>
      <w:pPr>
        <w:pStyle w:val="BodyText"/>
        <w:spacing w:line="240" w:lineRule="auto" w:before="116"/>
        <w:ind w:left="154" w:right="5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51" w:footer="979" w:top="1320" w:bottom="1160" w:left="980" w:right="9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1"/>
        <w:spacing w:line="240" w:lineRule="auto"/>
        <w:ind w:left="2966" w:right="0"/>
        <w:jc w:val="left"/>
        <w:rPr>
          <w:b w:val="0"/>
          <w:bCs w:val="0"/>
        </w:rPr>
      </w:pPr>
      <w:bookmarkStart w:name="第六节 股份变动及股东情况" w:id="34"/>
      <w:bookmarkEnd w:id="34"/>
      <w:r>
        <w:rPr>
          <w:b w:val="0"/>
          <w:bCs w:val="0"/>
        </w:rPr>
      </w:r>
      <w:bookmarkStart w:name="_bookmark5" w:id="35"/>
      <w:bookmarkEnd w:id="35"/>
      <w:r>
        <w:rPr>
          <w:b w:val="0"/>
          <w:bCs w:val="0"/>
        </w:rPr>
      </w:r>
      <w:r>
        <w:rPr/>
        <w:t>第六节</w:t>
      </w:r>
      <w:r>
        <w:rPr>
          <w:spacing w:val="-10"/>
        </w:rPr>
        <w:t> </w:t>
      </w:r>
      <w:r>
        <w:rPr/>
        <w:t>股份变动及股东情况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bookmarkStart w:name="一、股东和实际控制人情况" w:id="36"/>
      <w:bookmarkEnd w:id="36"/>
      <w:r>
        <w:rPr>
          <w:b w:val="0"/>
          <w:bCs w:val="0"/>
        </w:rPr>
      </w:r>
      <w:r>
        <w:rPr/>
        <w:t>一、股东和实际控制人情况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37"/>
      <w:bookmarkEnd w:id="3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47"/>
        <w:gridCol w:w="1163"/>
        <w:gridCol w:w="218"/>
        <w:gridCol w:w="634"/>
        <w:gridCol w:w="1068"/>
        <w:gridCol w:w="207"/>
        <w:gridCol w:w="851"/>
        <w:gridCol w:w="1134"/>
        <w:gridCol w:w="287"/>
        <w:gridCol w:w="848"/>
        <w:gridCol w:w="290"/>
        <w:gridCol w:w="561"/>
        <w:gridCol w:w="1062"/>
      </w:tblGrid>
      <w:tr>
        <w:trPr>
          <w:trHeight w:val="407" w:hRule="exact"/>
        </w:trPr>
        <w:tc>
          <w:tcPr>
            <w:tcW w:w="26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0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36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18956</w:t>
            </w:r>
          </w:p>
        </w:tc>
      </w:tr>
      <w:tr>
        <w:trPr>
          <w:trHeight w:val="392" w:hRule="exact"/>
        </w:trPr>
        <w:tc>
          <w:tcPr>
            <w:tcW w:w="956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163" w:type="dxa"/>
            <w:vMerge w:val="restart"/>
            <w:tcBorders>
              <w:top w:val="single" w:sz="4" w:space="0" w:color="000000"/>
              <w:left w:val="single" w:sz="4" w:space="0" w:color="000000"/>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FFFFFF"/>
            </w:tcBorders>
            <w:shd w:val="clear" w:color="auto" w:fill="D2D2D2"/>
          </w:tcPr>
          <w:p>
            <w:pPr/>
          </w:p>
        </w:tc>
        <w:tc>
          <w:tcPr>
            <w:tcW w:w="1275" w:type="dxa"/>
            <w:gridSpan w:val="2"/>
            <w:tcBorders>
              <w:top w:val="single" w:sz="4" w:space="0" w:color="000000"/>
              <w:left w:val="single" w:sz="4" w:space="0" w:color="FFFFFF"/>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163"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FFFFFF"/>
            </w:tcBorders>
            <w:shd w:val="clear" w:color="auto" w:fill="D2D2D2"/>
          </w:tcPr>
          <w:p>
            <w:pPr/>
          </w:p>
        </w:tc>
        <w:tc>
          <w:tcPr>
            <w:tcW w:w="1275" w:type="dxa"/>
            <w:gridSpan w:val="2"/>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452" w:right="90"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right w:val="single" w:sz="4" w:space="0" w:color="000000"/>
            </w:tcBorders>
            <w:shd w:val="clear" w:color="auto" w:fill="D2D2D2"/>
          </w:tcPr>
          <w:p>
            <w:pPr/>
          </w:p>
        </w:tc>
      </w:tr>
      <w:tr>
        <w:trPr>
          <w:trHeight w:val="140"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75" w:type="dxa"/>
            <w:gridSpan w:val="2"/>
            <w:vMerge/>
            <w:tcBorders>
              <w:left w:val="single" w:sz="4" w:space="0" w:color="FFFFFF"/>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163"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FFFFFF"/>
            </w:tcBorders>
            <w:shd w:val="clear" w:color="auto" w:fill="D2D2D2"/>
          </w:tcPr>
          <w:p>
            <w:pPr/>
          </w:p>
        </w:tc>
        <w:tc>
          <w:tcPr>
            <w:tcW w:w="1275" w:type="dxa"/>
            <w:gridSpan w:val="2"/>
            <w:vMerge/>
            <w:tcBorders>
              <w:left w:val="single" w:sz="4" w:space="0" w:color="FFFFFF"/>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163" w:type="dxa"/>
            <w:vMerge w:val="restart"/>
            <w:tcBorders>
              <w:top w:val="nil" w:sz="6" w:space="0" w:color="auto"/>
              <w:left w:val="single" w:sz="4" w:space="0" w:color="000000"/>
              <w:right w:val="single" w:sz="4" w:space="0" w:color="000000"/>
            </w:tcBorders>
            <w:shd w:val="clear" w:color="auto" w:fill="D2D2D2"/>
          </w:tcPr>
          <w:p>
            <w:pPr/>
          </w:p>
        </w:tc>
        <w:tc>
          <w:tcPr>
            <w:tcW w:w="852" w:type="dxa"/>
            <w:gridSpan w:val="2"/>
            <w:vMerge w:val="restart"/>
            <w:tcBorders>
              <w:top w:val="nil" w:sz="6" w:space="0" w:color="auto"/>
              <w:left w:val="single" w:sz="4" w:space="0" w:color="000000"/>
              <w:right w:val="single" w:sz="4" w:space="0" w:color="FFFFFF"/>
            </w:tcBorders>
            <w:shd w:val="clear" w:color="auto" w:fill="D2D2D2"/>
          </w:tcPr>
          <w:p>
            <w:pPr/>
          </w:p>
        </w:tc>
        <w:tc>
          <w:tcPr>
            <w:tcW w:w="1275" w:type="dxa"/>
            <w:gridSpan w:val="2"/>
            <w:vMerge/>
            <w:tcBorders>
              <w:left w:val="single" w:sz="4" w:space="0" w:color="FFFFFF"/>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FFFFFF"/>
            </w:tcBorders>
            <w:shd w:val="clear" w:color="auto" w:fill="D2D2D2"/>
          </w:tcPr>
          <w:p>
            <w:pPr/>
          </w:p>
        </w:tc>
        <w:tc>
          <w:tcPr>
            <w:tcW w:w="1275" w:type="dxa"/>
            <w:gridSpan w:val="2"/>
            <w:tcBorders>
              <w:top w:val="nil" w:sz="6" w:space="0" w:color="auto"/>
              <w:left w:val="single" w:sz="4" w:space="0" w:color="FFFFFF"/>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54.11%</w:t>
            </w:r>
          </w:p>
        </w:tc>
        <w:tc>
          <w:tcPr>
            <w:tcW w:w="1275"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179,095,493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179,095,493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8" w:space="0" w:color="D2D2D2"/>
              <w:left w:val="single" w:sz="4" w:space="0" w:color="000000"/>
              <w:bottom w:val="single" w:sz="4" w:space="0" w:color="000000"/>
              <w:right w:val="single" w:sz="4" w:space="0" w:color="000000"/>
            </w:tcBorders>
          </w:tcPr>
          <w:p>
            <w:pPr/>
          </w:p>
        </w:tc>
        <w:tc>
          <w:tcPr>
            <w:tcW w:w="1062" w:type="dxa"/>
            <w:tcBorders>
              <w:top w:val="single" w:sz="48" w:space="0" w:color="D2D2D2"/>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弘毅投资</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65" w:right="0"/>
              <w:jc w:val="left"/>
              <w:rPr>
                <w:rFonts w:ascii="Times New Roman" w:hAnsi="Times New Roman" w:cs="Times New Roman" w:eastAsia="Times New Roman" w:hint="default"/>
                <w:sz w:val="18"/>
                <w:szCs w:val="18"/>
              </w:rPr>
            </w:pPr>
            <w:r>
              <w:rPr>
                <w:rFonts w:ascii="Times New Roman"/>
                <w:sz w:val="18"/>
              </w:rPr>
              <w:t>19.70%</w:t>
            </w:r>
          </w:p>
        </w:tc>
        <w:tc>
          <w:tcPr>
            <w:tcW w:w="1275"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65,198,394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65,198,394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绵阳基金</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65" w:right="0"/>
              <w:jc w:val="left"/>
              <w:rPr>
                <w:rFonts w:ascii="Times New Roman" w:hAnsi="Times New Roman" w:cs="Times New Roman" w:eastAsia="Times New Roman" w:hint="default"/>
                <w:sz w:val="18"/>
                <w:szCs w:val="18"/>
              </w:rPr>
            </w:pPr>
            <w:r>
              <w:rPr>
                <w:rFonts w:ascii="Times New Roman"/>
                <w:sz w:val="18"/>
              </w:rPr>
              <w:t>10.94%</w:t>
            </w:r>
          </w:p>
        </w:tc>
        <w:tc>
          <w:tcPr>
            <w:tcW w:w="1275"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36,200,809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36,200,809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湖南高新创投</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7.02%</w:t>
            </w:r>
          </w:p>
        </w:tc>
        <w:tc>
          <w:tcPr>
            <w:tcW w:w="1275"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23,225,939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13,991,06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23,225,939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红杉资本</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5.47%</w:t>
            </w:r>
          </w:p>
        </w:tc>
        <w:tc>
          <w:tcPr>
            <w:tcW w:w="1275"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18,100,403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18,100,403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西藏弘志</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2.77%</w:t>
            </w:r>
          </w:p>
        </w:tc>
        <w:tc>
          <w:tcPr>
            <w:tcW w:w="1275"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9,178,962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9,178,962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9,178,962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159"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59"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芒果传媒与湖南高新创投为一致行动关系。</w:t>
            </w:r>
          </w:p>
        </w:tc>
      </w:tr>
      <w:tr>
        <w:trPr>
          <w:trHeight w:val="402" w:hRule="exact"/>
        </w:trPr>
        <w:tc>
          <w:tcPr>
            <w:tcW w:w="956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2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181"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76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62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81"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60"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28" w:type="dxa"/>
            <w:gridSpan w:val="3"/>
            <w:vMerge/>
            <w:tcBorders>
              <w:left w:val="single" w:sz="4" w:space="0" w:color="000000"/>
              <w:bottom w:val="nil" w:sz="6" w:space="0" w:color="auto"/>
              <w:right w:val="single" w:sz="4" w:space="0" w:color="000000"/>
            </w:tcBorders>
            <w:shd w:val="clear" w:color="auto" w:fill="D2D2D2"/>
          </w:tcPr>
          <w:p>
            <w:pPr/>
          </w:p>
        </w:tc>
        <w:tc>
          <w:tcPr>
            <w:tcW w:w="4181" w:type="dxa"/>
            <w:gridSpan w:val="6"/>
            <w:vMerge/>
            <w:tcBorders>
              <w:left w:val="single" w:sz="4" w:space="0" w:color="000000"/>
              <w:bottom w:val="nil" w:sz="6" w:space="0" w:color="auto"/>
              <w:right w:val="single" w:sz="4" w:space="0" w:color="000000"/>
            </w:tcBorders>
            <w:shd w:val="clear" w:color="auto" w:fill="D2D2D2"/>
          </w:tcPr>
          <w:p>
            <w:pPr/>
          </w:p>
        </w:tc>
        <w:tc>
          <w:tcPr>
            <w:tcW w:w="16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2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181"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698" w:type="dxa"/>
            <w:gridSpan w:val="3"/>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181" w:type="dxa"/>
            <w:gridSpan w:val="6"/>
            <w:tcBorders>
              <w:top w:val="single" w:sz="4" w:space="0" w:color="000000"/>
              <w:left w:val="single" w:sz="4" w:space="0" w:color="000000"/>
              <w:bottom w:val="single" w:sz="4" w:space="0" w:color="000000"/>
              <w:right w:val="single" w:sz="4" w:space="0" w:color="000000"/>
            </w:tcBorders>
          </w:tcPr>
          <w:p>
            <w:pPr/>
          </w:p>
        </w:tc>
        <w:tc>
          <w:tcPr>
            <w:tcW w:w="16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6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4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6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公司股东在报告期内是否进行约定购回交易</w:t>
      </w:r>
    </w:p>
    <w:p>
      <w:pPr>
        <w:pStyle w:val="BodyText"/>
        <w:spacing w:line="338" w:lineRule="auto" w:before="117"/>
        <w:ind w:left="153"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after="0" w:line="338" w:lineRule="auto"/>
        <w:jc w:val="left"/>
        <w:sectPr>
          <w:pgSz w:w="11910" w:h="16840"/>
          <w:pgMar w:header="851" w:footer="979" w:top="132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31"/>
        <w:ind w:left="154" w:right="0"/>
        <w:jc w:val="left"/>
        <w:rPr>
          <w:b w:val="0"/>
          <w:bCs w:val="0"/>
        </w:rPr>
      </w:pPr>
      <w:bookmarkStart w:name="2、公司控股股东情况" w:id="38"/>
      <w:bookmarkEnd w:id="3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left="0" w:right="160"/>
        <w:jc w:val="right"/>
      </w:pPr>
      <w:r>
        <w:rPr/>
        <w:pict>
          <v:shape style="position:absolute;margin-left:56.459999pt;margin-top:-98.938278pt;width:479.2pt;height:149.950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91" w:right="66"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67078808-7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5"/>
                          <w:jc w:val="right"/>
                          <w:rPr>
                            <w:rFonts w:ascii="宋体" w:hAnsi="宋体" w:cs="宋体" w:eastAsia="宋体" w:hint="default"/>
                            <w:sz w:val="18"/>
                            <w:szCs w:val="18"/>
                          </w:rPr>
                        </w:pPr>
                        <w:r>
                          <w:rPr>
                            <w:rFonts w:ascii="Times New Roman" w:hAnsi="Times New Roman" w:cs="Times New Roman" w:eastAsia="Times New Roman" w:hint="default"/>
                            <w:sz w:val="18"/>
                            <w:szCs w:val="18"/>
                          </w:rPr>
                          <w:t>1,050,000,000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6"/>
                            <w:sz w:val="18"/>
                            <w:szCs w:val="18"/>
                          </w:rPr>
                          <w:t>广播电视节目策划、制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作、经营（凭本企业许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可证书经营）；法律法</w:t>
                        </w:r>
                        <w:r>
                          <w:rPr>
                            <w:rFonts w:ascii="宋体" w:hAnsi="宋体" w:cs="宋体" w:eastAsia="宋体" w:hint="default"/>
                            <w:sz w:val="18"/>
                            <w:szCs w:val="18"/>
                          </w:rPr>
                          <w:t> 规允许的资产管理与 </w:t>
                        </w:r>
                        <w:r>
                          <w:rPr>
                            <w:rFonts w:ascii="宋体" w:hAnsi="宋体" w:cs="宋体" w:eastAsia="宋体" w:hint="default"/>
                            <w:spacing w:val="-15"/>
                            <w:sz w:val="18"/>
                            <w:szCs w:val="18"/>
                          </w:rPr>
                          <w:t>投资；广告策划、制作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经营；多媒体技术开 发、经营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154" w:right="0"/>
        <w:jc w:val="left"/>
      </w:pPr>
      <w:r>
        <w:rPr/>
        <w:t>控股股东报告期内变更</w:t>
      </w:r>
    </w:p>
    <w:p>
      <w:pPr>
        <w:pStyle w:val="BodyText"/>
        <w:spacing w:line="340" w:lineRule="auto" w:before="116"/>
        <w:ind w:left="153"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39"/>
      <w:bookmarkEnd w:id="3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left="0" w:right="160"/>
        <w:jc w:val="right"/>
      </w:pPr>
      <w:r>
        <w:rPr/>
        <w:pict>
          <v:shape style="position:absolute;margin-left:56.459999pt;margin-top:-98.968285pt;width:479.2pt;height:279.2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71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91" w:right="66"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88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44487795-4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389115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广播新闻和其它信息， </w:t>
                        </w:r>
                        <w:r>
                          <w:rPr>
                            <w:rFonts w:ascii="宋体" w:hAnsi="宋体" w:cs="宋体" w:eastAsia="宋体" w:hint="default"/>
                            <w:spacing w:val="-6"/>
                            <w:sz w:val="18"/>
                            <w:szCs w:val="18"/>
                          </w:rPr>
                          <w:t>播映电视节目，促进社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会经济文化发展，新闻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广播、专题广播、文艺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广播、咨询服务、广告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广播技术服务、广播研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究、广播业务培训、音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像制品出版与发行，电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视节目制作、电视节目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播出，电视节目转播， </w:t>
                        </w:r>
                        <w:r>
                          <w:rPr>
                            <w:rFonts w:ascii="宋体" w:hAnsi="宋体" w:cs="宋体" w:eastAsia="宋体" w:hint="default"/>
                            <w:spacing w:val="-6"/>
                            <w:sz w:val="18"/>
                            <w:szCs w:val="18"/>
                          </w:rPr>
                          <w:t>电视产业经营，电视研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究。</w:t>
                        </w:r>
                      </w:p>
                    </w:tc>
                  </w:tr>
                  <w:tr>
                    <w:trPr>
                      <w:trHeight w:val="1026"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公司实际控制人通过湖南广播电视产业中心持有湖南电广传媒股份有限公司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17.13%</w:t>
                        </w:r>
                        <w:r>
                          <w:rPr>
                            <w:rFonts w:ascii="宋体" w:hAnsi="宋体" w:cs="宋体" w:eastAsia="宋体" w:hint="default"/>
                            <w:sz w:val="18"/>
                            <w:szCs w:val="18"/>
                          </w:rPr>
                          <w:t>的股份， 是其实际控制人。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154" w:right="0"/>
        <w:jc w:val="left"/>
      </w:pPr>
      <w:r>
        <w:rPr/>
        <w:t>实际控制人报告期内变更</w:t>
      </w:r>
    </w:p>
    <w:p>
      <w:pPr>
        <w:pStyle w:val="BodyText"/>
        <w:spacing w:line="350" w:lineRule="auto" w:before="117"/>
        <w:ind w:left="153"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50" w:lineRule="auto"/>
        <w:jc w:val="left"/>
        <w:sectPr>
          <w:pgSz w:w="11910" w:h="16840"/>
          <w:pgMar w:header="851" w:footer="979" w:top="132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9"/>
          <w:szCs w:val="9"/>
        </w:rPr>
      </w:pPr>
    </w:p>
    <w:p>
      <w:pPr>
        <w:spacing w:line="6390" w:lineRule="exact"/>
        <w:ind w:left="1440" w:right="0" w:firstLine="0"/>
        <w:rPr>
          <w:rFonts w:ascii="宋体" w:hAnsi="宋体" w:cs="宋体" w:eastAsia="宋体" w:hint="default"/>
          <w:sz w:val="20"/>
          <w:szCs w:val="20"/>
        </w:rPr>
      </w:pPr>
      <w:r>
        <w:rPr>
          <w:rFonts w:ascii="宋体" w:hAnsi="宋体" w:cs="宋体" w:eastAsia="宋体" w:hint="default"/>
          <w:position w:val="-127"/>
          <w:sz w:val="20"/>
          <w:szCs w:val="20"/>
        </w:rPr>
        <w:drawing>
          <wp:inline distT="0" distB="0" distL="0" distR="0">
            <wp:extent cx="4486910" cy="40576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486910" cy="4057650"/>
                    </a:xfrm>
                    <a:prstGeom prst="rect">
                      <a:avLst/>
                    </a:prstGeom>
                  </pic:spPr>
                </pic:pic>
              </a:graphicData>
            </a:graphic>
          </wp:inline>
        </w:drawing>
      </w:r>
      <w:r>
        <w:rPr>
          <w:rFonts w:ascii="宋体" w:hAnsi="宋体" w:cs="宋体" w:eastAsia="宋体" w:hint="default"/>
          <w:position w:val="-127"/>
          <w:sz w:val="20"/>
          <w:szCs w:val="20"/>
        </w:rPr>
      </w:r>
    </w:p>
    <w:p>
      <w:pPr>
        <w:spacing w:line="240" w:lineRule="auto" w:before="1"/>
        <w:rPr>
          <w:rFonts w:ascii="宋体" w:hAnsi="宋体" w:cs="宋体" w:eastAsia="宋体" w:hint="default"/>
          <w:sz w:val="19"/>
          <w:szCs w:val="19"/>
        </w:rPr>
      </w:pPr>
    </w:p>
    <w:p>
      <w:pPr>
        <w:pStyle w:val="BodyText"/>
        <w:spacing w:line="240" w:lineRule="auto" w:before="44"/>
        <w:ind w:left="153"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40"/>
      <w:bookmarkEnd w:id="4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83"/>
        <w:gridCol w:w="1542"/>
        <w:gridCol w:w="1065"/>
        <w:gridCol w:w="1592"/>
        <w:gridCol w:w="1385"/>
        <w:gridCol w:w="1801"/>
      </w:tblGrid>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5" w:right="10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5" w:right="84"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3"/>
                <w:sz w:val="18"/>
                <w:szCs w:val="18"/>
              </w:rPr>
              <w:t>弘毅投资产业一期基金（天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津）（有限合伙）</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John Huan</w:t>
            </w:r>
            <w:r>
              <w:rPr>
                <w:rFonts w:ascii="Times New Roman"/>
                <w:spacing w:val="-2"/>
                <w:sz w:val="18"/>
              </w:rPr>
              <w:t> </w:t>
            </w:r>
            <w:r>
              <w:rPr>
                <w:rFonts w:ascii="Times New Roman"/>
                <w:sz w:val="18"/>
              </w:rPr>
              <w:t>Zhao</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67372753-8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502,600 </w:t>
            </w:r>
            <w:r>
              <w:rPr>
                <w:rFonts w:ascii="宋体" w:hAnsi="宋体" w:cs="宋体" w:eastAsia="宋体" w:hint="default"/>
                <w:sz w:val="18"/>
                <w:szCs w:val="18"/>
              </w:rPr>
              <w:t>万元</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从事非证券类股权投 资活动及相关的咨询 服务。</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绵阳科技城产业投资基金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68238529-3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936,318.4373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股权投资、投资管理、 投资咨询服务。</w:t>
            </w:r>
          </w:p>
        </w:tc>
      </w:tr>
    </w:tbl>
    <w:p>
      <w:pPr>
        <w:spacing w:after="0" w:line="316" w:lineRule="auto"/>
        <w:jc w:val="left"/>
        <w:rPr>
          <w:rFonts w:ascii="宋体" w:hAnsi="宋体" w:cs="宋体" w:eastAsia="宋体" w:hint="default"/>
          <w:sz w:val="18"/>
          <w:szCs w:val="18"/>
        </w:rPr>
        <w:sectPr>
          <w:pgSz w:w="11910" w:h="16840"/>
          <w:pgMar w:header="851" w:footer="979" w:top="1320" w:bottom="116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1"/>
        <w:spacing w:line="240" w:lineRule="auto"/>
        <w:ind w:left="1680" w:right="0"/>
        <w:jc w:val="left"/>
        <w:rPr>
          <w:b w:val="0"/>
          <w:bCs w:val="0"/>
        </w:rPr>
      </w:pPr>
      <w:bookmarkStart w:name="第七节 董事、监事、高级管理人员和员工情况" w:id="41"/>
      <w:bookmarkEnd w:id="41"/>
      <w:r>
        <w:rPr>
          <w:b w:val="0"/>
          <w:bCs w:val="0"/>
        </w:rPr>
      </w:r>
      <w:bookmarkStart w:name="_bookmark6" w:id="42"/>
      <w:bookmarkEnd w:id="42"/>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bookmarkStart w:name="一、董事、监事和高级管理人员持股变动" w:id="43"/>
      <w:bookmarkEnd w:id="43"/>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股情况" w:id="44"/>
      <w:bookmarkEnd w:id="44"/>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3"/>
                <w:sz w:val="18"/>
                <w:szCs w:val="18"/>
              </w:rPr>
              <w:t>长、总</w:t>
            </w:r>
            <w:r>
              <w:rPr>
                <w:rFonts w:ascii="宋体" w:hAnsi="宋体" w:cs="宋体" w:eastAsia="宋体" w:hint="default"/>
                <w:sz w:val="18"/>
                <w:szCs w:val="18"/>
              </w:rPr>
              <w:t>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依法转 让</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常务 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9"/>
              <w:jc w:val="left"/>
              <w:rPr>
                <w:rFonts w:ascii="宋体" w:hAnsi="宋体" w:cs="宋体" w:eastAsia="宋体" w:hint="default"/>
                <w:sz w:val="18"/>
                <w:szCs w:val="18"/>
              </w:rPr>
            </w:pPr>
            <w:r>
              <w:rPr>
                <w:rFonts w:ascii="宋体" w:hAnsi="宋体" w:cs="宋体" w:eastAsia="宋体" w:hint="default"/>
                <w:sz w:val="18"/>
                <w:szCs w:val="18"/>
              </w:rPr>
              <w:t>依法转 让</w:t>
            </w:r>
          </w:p>
        </w:tc>
      </w:tr>
      <w:tr>
        <w:trPr>
          <w:trHeight w:val="22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李牛</w:t>
            </w:r>
          </w:p>
        </w:tc>
        <w:tc>
          <w:tcPr>
            <w:tcW w:w="55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副总 经理、 财务 总监、 董事 会秘</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书</w:t>
            </w:r>
          </w:p>
        </w:tc>
        <w:tc>
          <w:tcPr>
            <w:tcW w:w="68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09"/>
              <w:jc w:val="left"/>
              <w:rPr>
                <w:rFonts w:ascii="宋体" w:hAnsi="宋体" w:cs="宋体" w:eastAsia="宋体" w:hint="default"/>
                <w:sz w:val="18"/>
                <w:szCs w:val="18"/>
              </w:rPr>
            </w:pPr>
            <w:r>
              <w:rPr>
                <w:rFonts w:ascii="宋体" w:hAnsi="宋体" w:cs="宋体" w:eastAsia="宋体" w:hint="default"/>
                <w:sz w:val="18"/>
                <w:szCs w:val="18"/>
              </w:rPr>
              <w:t>依法转 让</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唐伟民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依法转 让</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依法转 让</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张志芳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依法转 让</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江应星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依法转 让</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依法转 让</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依法转</w:t>
            </w:r>
          </w:p>
        </w:tc>
      </w:tr>
    </w:tbl>
    <w:p>
      <w:pPr>
        <w:spacing w:after="0" w:line="240" w:lineRule="auto"/>
        <w:jc w:val="left"/>
        <w:rPr>
          <w:rFonts w:ascii="宋体" w:hAnsi="宋体" w:cs="宋体" w:eastAsia="宋体"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2"/>
        <w:gridCol w:w="684"/>
        <w:gridCol w:w="684"/>
        <w:gridCol w:w="683"/>
        <w:gridCol w:w="684"/>
        <w:gridCol w:w="684"/>
        <w:gridCol w:w="684"/>
        <w:gridCol w:w="684"/>
        <w:gridCol w:w="684"/>
        <w:gridCol w:w="684"/>
      </w:tblGrid>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让</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20,496,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20,496,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ind w:left="154" w:right="0"/>
        <w:jc w:val="both"/>
        <w:rPr>
          <w:b w:val="0"/>
          <w:bCs w:val="0"/>
        </w:rPr>
      </w:pPr>
      <w:bookmarkStart w:name="二、任职情况" w:id="45"/>
      <w:bookmarkEnd w:id="45"/>
      <w:r>
        <w:rPr>
          <w:b w:val="0"/>
          <w:bCs w:val="0"/>
        </w:rPr>
      </w:r>
      <w:r>
        <w:rPr/>
        <w:t>二、任职情况</w:t>
      </w:r>
      <w:r>
        <w:rPr>
          <w:b w:val="0"/>
          <w:bCs w:val="0"/>
        </w:rPr>
      </w:r>
    </w:p>
    <w:p>
      <w:pPr>
        <w:pStyle w:val="BodyText"/>
        <w:spacing w:line="440" w:lineRule="atLeast" w:before="142"/>
        <w:ind w:left="633" w:right="92"/>
        <w:jc w:val="left"/>
      </w:pPr>
      <w:r>
        <w:rPr/>
        <w:t>（一）董事 陈刚，男，</w:t>
      </w:r>
      <w:r>
        <w:rPr>
          <w:rFonts w:ascii="Times New Roman" w:hAnsi="Times New Roman" w:cs="Times New Roman" w:eastAsia="Times New Roman" w:hint="default"/>
        </w:rPr>
        <w:t>1966</w:t>
      </w:r>
      <w:r>
        <w:rPr/>
        <w:t>年出生，毕业于湖南师范大学，汉语言文学专业，本科学历；</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1995</w:t>
      </w:r>
      <w:r>
        <w:rPr/>
        <w:t>年在株洲师范学校任教；</w:t>
      </w:r>
    </w:p>
    <w:p>
      <w:pPr>
        <w:pStyle w:val="BodyText"/>
        <w:spacing w:line="300" w:lineRule="auto" w:before="63"/>
        <w:ind w:left="153" w:right="190"/>
        <w:jc w:val="both"/>
      </w:pP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2005</w:t>
      </w:r>
      <w:r>
        <w:rPr>
          <w:spacing w:val="-2"/>
        </w:rPr>
        <w:t>年历任湖南经视电视台记者、编导、新闻部主任、总编室主任、副台长；</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月任湖南广播影</w:t>
      </w:r>
      <w:r>
        <w:rPr>
          <w:spacing w:val="-47"/>
        </w:rPr>
        <w:t> </w:t>
      </w:r>
      <w:r>
        <w:rPr>
          <w:spacing w:val="-2"/>
        </w:rPr>
        <w:t>视集团副总经理；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月任快乐购有限董事长、总经理；自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月起任股份公司董事长兼总经理。陈刚先生</w:t>
      </w:r>
      <w:r>
        <w:rPr>
          <w:spacing w:val="-51"/>
        </w:rPr>
        <w:t> </w:t>
      </w:r>
      <w:r>
        <w:rPr>
          <w:spacing w:val="-51"/>
        </w:rPr>
      </w:r>
      <w:r>
        <w:rPr/>
        <w:t>目前还兼任芒果传媒副董事长、上海湘芒果文化投资有限公司董事长和湖南经世出版物发行有限公司董事。</w:t>
      </w:r>
    </w:p>
    <w:p>
      <w:pPr>
        <w:pStyle w:val="BodyText"/>
        <w:spacing w:line="300" w:lineRule="auto" w:before="151"/>
        <w:ind w:left="153" w:right="192" w:firstLine="480"/>
        <w:jc w:val="both"/>
      </w:pPr>
      <w:r>
        <w:rPr>
          <w:spacing w:val="-1"/>
        </w:rPr>
        <w:t>崔志芳，女，</w:t>
      </w:r>
      <w:r>
        <w:rPr>
          <w:rFonts w:ascii="Times New Roman" w:hAnsi="Times New Roman" w:cs="Times New Roman" w:eastAsia="Times New Roman" w:hint="default"/>
          <w:spacing w:val="-1"/>
        </w:rPr>
        <w:t>1973</w:t>
      </w:r>
      <w:r>
        <w:rPr>
          <w:spacing w:val="-1"/>
        </w:rPr>
        <w:t>年出生，毕业于中国传媒大学，新闻学专业，后获得美国哥伦比亚大学新闻学硕士学位和工商管理</w:t>
      </w:r>
      <w:r>
        <w:rPr/>
        <w:t> </w:t>
      </w:r>
      <w:r>
        <w:rPr>
          <w:spacing w:val="-2"/>
        </w:rPr>
        <w:t>硕士学位；</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2008</w:t>
      </w:r>
      <w:r>
        <w:rPr>
          <w:spacing w:val="-2"/>
        </w:rPr>
        <w:t>年任中国中央电视台财经频道导演、主编，央视市场研究股份公司总裁助理兼央视索福瑞媒介研究</w:t>
      </w:r>
      <w:r>
        <w:rPr>
          <w:spacing w:val="-58"/>
        </w:rPr>
        <w:t> </w:t>
      </w:r>
      <w:r>
        <w:rPr>
          <w:spacing w:val="-58"/>
        </w:rPr>
      </w:r>
      <w:r>
        <w:rPr>
          <w:spacing w:val="-2"/>
        </w:rPr>
        <w:t>公司副总经理；现任弘毅投资管理（天津）（有限合伙）董事总经理，负责文化传媒行业的投资；</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月任</w:t>
      </w:r>
      <w:r>
        <w:rPr>
          <w:spacing w:val="-57"/>
        </w:rPr>
        <w:t> </w:t>
      </w:r>
      <w:r>
        <w:rPr/>
        <w:t>快乐购有限董事；自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月起任股份公司董事。</w:t>
      </w:r>
    </w:p>
    <w:p>
      <w:pPr>
        <w:pStyle w:val="BodyText"/>
        <w:spacing w:line="300" w:lineRule="auto" w:before="133"/>
        <w:ind w:left="153" w:right="92" w:firstLine="480"/>
        <w:jc w:val="left"/>
      </w:pPr>
      <w:r>
        <w:rPr/>
        <w:t>何勇兵，男，</w:t>
      </w:r>
      <w:r>
        <w:rPr>
          <w:rFonts w:ascii="Times New Roman" w:hAnsi="Times New Roman" w:cs="Times New Roman" w:eastAsia="Times New Roman" w:hint="default"/>
        </w:rPr>
        <w:t>1968</w:t>
      </w:r>
      <w:r>
        <w:rPr/>
        <w:t>年出生，毕业于北京交通大学，会计学专业，经济学硕士，高级会计师；曾就职于光大证券公司、 </w:t>
      </w:r>
      <w:r>
        <w:rPr>
          <w:spacing w:val="-2"/>
        </w:rPr>
        <w:t>嘉融投资有限公司、中国人寿保险股份有限公司；</w:t>
      </w:r>
      <w:r>
        <w:rPr>
          <w:rFonts w:ascii="Times New Roman" w:hAnsi="Times New Roman" w:cs="Times New Roman" w:eastAsia="Times New Roman" w:hint="default"/>
          <w:spacing w:val="-2"/>
        </w:rPr>
        <w:t>2009</w:t>
      </w:r>
      <w:r>
        <w:rPr>
          <w:spacing w:val="-2"/>
        </w:rPr>
        <w:t>年起历任中信产业投资基金管理有限公司投资总监、董事总经理，并</w:t>
      </w:r>
      <w:r>
        <w:rPr>
          <w:spacing w:val="-61"/>
        </w:rPr>
        <w:t> </w:t>
      </w:r>
      <w:r>
        <w:rPr>
          <w:spacing w:val="-61"/>
        </w:rPr>
      </w:r>
      <w:r>
        <w:rPr>
          <w:spacing w:val="-2"/>
        </w:rPr>
        <w:t>兼任百隆东方股份有限公司董事、渤海轮渡股份有限公司、北京高能时代环境技术股份有限公司董事；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0"/>
        </w:rPr>
        <w:t> </w:t>
      </w:r>
      <w:r>
        <w:rPr/>
        <w:t>月任快乐购有限董事；自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月起任股份公司董事。</w:t>
      </w:r>
    </w:p>
    <w:p>
      <w:pPr>
        <w:pStyle w:val="BodyText"/>
        <w:spacing w:line="300" w:lineRule="auto" w:before="133"/>
        <w:ind w:left="153" w:right="189" w:firstLine="480"/>
        <w:jc w:val="both"/>
      </w:pPr>
      <w:r>
        <w:rPr/>
        <w:t>张勇，男，</w:t>
      </w:r>
      <w:r>
        <w:rPr>
          <w:rFonts w:ascii="Times New Roman" w:hAnsi="Times New Roman" w:cs="Times New Roman" w:eastAsia="Times New Roman" w:hint="default"/>
        </w:rPr>
        <w:t>1962</w:t>
      </w:r>
      <w:r>
        <w:rPr/>
        <w:t>年出生，毕业于郑州轻工业学院，机电专业，本科学历，高级工程师；</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4</w:t>
      </w:r>
      <w:r>
        <w:rPr/>
        <w:t>月至今，历任湖南电 视台娱乐频道副总监、 湖南广播影视集团节目营销中心主任、湖南电视台台长助理兼生产调度中心主任；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月开始</w:t>
      </w:r>
      <w:r>
        <w:rPr>
          <w:spacing w:val="-87"/>
        </w:rPr>
        <w:t> </w:t>
      </w:r>
      <w:r>
        <w:rPr>
          <w:spacing w:val="-87"/>
        </w:rPr>
      </w:r>
      <w:r>
        <w:rPr/>
        <w:t>兼任上海天娱传媒有限公司董事长；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月任快乐购有限董事；自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月起任股份公司董事。张勇先生</w:t>
      </w:r>
      <w:r>
        <w:rPr>
          <w:spacing w:val="-83"/>
        </w:rPr>
        <w:t> </w:t>
      </w:r>
      <w:r>
        <w:rPr>
          <w:spacing w:val="-83"/>
        </w:rPr>
      </w:r>
      <w:r>
        <w:rPr/>
        <w:t>目前兼任上海天娱传媒有限公司董事长和芒果传媒有限公司总经理。</w:t>
      </w:r>
    </w:p>
    <w:p>
      <w:pPr>
        <w:pStyle w:val="BodyText"/>
        <w:spacing w:line="300" w:lineRule="auto" w:before="151"/>
        <w:ind w:left="153" w:right="190" w:firstLine="480"/>
        <w:jc w:val="both"/>
      </w:pPr>
      <w:r>
        <w:rPr/>
        <w:t>朱德强，男，</w:t>
      </w:r>
      <w:r>
        <w:rPr>
          <w:rFonts w:ascii="Times New Roman" w:hAnsi="Times New Roman" w:cs="Times New Roman" w:eastAsia="Times New Roman" w:hint="default"/>
        </w:rPr>
        <w:t>1965</w:t>
      </w:r>
      <w:r>
        <w:rPr/>
        <w:t>年出生，毕业于湖南财经学院（</w:t>
      </w:r>
      <w:r>
        <w:rPr>
          <w:rFonts w:ascii="Times New Roman" w:hAnsi="Times New Roman" w:cs="Times New Roman" w:eastAsia="Times New Roman" w:hint="default"/>
        </w:rPr>
        <w:t>2000</w:t>
      </w:r>
      <w:r>
        <w:rPr/>
        <w:t>年并入湖南大学），会计专业，本科学历，会计师；</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 </w:t>
      </w:r>
      <w:r>
        <w:rPr>
          <w:spacing w:val="-2"/>
        </w:rPr>
        <w:t>月至</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9</w:t>
      </w:r>
      <w:r>
        <w:rPr>
          <w:spacing w:val="-2"/>
        </w:rPr>
        <w:t>月于湖南省水利学校任教；</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9</w:t>
      </w:r>
      <w:r>
        <w:rPr>
          <w:spacing w:val="-2"/>
        </w:rPr>
        <w:t>月至今历任湖南电视台计财部会计、湖南经济电视台财务部主任、湖南广播</w:t>
      </w:r>
      <w:r>
        <w:rPr>
          <w:spacing w:val="-56"/>
        </w:rPr>
        <w:t> </w:t>
      </w:r>
      <w:r>
        <w:rPr>
          <w:spacing w:val="-56"/>
        </w:rPr>
      </w:r>
      <w:r>
        <w:rPr/>
        <w:t>电视台财务部主任；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月起任快乐购有限董事；自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月起任股份公司董事；朱德强先生目前还兼任上海天娱传</w:t>
      </w:r>
      <w:r>
        <w:rPr>
          <w:spacing w:val="-83"/>
        </w:rPr>
        <w:t> </w:t>
      </w:r>
      <w:r>
        <w:rPr>
          <w:spacing w:val="-83"/>
        </w:rPr>
      </w:r>
      <w:r>
        <w:rPr/>
        <w:t>媒有限公司监事、上海湘芒果文化投资有限公司董事、湖南芒果国际文化传播有限公司监事。</w:t>
      </w:r>
    </w:p>
    <w:p>
      <w:pPr>
        <w:pStyle w:val="BodyText"/>
        <w:spacing w:line="300" w:lineRule="auto" w:before="151"/>
        <w:ind w:left="153" w:right="189" w:firstLine="480"/>
        <w:jc w:val="both"/>
      </w:pPr>
      <w:r>
        <w:rPr/>
        <w:t>唐靓，男，</w:t>
      </w:r>
      <w:r>
        <w:rPr>
          <w:rFonts w:ascii="Times New Roman" w:hAnsi="Times New Roman" w:cs="Times New Roman" w:eastAsia="Times New Roman" w:hint="default"/>
        </w:rPr>
        <w:t>1976</w:t>
      </w:r>
      <w:r>
        <w:rPr/>
        <w:t>年出生，毕业于湖南师范大学，英语教育专业，本科学历，湖南大学</w:t>
      </w:r>
      <w:r>
        <w:rPr>
          <w:rFonts w:ascii="Times New Roman" w:hAnsi="Times New Roman" w:cs="Times New Roman" w:eastAsia="Times New Roman" w:hint="default"/>
        </w:rPr>
        <w:t>EMBA</w:t>
      </w:r>
      <w:r>
        <w:rPr/>
        <w:t>在读；</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2005 </w:t>
      </w:r>
      <w:r>
        <w:rPr/>
        <w:t>年</w:t>
      </w:r>
      <w:r>
        <w:rPr>
          <w:rFonts w:ascii="Times New Roman" w:hAnsi="Times New Roman" w:cs="Times New Roman" w:eastAsia="Times New Roman" w:hint="default"/>
        </w:rPr>
        <w:t>11</w:t>
      </w:r>
      <w:r>
        <w:rPr/>
        <w:t>月历任湖南经济电视台新闻部编辑、责任编辑、制片人、新闻中心副主任、北京节目中心主任；</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月公派英国威斯敏斯特大学学习；</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月任快乐购有限副总经理；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月任股份公司副总</w:t>
      </w:r>
      <w:r>
        <w:rPr>
          <w:spacing w:val="-83"/>
        </w:rPr>
        <w:t> </w:t>
      </w:r>
      <w:r>
        <w:rPr>
          <w:spacing w:val="-83"/>
        </w:rPr>
      </w:r>
      <w:r>
        <w:rPr/>
        <w:t>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月起任股份公司常务副总经理；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月起任股份公司常务副总经理兼董事。</w:t>
      </w:r>
    </w:p>
    <w:p>
      <w:pPr>
        <w:pStyle w:val="BodyText"/>
        <w:spacing w:line="300" w:lineRule="auto" w:before="133"/>
        <w:ind w:left="153" w:right="190" w:firstLine="480"/>
        <w:jc w:val="both"/>
      </w:pPr>
      <w:r>
        <w:rPr>
          <w:spacing w:val="-1"/>
        </w:rPr>
        <w:t>江水波，男，</w:t>
      </w:r>
      <w:r>
        <w:rPr>
          <w:rFonts w:ascii="Times New Roman" w:hAnsi="Times New Roman" w:cs="Times New Roman" w:eastAsia="Times New Roman" w:hint="default"/>
          <w:spacing w:val="-1"/>
        </w:rPr>
        <w:t>1953</w:t>
      </w:r>
      <w:r>
        <w:rPr>
          <w:spacing w:val="-1"/>
        </w:rPr>
        <w:t>年出生，中国社会科学院研究生院商业经济专业研究生学历，注册会计师，高级会计师，于</w:t>
      </w:r>
      <w:r>
        <w:rPr>
          <w:rFonts w:ascii="Times New Roman" w:hAnsi="Times New Roman" w:cs="Times New Roman" w:eastAsia="Times New Roman" w:hint="default"/>
          <w:spacing w:val="-1"/>
        </w:rPr>
        <w:t>2006</w:t>
      </w:r>
      <w:r>
        <w:rPr>
          <w:spacing w:val="-1"/>
        </w:rPr>
        <w:t>年</w:t>
      </w:r>
      <w:r>
        <w:rPr/>
        <w:t> </w:t>
      </w:r>
      <w:r>
        <w:rPr>
          <w:rFonts w:ascii="Times New Roman" w:hAnsi="Times New Roman" w:cs="Times New Roman" w:eastAsia="Times New Roman" w:hint="default"/>
        </w:rPr>
        <w:t>4</w:t>
      </w:r>
      <w:r>
        <w:rPr/>
        <w:t>月获得独立董事任职资格培训班结业证书；</w:t>
      </w:r>
      <w:r>
        <w:rPr>
          <w:rFonts w:ascii="Times New Roman" w:hAnsi="Times New Roman" w:cs="Times New Roman" w:eastAsia="Times New Roman" w:hint="default"/>
        </w:rPr>
        <w:t>1976</w:t>
      </w:r>
      <w:r>
        <w:rPr/>
        <w:t>年至</w:t>
      </w:r>
      <w:r>
        <w:rPr>
          <w:rFonts w:ascii="Times New Roman" w:hAnsi="Times New Roman" w:cs="Times New Roman" w:eastAsia="Times New Roman" w:hint="default"/>
        </w:rPr>
        <w:t>2002</w:t>
      </w:r>
      <w:r>
        <w:rPr/>
        <w:t>年历任湖南省财政厅预算处副科级干部、综合计划处副处长、预</w:t>
      </w:r>
      <w:r>
        <w:rPr>
          <w:spacing w:val="-84"/>
        </w:rPr>
        <w:t> </w:t>
      </w:r>
      <w:r>
        <w:rPr>
          <w:spacing w:val="-84"/>
        </w:rPr>
      </w:r>
      <w:r>
        <w:rPr>
          <w:spacing w:val="-2"/>
        </w:rPr>
        <w:t>算处副处长、处长，湖南省宁乡县人民政府副县长（挂职）、财政厅副厅长、常务副厅长；</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2007</w:t>
      </w:r>
      <w:r>
        <w:rPr>
          <w:spacing w:val="-2"/>
        </w:rPr>
        <w:t>年任湖南天兴会计</w:t>
      </w:r>
      <w:r>
        <w:rPr>
          <w:spacing w:val="-62"/>
        </w:rPr>
        <w:t> </w:t>
      </w:r>
      <w:r>
        <w:rPr>
          <w:spacing w:val="-62"/>
        </w:rPr>
      </w:r>
      <w:r>
        <w:rPr>
          <w:spacing w:val="-2"/>
        </w:rPr>
        <w:t>师事务所董事长；</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spacing w:val="-2"/>
        </w:rPr>
        <w:t>年任开元信德会计师事务所名誉董事长；</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年任天健会计师事务所顾问；自</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5</w:t>
      </w:r>
      <w:r>
        <w:rPr/>
        <w:t>月起任股份公司独立董事。江水波先生目前还兼任现代投资股份有限公司独立董事。</w:t>
      </w:r>
    </w:p>
    <w:p>
      <w:pPr>
        <w:pStyle w:val="BodyText"/>
        <w:spacing w:line="300" w:lineRule="auto" w:before="133"/>
        <w:ind w:left="153" w:right="191" w:firstLine="480"/>
        <w:jc w:val="both"/>
      </w:pPr>
      <w:r>
        <w:rPr/>
        <w:t>厉玲，女，</w:t>
      </w:r>
      <w:r>
        <w:rPr>
          <w:rFonts w:ascii="Times New Roman" w:hAnsi="Times New Roman" w:cs="Times New Roman" w:eastAsia="Times New Roman" w:hint="default"/>
        </w:rPr>
        <w:t>1958</w:t>
      </w:r>
      <w:r>
        <w:rPr/>
        <w:t>年出生，毕业于杭州大学，生物学硕士；</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9</w:t>
      </w:r>
      <w:r>
        <w:rPr/>
        <w:t>月在杭州大学生物系任教；</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9</w:t>
      </w:r>
      <w:r>
        <w:rPr/>
        <w:t>月 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月历任杭州市工业经营公司办公室主任、杭州大厦购物中心办公室主任、公关部经理、杭州大厦副总经理兼购物</w:t>
      </w:r>
      <w:r>
        <w:rPr>
          <w:spacing w:val="-83"/>
        </w:rPr>
        <w:t> </w:t>
      </w:r>
      <w:r>
        <w:rPr>
          <w:spacing w:val="-83"/>
        </w:rPr>
      </w:r>
      <w:r>
        <w:rPr>
          <w:spacing w:val="-2"/>
        </w:rPr>
        <w:t>中心总经理；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2004</w:t>
      </w:r>
      <w:r>
        <w:rPr>
          <w:spacing w:val="-2"/>
        </w:rPr>
        <w:t>年任浙江银泰百货有限公司总经理；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2006</w:t>
      </w:r>
      <w:r>
        <w:rPr>
          <w:spacing w:val="-2"/>
        </w:rPr>
        <w:t>年任深圳华润中心万象城总经理；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 </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月任北京华熙长安商业中心有限公司总经理；自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月起任股份公司独立董事。</w:t>
      </w:r>
    </w:p>
    <w:p>
      <w:pPr>
        <w:pStyle w:val="BodyText"/>
        <w:spacing w:line="240" w:lineRule="auto" w:before="13"/>
        <w:ind w:left="534" w:right="92"/>
        <w:jc w:val="left"/>
      </w:pPr>
      <w:r>
        <w:rPr/>
        <w:t>宋建武，男，</w:t>
      </w:r>
      <w:r>
        <w:rPr>
          <w:rFonts w:ascii="Times New Roman" w:hAnsi="Times New Roman" w:cs="Times New Roman" w:eastAsia="Times New Roman" w:hint="default"/>
        </w:rPr>
        <w:t>1963</w:t>
      </w:r>
      <w:r>
        <w:rPr/>
        <w:t>年出生，毕业于中国人民大学新闻学院，传播学专业，博士学位；于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月获得独立董事任职资</w:t>
      </w:r>
    </w:p>
    <w:p>
      <w:pPr>
        <w:spacing w:after="0" w:line="240" w:lineRule="auto"/>
        <w:jc w:val="left"/>
        <w:sectPr>
          <w:pgSz w:w="11910" w:h="16840"/>
          <w:pgMar w:header="851" w:footer="979" w:top="1320" w:bottom="1160" w:left="980" w:right="940"/>
        </w:sectPr>
      </w:pPr>
    </w:p>
    <w:p>
      <w:pPr>
        <w:pStyle w:val="BodyText"/>
        <w:spacing w:line="304" w:lineRule="auto" w:before="114"/>
        <w:ind w:left="153" w:right="189"/>
        <w:jc w:val="both"/>
      </w:pPr>
      <w:r>
        <w:rPr/>
        <w:t>格培训教育合格证，于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月获得独立董事后续培训证书；</w:t>
      </w:r>
      <w:r>
        <w:rPr>
          <w:rFonts w:ascii="Times New Roman" w:hAnsi="Times New Roman" w:cs="Times New Roman" w:eastAsia="Times New Roman" w:hint="default"/>
        </w:rPr>
        <w:t>1984</w:t>
      </w:r>
      <w:r>
        <w:rPr/>
        <w:t>年至</w:t>
      </w:r>
      <w:r>
        <w:rPr>
          <w:rFonts w:ascii="Times New Roman" w:hAnsi="Times New Roman" w:cs="Times New Roman" w:eastAsia="Times New Roman" w:hint="default"/>
        </w:rPr>
        <w:t>2005</w:t>
      </w:r>
      <w:r>
        <w:rPr/>
        <w:t>年在中国人民大学新闻学院任教，历任中国人</w:t>
      </w:r>
      <w:r>
        <w:rPr>
          <w:spacing w:val="-83"/>
        </w:rPr>
        <w:t> </w:t>
      </w:r>
      <w:r>
        <w:rPr>
          <w:spacing w:val="-83"/>
        </w:rPr>
      </w:r>
      <w:r>
        <w:rPr/>
        <w:t>民大学传播媒介管理研究所常务副所长、所长；</w:t>
      </w:r>
      <w:r>
        <w:rPr>
          <w:rFonts w:ascii="Times New Roman" w:hAnsi="Times New Roman" w:cs="Times New Roman" w:eastAsia="Times New Roman" w:hint="default"/>
        </w:rPr>
        <w:t>2006</w:t>
      </w:r>
      <w:r>
        <w:rPr/>
        <w:t>年至今担任中国政法大学教授、博士生导师，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spacing w:val="-82"/>
        </w:rPr>
        <w:t> </w:t>
      </w:r>
      <w:r>
        <w:rPr/>
        <w:t>担任中国政法大学新闻与传播学院院长；自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月起担任股份公司独立董事。宋建武先生目前还兼任建银国际文化产业</w:t>
      </w:r>
      <w:r>
        <w:rPr>
          <w:spacing w:val="-83"/>
        </w:rPr>
        <w:t> </w:t>
      </w:r>
      <w:r>
        <w:rPr>
          <w:spacing w:val="-83"/>
        </w:rPr>
      </w:r>
      <w:r>
        <w:rPr>
          <w:spacing w:val="-2"/>
        </w:rPr>
        <w:t>基金顾问，上海东方网股份有限公司、深圳天威视讯股份有限公司、北青传媒股份有限公司和浙报传媒集团股份有限公司独</w:t>
      </w:r>
      <w:r>
        <w:rPr>
          <w:spacing w:val="-66"/>
        </w:rPr>
        <w:t> </w:t>
      </w:r>
      <w:r>
        <w:rPr>
          <w:spacing w:val="-66"/>
        </w:rPr>
      </w:r>
      <w:r>
        <w:rPr/>
        <w:t>立董事。</w:t>
      </w:r>
    </w:p>
    <w:p>
      <w:pPr>
        <w:pStyle w:val="BodyText"/>
        <w:spacing w:line="240" w:lineRule="auto" w:before="28"/>
        <w:ind w:left="444" w:right="5193"/>
        <w:jc w:val="left"/>
      </w:pPr>
      <w:r>
        <w:rPr/>
        <w:t>（二）监事</w:t>
      </w:r>
    </w:p>
    <w:p>
      <w:pPr>
        <w:spacing w:line="240" w:lineRule="auto" w:before="0"/>
        <w:rPr>
          <w:rFonts w:ascii="宋体" w:hAnsi="宋体" w:cs="宋体" w:eastAsia="宋体" w:hint="default"/>
          <w:sz w:val="15"/>
          <w:szCs w:val="15"/>
        </w:rPr>
      </w:pPr>
    </w:p>
    <w:p>
      <w:pPr>
        <w:pStyle w:val="BodyText"/>
        <w:spacing w:line="300" w:lineRule="auto"/>
        <w:ind w:left="154" w:right="190" w:firstLine="480"/>
        <w:jc w:val="both"/>
      </w:pPr>
      <w:r>
        <w:rPr>
          <w:spacing w:val="-4"/>
        </w:rPr>
        <w:t>陈道德，男，</w:t>
      </w:r>
      <w:r>
        <w:rPr>
          <w:rFonts w:ascii="Times New Roman" w:hAnsi="Times New Roman" w:cs="Times New Roman" w:eastAsia="Times New Roman" w:hint="default"/>
          <w:spacing w:val="-4"/>
        </w:rPr>
        <w:t>1955</w:t>
      </w:r>
      <w:r>
        <w:rPr>
          <w:spacing w:val="-4"/>
        </w:rPr>
        <w:t>年出生，毕业于辽宁大学，经济管理专业，本科学历，高级会计师；曾任国防科技大学财务处处长，</w:t>
      </w:r>
      <w:r>
        <w:rPr/>
        <w:t> 湖南广播影视集团资产财务部副主任、主任；</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月至今任湖南广播电视台经营与产业委员会副主任；目前还兼任湖南</w:t>
      </w:r>
      <w:r>
        <w:rPr>
          <w:spacing w:val="-83"/>
        </w:rPr>
        <w:t> </w:t>
      </w:r>
      <w:r>
        <w:rPr>
          <w:spacing w:val="-83"/>
        </w:rPr>
      </w:r>
      <w:r>
        <w:rPr/>
        <w:t>电广传媒股份有限公司监事和湖南广播电视产业中心法定代表人兼董事长；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月任快乐购有限监事；自</w:t>
      </w:r>
      <w:r>
        <w:rPr>
          <w:spacing w:val="-1"/>
        </w:rPr>
        <w:t> </w:t>
      </w:r>
      <w:r>
        <w:rPr>
          <w:spacing w:val="-1"/>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月起任股份公司监事会主席。</w:t>
      </w:r>
    </w:p>
    <w:p>
      <w:pPr>
        <w:pStyle w:val="BodyText"/>
        <w:spacing w:line="300" w:lineRule="auto" w:before="133"/>
        <w:ind w:left="153" w:right="189" w:firstLine="480"/>
        <w:jc w:val="both"/>
      </w:pPr>
      <w:r>
        <w:rPr>
          <w:spacing w:val="-1"/>
        </w:rPr>
        <w:t>曹永刚，男，</w:t>
      </w:r>
      <w:r>
        <w:rPr>
          <w:rFonts w:ascii="Times New Roman" w:hAnsi="Times New Roman" w:cs="Times New Roman" w:eastAsia="Times New Roman" w:hint="default"/>
          <w:spacing w:val="-1"/>
        </w:rPr>
        <w:t>1972</w:t>
      </w:r>
      <w:r>
        <w:rPr>
          <w:spacing w:val="-1"/>
        </w:rPr>
        <w:t>年出生，毕业于北京大学，国际法硕士；</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8</w:t>
      </w:r>
      <w:r>
        <w:rPr>
          <w:spacing w:val="-1"/>
        </w:rPr>
        <w:t>月任中化天津进出口公司企业法律顾</w:t>
      </w:r>
      <w:r>
        <w:rPr/>
        <w:t> 问；</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月任竞天公诚律师事务所律师；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月至今任弘毅投资董事总经理；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w:t>
      </w:r>
      <w:r>
        <w:rPr>
          <w:spacing w:val="-83"/>
        </w:rPr>
        <w:t> </w:t>
      </w:r>
      <w:r>
        <w:rPr>
          <w:spacing w:val="-4"/>
        </w:rPr>
        <w:t>快乐购有限监事；自</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5</w:t>
      </w:r>
      <w:r>
        <w:rPr>
          <w:spacing w:val="-4"/>
        </w:rPr>
        <w:t>月起任股份公司监事。曹永刚先生目前还兼任长沙中联重工科技发展股份有限公司监事会主席、</w:t>
      </w:r>
      <w:r>
        <w:rPr>
          <w:spacing w:val="-36"/>
        </w:rPr>
        <w:t> </w:t>
      </w:r>
      <w:r>
        <w:rPr>
          <w:spacing w:val="-36"/>
        </w:rPr>
      </w:r>
      <w:r>
        <w:rPr/>
        <w:t>深圳恒大盈海投资有限公司董事和利捷公务航空有限公司董事。</w:t>
      </w:r>
    </w:p>
    <w:p>
      <w:pPr>
        <w:pStyle w:val="BodyText"/>
        <w:spacing w:line="300" w:lineRule="auto" w:before="31"/>
        <w:ind w:left="153" w:right="190" w:firstLine="290"/>
        <w:jc w:val="both"/>
      </w:pPr>
      <w:r>
        <w:rPr>
          <w:spacing w:val="-1"/>
        </w:rPr>
        <w:t>朱寰，女，</w:t>
      </w:r>
      <w:r>
        <w:rPr>
          <w:rFonts w:ascii="Times New Roman" w:hAnsi="Times New Roman" w:cs="Times New Roman" w:eastAsia="Times New Roman" w:hint="default"/>
          <w:spacing w:val="-1"/>
        </w:rPr>
        <w:t>1974</w:t>
      </w:r>
      <w:r>
        <w:rPr>
          <w:spacing w:val="-1"/>
        </w:rPr>
        <w:t>年出生，毕业于湖南商学院，会计学专业，本科学历，注册会计师（非执业）；</w:t>
      </w:r>
      <w:r>
        <w:rPr>
          <w:rFonts w:ascii="Times New Roman" w:hAnsi="Times New Roman" w:cs="Times New Roman" w:eastAsia="Times New Roman" w:hint="default"/>
          <w:spacing w:val="-1"/>
        </w:rPr>
        <w:t>1991</w:t>
      </w:r>
      <w:r>
        <w:rPr>
          <w:spacing w:val="-1"/>
        </w:rPr>
        <w:t>年至</w:t>
      </w:r>
      <w:r>
        <w:rPr>
          <w:rFonts w:ascii="Times New Roman" w:hAnsi="Times New Roman" w:cs="Times New Roman" w:eastAsia="Times New Roman" w:hint="default"/>
          <w:spacing w:val="-1"/>
        </w:rPr>
        <w:t>2005</w:t>
      </w:r>
      <w:r>
        <w:rPr>
          <w:spacing w:val="-1"/>
        </w:rPr>
        <w:t>年任职于</w:t>
      </w:r>
      <w:r>
        <w:rPr/>
        <w:t> 益阳市自来水总公司，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月加入快乐购有限，历任快乐购财务管理部结算经理、责任会计师，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月起，担任快 乐购审计部总监至今；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月起任股份公司职工代表监事。</w:t>
      </w:r>
    </w:p>
    <w:p>
      <w:pPr>
        <w:pStyle w:val="BodyText"/>
        <w:spacing w:line="240" w:lineRule="auto" w:before="13"/>
        <w:ind w:left="444" w:right="5193"/>
        <w:jc w:val="left"/>
      </w:pPr>
      <w:r>
        <w:rPr/>
        <w:t>（三）高级管理人员</w:t>
      </w:r>
    </w:p>
    <w:p>
      <w:pPr>
        <w:spacing w:line="240" w:lineRule="auto" w:before="0"/>
        <w:rPr>
          <w:rFonts w:ascii="宋体" w:hAnsi="宋体" w:cs="宋体" w:eastAsia="宋体" w:hint="default"/>
          <w:sz w:val="15"/>
          <w:szCs w:val="15"/>
        </w:rPr>
      </w:pPr>
    </w:p>
    <w:p>
      <w:pPr>
        <w:pStyle w:val="BodyText"/>
        <w:spacing w:line="300" w:lineRule="auto"/>
        <w:ind w:left="153" w:right="189" w:firstLine="480"/>
        <w:jc w:val="both"/>
      </w:pPr>
      <w:r>
        <w:rPr>
          <w:spacing w:val="-7"/>
        </w:rPr>
        <w:t>李牛，男，</w:t>
      </w:r>
      <w:r>
        <w:rPr>
          <w:rFonts w:ascii="Times New Roman" w:hAnsi="Times New Roman" w:cs="Times New Roman" w:eastAsia="Times New Roman" w:hint="default"/>
          <w:spacing w:val="-7"/>
        </w:rPr>
        <w:t>1967</w:t>
      </w:r>
      <w:r>
        <w:rPr>
          <w:spacing w:val="-7"/>
        </w:rPr>
        <w:t>年出生，毕业于湖南财经学院（</w:t>
      </w:r>
      <w:r>
        <w:rPr>
          <w:rFonts w:ascii="Times New Roman" w:hAnsi="Times New Roman" w:cs="Times New Roman" w:eastAsia="Times New Roman" w:hint="default"/>
          <w:spacing w:val="-7"/>
        </w:rPr>
        <w:t>2000</w:t>
      </w:r>
      <w:r>
        <w:rPr>
          <w:spacing w:val="-7"/>
        </w:rPr>
        <w:t>年并入湖南大学），工业企业管理专业，本科学历，湖南大学</w:t>
      </w:r>
      <w:r>
        <w:rPr>
          <w:rFonts w:ascii="Times New Roman" w:hAnsi="Times New Roman" w:cs="Times New Roman" w:eastAsia="Times New Roman" w:hint="default"/>
          <w:spacing w:val="-7"/>
        </w:rPr>
        <w:t>EMBA</w:t>
      </w:r>
      <w:r>
        <w:rPr>
          <w:rFonts w:ascii="Times New Roman" w:hAnsi="Times New Roman" w:cs="Times New Roman" w:eastAsia="Times New Roman" w:hint="default"/>
          <w:w w:val="99"/>
        </w:rPr>
        <w:t> </w:t>
      </w:r>
      <w:r>
        <w:rPr/>
        <w:t>在读；具有会计师职称，于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月获得董事会秘书资格证；</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1998</w:t>
      </w:r>
      <w:r>
        <w:rPr/>
        <w:t>年任中意集团股份有限公司主管会计、</w:t>
      </w:r>
      <w:r>
        <w:rPr>
          <w:rFonts w:ascii="Times New Roman" w:hAnsi="Times New Roman" w:cs="Times New Roman" w:eastAsia="Times New Roman" w:hint="default"/>
        </w:rPr>
        <w:t>1998</w:t>
      </w:r>
      <w:r>
        <w:rPr/>
        <w:t>年</w:t>
      </w:r>
      <w:r>
        <w:rPr>
          <w:spacing w:val="-83"/>
        </w:rPr>
        <w:t> </w:t>
      </w:r>
      <w:r>
        <w:rPr>
          <w:spacing w:val="-2"/>
        </w:rPr>
        <w:t>至</w:t>
      </w:r>
      <w:r>
        <w:rPr>
          <w:rFonts w:ascii="Times New Roman" w:hAnsi="Times New Roman" w:cs="Times New Roman" w:eastAsia="Times New Roman" w:hint="default"/>
          <w:spacing w:val="-2"/>
        </w:rPr>
        <w:t>2004</w:t>
      </w:r>
      <w:r>
        <w:rPr>
          <w:spacing w:val="-2"/>
        </w:rPr>
        <w:t>年任中意电器集团公司财务部部长、总经理助理、副总经理、财务总监；</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年，任电广传媒股份有限公司</w:t>
      </w:r>
      <w:r>
        <w:rPr>
          <w:spacing w:val="-54"/>
        </w:rPr>
        <w:t> </w:t>
      </w:r>
      <w:r>
        <w:rPr>
          <w:spacing w:val="-54"/>
        </w:rPr>
      </w:r>
      <w:r>
        <w:rPr/>
        <w:t>节目公司财务总监；</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月加入快乐购有限，</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月起任股份公司副总经理、财务总监兼董事会秘书。</w:t>
      </w:r>
    </w:p>
    <w:p>
      <w:pPr>
        <w:pStyle w:val="BodyText"/>
        <w:spacing w:line="300" w:lineRule="auto" w:before="133"/>
        <w:ind w:left="153" w:right="189" w:firstLine="480"/>
        <w:jc w:val="both"/>
      </w:pPr>
      <w:r>
        <w:rPr/>
        <w:t>欧阳霁，男，</w:t>
      </w:r>
      <w:r>
        <w:rPr>
          <w:rFonts w:ascii="Times New Roman" w:hAnsi="Times New Roman" w:cs="Times New Roman" w:eastAsia="Times New Roman" w:hint="default"/>
        </w:rPr>
        <w:t>1976</w:t>
      </w:r>
      <w:r>
        <w:rPr/>
        <w:t>年出生，毕业于湖南师范大学，新闻学专业，本科学历，湖南大学</w:t>
      </w:r>
      <w:r>
        <w:rPr>
          <w:rFonts w:ascii="Times New Roman" w:hAnsi="Times New Roman" w:cs="Times New Roman" w:eastAsia="Times New Roman" w:hint="default"/>
        </w:rPr>
        <w:t>EMBA</w:t>
      </w:r>
      <w:r>
        <w:rPr/>
        <w:t>在读；</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2001</w:t>
      </w:r>
      <w:r>
        <w:rPr/>
        <w:t>年历 任湖南有线电视台新闻部编辑、记者、记者组长；</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月历任湖南电视台都市频道新闻部记者组长、新闻</w:t>
      </w:r>
      <w:r>
        <w:rPr>
          <w:spacing w:val="-82"/>
        </w:rPr>
        <w:t> </w:t>
      </w:r>
      <w:r>
        <w:rPr>
          <w:spacing w:val="-82"/>
        </w:rPr>
      </w:r>
      <w:r>
        <w:rPr/>
        <w:t>部副主任；</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月历任湖南经济电视台新闻中心记者组长、副主任；</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月加入快乐购，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w:t>
      </w:r>
      <w:r>
        <w:rPr>
          <w:spacing w:val="-83"/>
        </w:rPr>
        <w:t> </w:t>
      </w:r>
      <w:r>
        <w:rPr/>
        <w:t>任股份公司副总经理。</w:t>
      </w:r>
    </w:p>
    <w:p>
      <w:pPr>
        <w:pStyle w:val="BodyText"/>
        <w:spacing w:line="300" w:lineRule="auto" w:before="151"/>
        <w:ind w:left="153" w:right="93" w:firstLine="480"/>
        <w:jc w:val="left"/>
      </w:pPr>
      <w:r>
        <w:rPr/>
        <w:t>张志芳，女，</w:t>
      </w:r>
      <w:r>
        <w:rPr>
          <w:rFonts w:ascii="Times New Roman" w:hAnsi="Times New Roman" w:cs="Times New Roman" w:eastAsia="Times New Roman" w:hint="default"/>
        </w:rPr>
        <w:t>1970</w:t>
      </w:r>
      <w:r>
        <w:rPr/>
        <w:t>年出生，毕业于中共中央党校函授学院，经济管理专业，本科学历，具备助理会计师资格；</w:t>
      </w:r>
      <w:r>
        <w:rPr>
          <w:rFonts w:ascii="Times New Roman" w:hAnsi="Times New Roman" w:cs="Times New Roman" w:eastAsia="Times New Roman" w:hint="default"/>
        </w:rPr>
        <w:t>1993</w:t>
      </w:r>
      <w:r>
        <w:rPr/>
        <w:t>年 </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月任职于湖南郴州桂阳县政府办公室；</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月任职于湖南友谊阿波罗股份有限公司；</w:t>
      </w:r>
      <w:r>
        <w:rPr>
          <w:rFonts w:ascii="Times New Roman" w:hAnsi="Times New Roman" w:cs="Times New Roman" w:eastAsia="Times New Roman" w:hint="default"/>
        </w:rPr>
        <w:t>2003</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月任职于苏宁电器股份有限公司；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月加入快乐购；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月起任股份公司副总经理。报告期内，</w:t>
      </w:r>
      <w:r>
        <w:rPr>
          <w:spacing w:val="-83"/>
        </w:rPr>
        <w:t> </w:t>
      </w:r>
      <w:r>
        <w:rPr>
          <w:spacing w:val="-83"/>
        </w:rPr>
      </w:r>
      <w:r>
        <w:rPr/>
        <w:t>张志芳于曾在湖南泰兴达纸制品包装有限公司兼任监事。</w:t>
      </w:r>
    </w:p>
    <w:p>
      <w:pPr>
        <w:pStyle w:val="BodyText"/>
        <w:spacing w:line="300" w:lineRule="auto" w:before="151"/>
        <w:ind w:left="153" w:right="190" w:firstLine="480"/>
        <w:jc w:val="both"/>
      </w:pPr>
      <w:r>
        <w:rPr/>
        <w:t>伍俊芸，女，</w:t>
      </w:r>
      <w:r>
        <w:rPr>
          <w:rFonts w:ascii="Times New Roman" w:hAnsi="Times New Roman" w:cs="Times New Roman" w:eastAsia="Times New Roman" w:hint="default"/>
        </w:rPr>
        <w:t>1978</w:t>
      </w:r>
      <w:r>
        <w:rPr/>
        <w:t>年出生，毕业于湖南商务职业技术学院，商务秘书专业，大专学历，湖南大学</w:t>
      </w:r>
      <w:r>
        <w:rPr>
          <w:rFonts w:ascii="Times New Roman" w:hAnsi="Times New Roman" w:cs="Times New Roman" w:eastAsia="Times New Roman" w:hint="default"/>
        </w:rPr>
        <w:t>EMBA</w:t>
      </w:r>
      <w:r>
        <w:rPr/>
        <w:t>在读；注册税 </w:t>
      </w:r>
      <w:r>
        <w:rPr>
          <w:spacing w:val="-2"/>
        </w:rPr>
        <w:t>务师，具有会计师职称；</w:t>
      </w:r>
      <w:r>
        <w:rPr>
          <w:rFonts w:ascii="Times New Roman" w:hAnsi="Times New Roman" w:cs="Times New Roman" w:eastAsia="Times New Roman" w:hint="default"/>
          <w:spacing w:val="-2"/>
        </w:rPr>
        <w:t>2002</w:t>
      </w:r>
      <w:r>
        <w:rPr>
          <w:spacing w:val="-2"/>
        </w:rPr>
        <w:t>年在天职国际会计师事务所任职；</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月在湖南汇通实业发展有限公司任财务经</w:t>
      </w:r>
      <w:r>
        <w:rPr>
          <w:spacing w:val="-52"/>
        </w:rPr>
        <w:t> </w:t>
      </w:r>
      <w:r>
        <w:rPr>
          <w:spacing w:val="-2"/>
        </w:rPr>
        <w:t>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月加入快乐购，曾任公司财务总监助理、兼财务管理部部长、经营管理部部长，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月起任股份公司副总</w:t>
      </w:r>
      <w:r>
        <w:rPr>
          <w:spacing w:val="-54"/>
        </w:rPr>
        <w:t> </w:t>
      </w:r>
      <w:r>
        <w:rPr>
          <w:spacing w:val="-54"/>
        </w:rPr>
      </w:r>
      <w:r>
        <w:rPr/>
        <w:t>经理。报告期内，伍俊芸女士曾兼任湖南嘉诚税务师事务所合伙人。</w:t>
      </w:r>
    </w:p>
    <w:p>
      <w:pPr>
        <w:pStyle w:val="BodyText"/>
        <w:spacing w:line="300" w:lineRule="auto" w:before="151"/>
        <w:ind w:left="153" w:right="188" w:firstLine="480"/>
        <w:jc w:val="both"/>
      </w:pPr>
      <w:r>
        <w:rPr/>
        <w:t>江应星，男，</w:t>
      </w:r>
      <w:r>
        <w:rPr>
          <w:rFonts w:ascii="Times New Roman" w:hAnsi="Times New Roman" w:cs="Times New Roman" w:eastAsia="Times New Roman" w:hint="default"/>
        </w:rPr>
        <w:t>1969</w:t>
      </w:r>
      <w:r>
        <w:rPr/>
        <w:t>年出生，毕业于湖南师范大学，教育学硕士；</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月历任湖南广播电视信息台部门主 任、中心主任、副总工程师、总监会成员、副总工程师兼信息开发中心主任；</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月历任湖南电视台体育</w:t>
      </w:r>
      <w:r>
        <w:rPr>
          <w:spacing w:val="-82"/>
        </w:rPr>
        <w:t> </w:t>
      </w:r>
      <w:r>
        <w:rPr>
          <w:spacing w:val="-82"/>
        </w:rPr>
      </w:r>
      <w:r>
        <w:rPr/>
        <w:t>频道总监会成员、广告中心主任、副总监；</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月任湖南电视台总编室主任工程师；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 </w:t>
      </w:r>
      <w:r>
        <w:rPr/>
        <w:t>月任吐鲁番地区广电局党组成员、副局长（挂职）；</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月加入快乐购，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月起任股份公司副总经理。</w:t>
      </w:r>
    </w:p>
    <w:p>
      <w:pPr>
        <w:pStyle w:val="BodyText"/>
        <w:spacing w:line="300" w:lineRule="auto" w:before="133"/>
        <w:ind w:left="153" w:right="190" w:firstLine="480"/>
        <w:jc w:val="both"/>
      </w:pPr>
      <w:r>
        <w:rPr/>
        <w:t>唐伟民，男，</w:t>
      </w:r>
      <w:r>
        <w:rPr>
          <w:rFonts w:ascii="Times New Roman" w:hAnsi="Times New Roman" w:cs="Times New Roman" w:eastAsia="Times New Roman" w:hint="default"/>
        </w:rPr>
        <w:t>1965</w:t>
      </w:r>
      <w:r>
        <w:rPr/>
        <w:t>年出生，毕业于湖南广播电视大学，新闻学专业，大专学历；</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月任湖南电视 </w:t>
      </w:r>
      <w:r>
        <w:rPr>
          <w:spacing w:val="-2"/>
        </w:rPr>
        <w:t>台经济部新闻播音员、专题节目主持人；</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4</w:t>
      </w:r>
      <w:r>
        <w:rPr>
          <w:spacing w:val="-2"/>
        </w:rPr>
        <w:t>月任中央电视台《经济信息联播》节目主持人；</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4</w:t>
      </w:r>
      <w:r>
        <w:rPr>
          <w:spacing w:val="-2"/>
        </w:rPr>
        <w:t>月至</w:t>
      </w:r>
      <w:r>
        <w:rPr>
          <w:spacing w:val="-49"/>
        </w:rPr>
        <w:t> </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10</w:t>
      </w:r>
      <w:r>
        <w:rPr>
          <w:spacing w:val="-2"/>
        </w:rPr>
        <w:t>月历任湖南电视台经济部《经济世界》节目制片人、广告部副主任、节目部副主任、北京节目中心主任、人力资源</w:t>
      </w:r>
    </w:p>
    <w:p>
      <w:pPr>
        <w:spacing w:after="0" w:line="300" w:lineRule="auto"/>
        <w:jc w:val="both"/>
        <w:sectPr>
          <w:pgSz w:w="11910" w:h="16840"/>
          <w:pgMar w:header="851" w:footer="979" w:top="1320" w:bottom="1160" w:left="980" w:right="940"/>
        </w:sectPr>
      </w:pPr>
    </w:p>
    <w:p>
      <w:pPr>
        <w:pStyle w:val="BodyText"/>
        <w:spacing w:line="300" w:lineRule="auto" w:before="114"/>
        <w:ind w:left="153" w:right="183"/>
        <w:jc w:val="left"/>
      </w:pPr>
      <w:r>
        <w:rPr/>
        <w:t>部主任、总编室主任；</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月加入快乐购；</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月公派英国威斯敏斯特大学学习；</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w:t>
      </w:r>
      <w:r>
        <w:rPr>
          <w:spacing w:val="-83"/>
        </w:rPr>
        <w:t> </w:t>
      </w:r>
      <w:r>
        <w:rPr>
          <w:spacing w:val="-83"/>
        </w:rPr>
      </w:r>
      <w:r>
        <w:rPr/>
        <w:t>公司副总经理。</w:t>
      </w:r>
    </w:p>
    <w:p>
      <w:pPr>
        <w:pStyle w:val="BodyText"/>
        <w:spacing w:line="300" w:lineRule="auto" w:before="151"/>
        <w:ind w:left="153" w:right="93" w:firstLine="480"/>
        <w:jc w:val="left"/>
      </w:pPr>
      <w:r>
        <w:rPr>
          <w:spacing w:val="-2"/>
        </w:rPr>
        <w:t>李翔，男，</w:t>
      </w:r>
      <w:r>
        <w:rPr>
          <w:rFonts w:ascii="Times New Roman" w:hAnsi="Times New Roman" w:cs="Times New Roman" w:eastAsia="Times New Roman" w:hint="default"/>
          <w:spacing w:val="-2"/>
        </w:rPr>
        <w:t>1974</w:t>
      </w:r>
      <w:r>
        <w:rPr>
          <w:spacing w:val="-2"/>
        </w:rPr>
        <w:t>年出生。</w:t>
      </w:r>
      <w:r>
        <w:rPr>
          <w:rFonts w:ascii="Times New Roman" w:hAnsi="Times New Roman" w:cs="Times New Roman" w:eastAsia="Times New Roman" w:hint="default"/>
          <w:spacing w:val="-2"/>
        </w:rPr>
        <w:t>1995</w:t>
      </w:r>
      <w:r>
        <w:rPr>
          <w:spacing w:val="-2"/>
        </w:rPr>
        <w:t>年毕业于湘潭大学，行政管理专业，专科学历，现于湖南大学</w:t>
      </w:r>
      <w:r>
        <w:rPr>
          <w:rFonts w:ascii="Times New Roman" w:hAnsi="Times New Roman" w:cs="Times New Roman" w:eastAsia="Times New Roman" w:hint="default"/>
          <w:spacing w:val="-2"/>
        </w:rPr>
        <w:t>MBA</w:t>
      </w:r>
      <w:r>
        <w:rPr>
          <w:spacing w:val="-2"/>
        </w:rPr>
        <w:t>在读。</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2005</w:t>
      </w:r>
      <w:r>
        <w:rPr>
          <w:rFonts w:ascii="Times New Roman" w:hAnsi="Times New Roman" w:cs="Times New Roman" w:eastAsia="Times New Roman" w:hint="default"/>
        </w:rPr>
        <w:t> </w:t>
      </w:r>
      <w:r>
        <w:rPr/>
        <w:t>年任职于湖南友谊阿波罗股份有限公司，历任采购经理、总经理助理、超市店长、分店店长。</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月起就职于快乐购，</w:t>
      </w:r>
      <w:r>
        <w:rPr>
          <w:spacing w:val="-82"/>
        </w:rPr>
        <w:t> </w:t>
      </w:r>
      <w:r>
        <w:rPr>
          <w:spacing w:val="-82"/>
        </w:rPr>
      </w:r>
      <w:r>
        <w:rPr/>
        <w:t>历任商品部部长、经营企划部部长、行销企划部部长、营销总监（分管节目销售，</w:t>
      </w:r>
      <w:r>
        <w:rPr>
          <w:rFonts w:ascii="Times New Roman" w:hAnsi="Times New Roman" w:cs="Times New Roman" w:eastAsia="Times New Roman" w:hint="default"/>
        </w:rPr>
        <w:t>TV</w:t>
      </w:r>
      <w:r>
        <w:rPr/>
        <w:t>湖南，电台，品牌，包装），</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 </w:t>
      </w:r>
      <w:r>
        <w:rPr/>
        <w:t>月迄今任快乐购高经总监分管电视购物事业部；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月起，任股份公司副总经理。</w:t>
      </w:r>
    </w:p>
    <w:p>
      <w:pPr>
        <w:pStyle w:val="BodyText"/>
        <w:spacing w:line="300" w:lineRule="auto" w:before="133"/>
        <w:ind w:left="153" w:right="190" w:firstLine="480"/>
        <w:jc w:val="both"/>
      </w:pPr>
      <w:r>
        <w:rPr>
          <w:spacing w:val="-1"/>
        </w:rPr>
        <w:t>张晓雪，女，</w:t>
      </w:r>
      <w:r>
        <w:rPr>
          <w:rFonts w:ascii="Times New Roman" w:hAnsi="Times New Roman" w:cs="Times New Roman" w:eastAsia="Times New Roman" w:hint="default"/>
          <w:spacing w:val="-1"/>
        </w:rPr>
        <w:t>1968</w:t>
      </w:r>
      <w:r>
        <w:rPr>
          <w:spacing w:val="-1"/>
        </w:rPr>
        <w:t>年出生。毕业于湖南大学，公共管理专业，公共管理硕士学位。曾先后任三级警司、湖南卫视节目</w:t>
      </w:r>
      <w:r>
        <w:rPr/>
        <w:t> 编导、制片人，湖南卫视时尚刊物主编。</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月入职快乐购有限，先后担任快乐购型录主编、人力资源部部长、总经理</w:t>
      </w:r>
      <w:r>
        <w:rPr>
          <w:spacing w:val="-83"/>
        </w:rPr>
        <w:t> </w:t>
      </w:r>
      <w:r>
        <w:rPr>
          <w:spacing w:val="-83"/>
        </w:rPr>
      </w:r>
      <w:r>
        <w:rPr/>
        <w:t>办公室主任；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月起，任股份公司副总经理。</w:t>
      </w:r>
    </w:p>
    <w:p>
      <w:pPr>
        <w:spacing w:line="240" w:lineRule="auto" w:before="0"/>
        <w:rPr>
          <w:rFonts w:ascii="宋体" w:hAnsi="宋体" w:cs="宋体" w:eastAsia="宋体" w:hint="default"/>
          <w:sz w:val="18"/>
          <w:szCs w:val="18"/>
        </w:rPr>
      </w:pPr>
    </w:p>
    <w:p>
      <w:pPr>
        <w:pStyle w:val="BodyText"/>
        <w:spacing w:line="240" w:lineRule="auto" w:before="130"/>
        <w:ind w:left="154" w:right="5193"/>
        <w:jc w:val="left"/>
      </w:pPr>
      <w:r>
        <w:rPr/>
        <w:t>在股东单位任职情况</w:t>
      </w:r>
    </w:p>
    <w:p>
      <w:pPr>
        <w:pStyle w:val="BodyText"/>
        <w:spacing w:line="240" w:lineRule="auto" w:before="117"/>
        <w:ind w:left="154" w:right="5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5193"/>
        <w:jc w:val="left"/>
      </w:pPr>
      <w:r>
        <w:rPr/>
        <w:t>在其他单位任职情况</w:t>
      </w:r>
    </w:p>
    <w:p>
      <w:pPr>
        <w:pStyle w:val="BodyText"/>
        <w:spacing w:line="240" w:lineRule="auto" w:before="117"/>
        <w:ind w:left="154" w:right="5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上海湘芒果文化投资有限公司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湖南经世出版物发行有限公司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崔志芳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弘毅投资管理（天津</w:t>
            </w:r>
            <w:r>
              <w:rPr>
                <w:rFonts w:ascii="宋体" w:hAnsi="宋体" w:cs="宋体" w:eastAsia="宋体" w:hint="default"/>
                <w:spacing w:val="-90"/>
                <w:sz w:val="18"/>
                <w:szCs w:val="18"/>
              </w:rPr>
              <w:t>）</w:t>
            </w:r>
            <w:r>
              <w:rPr>
                <w:rFonts w:ascii="宋体" w:hAnsi="宋体" w:cs="宋体" w:eastAsia="宋体" w:hint="default"/>
                <w:sz w:val="18"/>
                <w:szCs w:val="18"/>
              </w:rPr>
              <w:t>（有限合伙）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上海天娱传媒有限公司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中信产业投资基金管理有限公司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百隆东方股份有限公司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北京高能时代环境技术股份有限公司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渤海轮渡股份有限公司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上海天娱传媒有限公司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上海湘芒果文化投资有限公司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湖南芒果国际文化传播有限公司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江水波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现代投资股份有限公司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中国政法大学新闻与传播学院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建银国际文化产业基金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上海东方网股份有限公司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1" w:footer="979" w:top="1320" w:bottom="1160" w:left="980" w:right="94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深圳天威视讯股份有限公司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北青传媒股份有限公司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经营与产业 委员会副主 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湖南电广传媒股份有限公司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湖南广播电视产业中心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法定代表人 兼董事长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弘毅投资管理（天津</w:t>
            </w:r>
            <w:r>
              <w:rPr>
                <w:rFonts w:ascii="宋体" w:hAnsi="宋体" w:cs="宋体" w:eastAsia="宋体" w:hint="default"/>
                <w:spacing w:val="-90"/>
                <w:sz w:val="18"/>
                <w:szCs w:val="18"/>
              </w:rPr>
              <w:t>）</w:t>
            </w:r>
            <w:r>
              <w:rPr>
                <w:rFonts w:ascii="宋体" w:hAnsi="宋体" w:cs="宋体" w:eastAsia="宋体" w:hint="default"/>
                <w:sz w:val="18"/>
                <w:szCs w:val="18"/>
              </w:rPr>
              <w:t>（有限合伙）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风险管理部 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长沙中联重工科技发展股份有限公司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深圳恒大盈海投资有限公司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利捷公务航空有限公司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崔志芳、曹永刚任职的弘毅投资管理（天津）（有限合伙）是公司股东弘毅投资的执行合伙人。何勇兵任职</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的中信产业基金管理有限公司是公司股东绵阳基金的执行事务合伙人。</w:t>
            </w:r>
          </w:p>
        </w:tc>
      </w:tr>
    </w:tbl>
    <w:p>
      <w:pPr>
        <w:spacing w:line="240" w:lineRule="auto" w:before="2"/>
        <w:rPr>
          <w:rFonts w:ascii="宋体" w:hAnsi="宋体" w:cs="宋体" w:eastAsia="宋体" w:hint="default"/>
          <w:sz w:val="18"/>
          <w:szCs w:val="18"/>
        </w:rPr>
      </w:pPr>
    </w:p>
    <w:p>
      <w:pPr>
        <w:pStyle w:val="Heading2"/>
        <w:spacing w:line="240" w:lineRule="auto"/>
        <w:ind w:left="154" w:right="0"/>
        <w:jc w:val="left"/>
        <w:rPr>
          <w:b w:val="0"/>
          <w:bCs w:val="0"/>
        </w:rPr>
      </w:pPr>
      <w:bookmarkStart w:name="三、董事、监事、高级管理人员报酬情况" w:id="46"/>
      <w:bookmarkEnd w:id="46"/>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1027"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53"/>
              <w:jc w:val="both"/>
              <w:rPr>
                <w:rFonts w:ascii="宋体" w:hAnsi="宋体" w:cs="宋体" w:eastAsia="宋体" w:hint="default"/>
                <w:sz w:val="18"/>
                <w:szCs w:val="18"/>
              </w:rPr>
            </w:pPr>
            <w:r>
              <w:rPr>
                <w:rFonts w:ascii="宋体" w:hAnsi="宋体" w:cs="宋体" w:eastAsia="宋体" w:hint="default"/>
                <w:sz w:val="18"/>
                <w:szCs w:val="18"/>
              </w:rPr>
              <w:t>公司董事报酬由股东大会决定，高级管理人员报酬由董事会决定； 在公司承担职务的董事、监事、高级管理人员报酬由公司支付，董 事、监事不另外支付津贴；独立董事津贴依据股东大会决议支付。</w:t>
            </w:r>
          </w:p>
        </w:tc>
      </w:tr>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依据公司盈利水平及各董事、监事、高级管理人员的分工和工作能 力等因素确定。</w:t>
            </w:r>
          </w:p>
        </w:tc>
      </w:tr>
      <w:tr>
        <w:trPr>
          <w:trHeight w:val="403"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已按相关规定及时支付董事、监事和高级管理人员报酬。</w:t>
            </w:r>
          </w:p>
        </w:tc>
      </w:tr>
    </w:tbl>
    <w:p>
      <w:pPr>
        <w:pStyle w:val="BodyText"/>
        <w:spacing w:line="240" w:lineRule="auto" w:before="51"/>
        <w:ind w:left="154" w:right="0"/>
        <w:jc w:val="left"/>
      </w:pPr>
      <w:r>
        <w:rPr/>
        <w:t>公司报告期内董事、监事和高级管理人员报酬情况</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161.47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161.47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崔志芳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董事、常务副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147.99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147.99</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江水波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厉玲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副总经理、董 事会秘书、财 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147.99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147.99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3"/>
              <w:jc w:val="right"/>
              <w:rPr>
                <w:rFonts w:ascii="Times New Roman" w:hAnsi="Times New Roman" w:cs="Times New Roman" w:eastAsia="Times New Roman" w:hint="default"/>
                <w:sz w:val="18"/>
                <w:szCs w:val="18"/>
              </w:rPr>
            </w:pPr>
            <w:r>
              <w:rPr>
                <w:rFonts w:ascii="Times New Roman"/>
                <w:sz w:val="18"/>
              </w:rPr>
              <w:t>100.81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3"/>
              <w:jc w:val="right"/>
              <w:rPr>
                <w:rFonts w:ascii="Times New Roman" w:hAnsi="Times New Roman" w:cs="Times New Roman" w:eastAsia="Times New Roman" w:hint="default"/>
                <w:sz w:val="18"/>
                <w:szCs w:val="18"/>
              </w:rPr>
            </w:pPr>
            <w:r>
              <w:rPr>
                <w:rFonts w:ascii="Times New Roman"/>
                <w:sz w:val="18"/>
              </w:rPr>
              <w:t>100.81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3"/>
              <w:jc w:val="right"/>
              <w:rPr>
                <w:rFonts w:ascii="Times New Roman" w:hAnsi="Times New Roman" w:cs="Times New Roman" w:eastAsia="Times New Roman" w:hint="default"/>
                <w:sz w:val="18"/>
                <w:szCs w:val="18"/>
              </w:rPr>
            </w:pPr>
            <w:r>
              <w:rPr>
                <w:rFonts w:ascii="Times New Roman"/>
                <w:sz w:val="18"/>
              </w:rPr>
              <w:t>100.81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3"/>
              <w:jc w:val="right"/>
              <w:rPr>
                <w:rFonts w:ascii="Times New Roman" w:hAnsi="Times New Roman" w:cs="Times New Roman" w:eastAsia="Times New Roman" w:hint="default"/>
                <w:sz w:val="18"/>
                <w:szCs w:val="18"/>
              </w:rPr>
            </w:pPr>
            <w:r>
              <w:rPr>
                <w:rFonts w:ascii="Times New Roman"/>
                <w:sz w:val="18"/>
              </w:rPr>
              <w:t>100.81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江应星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唐伟民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张晓雪</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54.63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54.63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6"/>
              <w:jc w:val="right"/>
              <w:rPr>
                <w:rFonts w:ascii="Times New Roman" w:hAnsi="Times New Roman" w:cs="Times New Roman" w:eastAsia="Times New Roman" w:hint="default"/>
                <w:sz w:val="18"/>
                <w:szCs w:val="18"/>
              </w:rPr>
            </w:pPr>
            <w:r>
              <w:rPr>
                <w:rFonts w:ascii="Times New Roman"/>
                <w:sz w:val="18"/>
              </w:rPr>
              <w:t>1,137.62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1,137.62</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bookmarkStart w:name="四、公司董事、监事、高级管理人员变动情况" w:id="47"/>
      <w:bookmarkEnd w:id="47"/>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晋升</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晋升</w:t>
            </w: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五、公司员工情况" w:id="48"/>
      <w:bookmarkEnd w:id="48"/>
      <w:r>
        <w:rPr>
          <w:b w:val="0"/>
          <w:bCs w:val="0"/>
        </w:rPr>
      </w:r>
      <w:r>
        <w:rPr/>
        <w:t>五、公司员工情况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6173"/>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日，公司在职员工</w:t>
      </w:r>
      <w:r>
        <w:rPr>
          <w:rFonts w:ascii="Times New Roman" w:hAnsi="Times New Roman" w:cs="Times New Roman" w:eastAsia="Times New Roman" w:hint="default"/>
        </w:rPr>
        <w:t>1218</w:t>
      </w:r>
      <w:r>
        <w:rPr/>
        <w:t>人。 一、岗位类别</w:t>
      </w:r>
    </w:p>
    <w:tbl>
      <w:tblPr>
        <w:tblW w:w="0" w:type="auto"/>
        <w:jc w:val="left"/>
        <w:tblInd w:w="130" w:type="dxa"/>
        <w:tblLayout w:type="fixed"/>
        <w:tblCellMar>
          <w:top w:w="0" w:type="dxa"/>
          <w:left w:w="0" w:type="dxa"/>
          <w:bottom w:w="0" w:type="dxa"/>
          <w:right w:w="0" w:type="dxa"/>
        </w:tblCellMar>
        <w:tblLook w:val="01E0"/>
      </w:tblPr>
      <w:tblGrid>
        <w:gridCol w:w="3059"/>
        <w:gridCol w:w="2739"/>
        <w:gridCol w:w="2740"/>
      </w:tblGrid>
      <w:tr>
        <w:trPr>
          <w:trHeight w:val="342" w:hRule="exact"/>
        </w:trPr>
        <w:tc>
          <w:tcPr>
            <w:tcW w:w="3059" w:type="dxa"/>
            <w:tcBorders>
              <w:top w:val="nil" w:sz="6" w:space="0" w:color="auto"/>
              <w:left w:val="nil" w:sz="6" w:space="0" w:color="auto"/>
              <w:bottom w:val="single" w:sz="8" w:space="0" w:color="000000"/>
              <w:right w:val="single" w:sz="8" w:space="0" w:color="000000"/>
            </w:tcBorders>
          </w:tcPr>
          <w:p>
            <w:pPr>
              <w:pStyle w:val="TableParagraph"/>
              <w:spacing w:line="240" w:lineRule="auto" w:before="5"/>
              <w:ind w:left="24" w:right="0"/>
              <w:jc w:val="left"/>
              <w:rPr>
                <w:rFonts w:ascii="宋体" w:hAnsi="宋体" w:cs="宋体" w:eastAsia="宋体" w:hint="default"/>
                <w:sz w:val="20"/>
                <w:szCs w:val="20"/>
              </w:rPr>
            </w:pPr>
            <w:r>
              <w:rPr>
                <w:rFonts w:ascii="宋体" w:hAnsi="宋体" w:cs="宋体" w:eastAsia="宋体" w:hint="default"/>
                <w:sz w:val="20"/>
                <w:szCs w:val="20"/>
              </w:rPr>
              <w:t>岗位类别</w:t>
            </w:r>
          </w:p>
        </w:tc>
        <w:tc>
          <w:tcPr>
            <w:tcW w:w="273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人数</w:t>
            </w:r>
          </w:p>
        </w:tc>
        <w:tc>
          <w:tcPr>
            <w:tcW w:w="27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财务管理类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39</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3.20%</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8" w:lineRule="exact"/>
              <w:ind w:left="24" w:right="0"/>
              <w:jc w:val="left"/>
              <w:rPr>
                <w:rFonts w:ascii="宋体" w:hAnsi="宋体" w:cs="宋体" w:eastAsia="宋体" w:hint="default"/>
                <w:sz w:val="20"/>
                <w:szCs w:val="20"/>
              </w:rPr>
            </w:pPr>
            <w:r>
              <w:rPr>
                <w:rFonts w:ascii="宋体" w:hAnsi="宋体" w:cs="宋体" w:eastAsia="宋体" w:hint="default"/>
                <w:sz w:val="20"/>
                <w:szCs w:val="20"/>
              </w:rPr>
              <w:t>采购管理类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126</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10.30%</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计划管理类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50</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4.10%</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客户服务类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167</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13.70%</w:t>
            </w:r>
          </w:p>
        </w:tc>
      </w:tr>
      <w:tr>
        <w:trPr>
          <w:trHeight w:val="343"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内容生产类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300</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24.60%</w:t>
            </w:r>
          </w:p>
        </w:tc>
      </w:tr>
    </w:tbl>
    <w:p>
      <w:pPr>
        <w:spacing w:after="0" w:line="240" w:lineRule="auto"/>
        <w:jc w:val="left"/>
        <w:rPr>
          <w:rFonts w:ascii="Times New Roman" w:hAnsi="Times New Roman" w:cs="Times New Roman" w:eastAsia="Times New Roman" w:hint="default"/>
          <w:sz w:val="20"/>
          <w:szCs w:val="20"/>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30" w:type="dxa"/>
        <w:tblLayout w:type="fixed"/>
        <w:tblCellMar>
          <w:top w:w="0" w:type="dxa"/>
          <w:left w:w="0" w:type="dxa"/>
          <w:bottom w:w="0" w:type="dxa"/>
          <w:right w:w="0" w:type="dxa"/>
        </w:tblCellMar>
        <w:tblLook w:val="01E0"/>
      </w:tblPr>
      <w:tblGrid>
        <w:gridCol w:w="3059"/>
        <w:gridCol w:w="2739"/>
        <w:gridCol w:w="2740"/>
      </w:tblGrid>
      <w:tr>
        <w:trPr>
          <w:trHeight w:val="342" w:hRule="exact"/>
        </w:trPr>
        <w:tc>
          <w:tcPr>
            <w:tcW w:w="3059" w:type="dxa"/>
            <w:tcBorders>
              <w:top w:val="nil" w:sz="6" w:space="0" w:color="auto"/>
              <w:left w:val="nil" w:sz="6" w:space="0" w:color="auto"/>
              <w:bottom w:val="single" w:sz="8" w:space="0" w:color="000000"/>
              <w:right w:val="single" w:sz="8" w:space="0" w:color="000000"/>
            </w:tcBorders>
          </w:tcPr>
          <w:p>
            <w:pPr>
              <w:pStyle w:val="TableParagraph"/>
              <w:spacing w:line="240" w:lineRule="auto" w:before="4"/>
              <w:ind w:left="24" w:right="0"/>
              <w:jc w:val="left"/>
              <w:rPr>
                <w:rFonts w:ascii="宋体" w:hAnsi="宋体" w:cs="宋体" w:eastAsia="宋体" w:hint="default"/>
                <w:sz w:val="20"/>
                <w:szCs w:val="20"/>
              </w:rPr>
            </w:pPr>
            <w:r>
              <w:rPr>
                <w:rFonts w:ascii="宋体" w:hAnsi="宋体" w:cs="宋体" w:eastAsia="宋体" w:hint="default"/>
                <w:sz w:val="20"/>
                <w:szCs w:val="20"/>
              </w:rPr>
              <w:t>人力资源类</w:t>
            </w:r>
          </w:p>
        </w:tc>
        <w:tc>
          <w:tcPr>
            <w:tcW w:w="273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9"/>
              <w:ind w:left="-1" w:right="0"/>
              <w:jc w:val="left"/>
              <w:rPr>
                <w:rFonts w:ascii="Times New Roman" w:hAnsi="Times New Roman" w:cs="Times New Roman" w:eastAsia="Times New Roman" w:hint="default"/>
                <w:sz w:val="20"/>
                <w:szCs w:val="20"/>
              </w:rPr>
            </w:pPr>
            <w:r>
              <w:rPr>
                <w:rFonts w:ascii="Times New Roman"/>
                <w:sz w:val="20"/>
              </w:rPr>
              <w:t>34</w:t>
            </w:r>
          </w:p>
        </w:tc>
        <w:tc>
          <w:tcPr>
            <w:tcW w:w="27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2.80%</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市场营销类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left"/>
              <w:rPr>
                <w:rFonts w:ascii="Times New Roman" w:hAnsi="Times New Roman" w:cs="Times New Roman" w:eastAsia="Times New Roman" w:hint="default"/>
                <w:sz w:val="20"/>
                <w:szCs w:val="20"/>
              </w:rPr>
            </w:pPr>
            <w:r>
              <w:rPr>
                <w:rFonts w:ascii="Times New Roman"/>
                <w:sz w:val="20"/>
              </w:rPr>
              <w:t>115</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left"/>
              <w:rPr>
                <w:rFonts w:ascii="Times New Roman" w:hAnsi="Times New Roman" w:cs="Times New Roman" w:eastAsia="Times New Roman" w:hint="default"/>
                <w:sz w:val="20"/>
                <w:szCs w:val="20"/>
              </w:rPr>
            </w:pPr>
            <w:r>
              <w:rPr>
                <w:rFonts w:ascii="Times New Roman"/>
                <w:sz w:val="20"/>
              </w:rPr>
              <w:t>9.40%</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物流管理类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left"/>
              <w:rPr>
                <w:rFonts w:ascii="Times New Roman" w:hAnsi="Times New Roman" w:cs="Times New Roman" w:eastAsia="Times New Roman" w:hint="default"/>
                <w:sz w:val="20"/>
                <w:szCs w:val="20"/>
              </w:rPr>
            </w:pPr>
            <w:r>
              <w:rPr>
                <w:rFonts w:ascii="Times New Roman"/>
                <w:sz w:val="20"/>
              </w:rPr>
              <w:t>35</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left"/>
              <w:rPr>
                <w:rFonts w:ascii="Times New Roman" w:hAnsi="Times New Roman" w:cs="Times New Roman" w:eastAsia="Times New Roman" w:hint="default"/>
                <w:sz w:val="20"/>
                <w:szCs w:val="20"/>
              </w:rPr>
            </w:pPr>
            <w:r>
              <w:rPr>
                <w:rFonts w:ascii="Times New Roman"/>
                <w:sz w:val="20"/>
              </w:rPr>
              <w:t>2.90%</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销售管理类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left"/>
              <w:rPr>
                <w:rFonts w:ascii="Times New Roman" w:hAnsi="Times New Roman" w:cs="Times New Roman" w:eastAsia="Times New Roman" w:hint="default"/>
                <w:sz w:val="20"/>
                <w:szCs w:val="20"/>
              </w:rPr>
            </w:pPr>
            <w:r>
              <w:rPr>
                <w:rFonts w:ascii="Times New Roman"/>
                <w:sz w:val="20"/>
              </w:rPr>
              <w:t>112</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left"/>
              <w:rPr>
                <w:rFonts w:ascii="Times New Roman" w:hAnsi="Times New Roman" w:cs="Times New Roman" w:eastAsia="Times New Roman" w:hint="default"/>
                <w:sz w:val="20"/>
                <w:szCs w:val="20"/>
              </w:rPr>
            </w:pPr>
            <w:r>
              <w:rPr>
                <w:rFonts w:ascii="Times New Roman"/>
                <w:sz w:val="20"/>
              </w:rPr>
              <w:t>9.20%</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信息管理类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left"/>
              <w:rPr>
                <w:rFonts w:ascii="Times New Roman" w:hAnsi="Times New Roman" w:cs="Times New Roman" w:eastAsia="Times New Roman" w:hint="default"/>
                <w:sz w:val="20"/>
                <w:szCs w:val="20"/>
              </w:rPr>
            </w:pPr>
            <w:r>
              <w:rPr>
                <w:rFonts w:ascii="Times New Roman"/>
                <w:sz w:val="20"/>
              </w:rPr>
              <w:t>116</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left"/>
              <w:rPr>
                <w:rFonts w:ascii="Times New Roman" w:hAnsi="Times New Roman" w:cs="Times New Roman" w:eastAsia="Times New Roman" w:hint="default"/>
                <w:sz w:val="20"/>
                <w:szCs w:val="20"/>
              </w:rPr>
            </w:pPr>
            <w:r>
              <w:rPr>
                <w:rFonts w:ascii="Times New Roman"/>
                <w:sz w:val="20"/>
              </w:rPr>
              <w:t>9.50%</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行政管理类</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left"/>
              <w:rPr>
                <w:rFonts w:ascii="Times New Roman" w:hAnsi="Times New Roman" w:cs="Times New Roman" w:eastAsia="Times New Roman" w:hint="default"/>
                <w:sz w:val="20"/>
                <w:szCs w:val="20"/>
              </w:rPr>
            </w:pPr>
            <w:r>
              <w:rPr>
                <w:rFonts w:ascii="Times New Roman"/>
                <w:sz w:val="20"/>
              </w:rPr>
              <w:t>124</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left"/>
              <w:rPr>
                <w:rFonts w:ascii="Times New Roman" w:hAnsi="Times New Roman" w:cs="Times New Roman" w:eastAsia="Times New Roman" w:hint="default"/>
                <w:sz w:val="20"/>
                <w:szCs w:val="20"/>
              </w:rPr>
            </w:pPr>
            <w:r>
              <w:rPr>
                <w:rFonts w:ascii="Times New Roman"/>
                <w:sz w:val="20"/>
              </w:rPr>
              <w:t>10.20%</w:t>
            </w:r>
          </w:p>
        </w:tc>
      </w:tr>
      <w:tr>
        <w:trPr>
          <w:trHeight w:val="342" w:hRule="exact"/>
        </w:trPr>
        <w:tc>
          <w:tcPr>
            <w:tcW w:w="3059" w:type="dxa"/>
            <w:tcBorders>
              <w:top w:val="single" w:sz="8" w:space="0" w:color="000000"/>
              <w:left w:val="nil" w:sz="6" w:space="0" w:color="auto"/>
              <w:bottom w:val="single" w:sz="8" w:space="0" w:color="000000"/>
              <w:right w:val="single" w:sz="8"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left"/>
              <w:rPr>
                <w:rFonts w:ascii="Times New Roman" w:hAnsi="Times New Roman" w:cs="Times New Roman" w:eastAsia="Times New Roman" w:hint="default"/>
                <w:sz w:val="20"/>
                <w:szCs w:val="20"/>
              </w:rPr>
            </w:pPr>
            <w:r>
              <w:rPr>
                <w:rFonts w:ascii="Times New Roman"/>
                <w:sz w:val="20"/>
              </w:rPr>
              <w:t>1218</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left"/>
              <w:rPr>
                <w:rFonts w:ascii="Times New Roman" w:hAnsi="Times New Roman" w:cs="Times New Roman" w:eastAsia="Times New Roman" w:hint="default"/>
                <w:sz w:val="20"/>
                <w:szCs w:val="20"/>
              </w:rPr>
            </w:pPr>
            <w:r>
              <w:rPr>
                <w:rFonts w:ascii="Times New Roman"/>
                <w:sz w:val="20"/>
              </w:rPr>
              <w:t>100.00%</w:t>
            </w:r>
          </w:p>
        </w:tc>
      </w:tr>
    </w:tbl>
    <w:p>
      <w:pPr>
        <w:spacing w:line="240" w:lineRule="auto" w:before="6"/>
        <w:rPr>
          <w:rFonts w:ascii="宋体" w:hAnsi="宋体" w:cs="宋体" w:eastAsia="宋体" w:hint="default"/>
          <w:sz w:val="8"/>
          <w:szCs w:val="8"/>
        </w:rPr>
      </w:pPr>
    </w:p>
    <w:p>
      <w:pPr>
        <w:spacing w:line="4755" w:lineRule="exact"/>
        <w:ind w:left="154"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4457700" cy="30194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4457700" cy="3019425"/>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1"/>
        <w:rPr>
          <w:rFonts w:ascii="宋体" w:hAnsi="宋体" w:cs="宋体" w:eastAsia="宋体" w:hint="default"/>
          <w:sz w:val="7"/>
          <w:szCs w:val="7"/>
        </w:rPr>
      </w:pPr>
    </w:p>
    <w:p>
      <w:pPr>
        <w:pStyle w:val="BodyText"/>
        <w:spacing w:line="240" w:lineRule="auto" w:before="44"/>
        <w:ind w:left="153" w:right="0"/>
        <w:jc w:val="left"/>
      </w:pPr>
      <w:r>
        <w:rPr/>
        <w:t>二、教育程度</w:t>
      </w:r>
    </w:p>
    <w:p>
      <w:pPr>
        <w:spacing w:line="240" w:lineRule="auto" w:before="0"/>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3480"/>
        <w:gridCol w:w="2529"/>
        <w:gridCol w:w="2529"/>
      </w:tblGrid>
      <w:tr>
        <w:trPr>
          <w:trHeight w:val="342" w:hRule="exact"/>
        </w:trPr>
        <w:tc>
          <w:tcPr>
            <w:tcW w:w="3480" w:type="dxa"/>
            <w:tcBorders>
              <w:top w:val="nil" w:sz="6" w:space="0" w:color="auto"/>
              <w:left w:val="nil" w:sz="6" w:space="0" w:color="auto"/>
              <w:bottom w:val="single" w:sz="8" w:space="0" w:color="000000"/>
              <w:right w:val="single" w:sz="8" w:space="0" w:color="000000"/>
            </w:tcBorders>
          </w:tcPr>
          <w:p>
            <w:pPr>
              <w:pStyle w:val="TableParagraph"/>
              <w:spacing w:line="240" w:lineRule="auto" w:before="5"/>
              <w:ind w:left="24" w:right="0"/>
              <w:jc w:val="left"/>
              <w:rPr>
                <w:rFonts w:ascii="宋体" w:hAnsi="宋体" w:cs="宋体" w:eastAsia="宋体" w:hint="default"/>
                <w:sz w:val="20"/>
                <w:szCs w:val="20"/>
              </w:rPr>
            </w:pPr>
            <w:r>
              <w:rPr>
                <w:rFonts w:ascii="宋体" w:hAnsi="宋体" w:cs="宋体" w:eastAsia="宋体" w:hint="default"/>
                <w:sz w:val="20"/>
                <w:szCs w:val="20"/>
              </w:rPr>
              <w:t>学历</w:t>
            </w:r>
          </w:p>
        </w:tc>
        <w:tc>
          <w:tcPr>
            <w:tcW w:w="252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人数</w:t>
            </w:r>
          </w:p>
        </w:tc>
        <w:tc>
          <w:tcPr>
            <w:tcW w:w="252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42" w:hRule="exact"/>
        </w:trPr>
        <w:tc>
          <w:tcPr>
            <w:tcW w:w="3480"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硕士</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50</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4.10%</w:t>
            </w:r>
          </w:p>
        </w:tc>
      </w:tr>
      <w:tr>
        <w:trPr>
          <w:trHeight w:val="342" w:hRule="exact"/>
        </w:trPr>
        <w:tc>
          <w:tcPr>
            <w:tcW w:w="3480"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本科</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688</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56.50%</w:t>
            </w:r>
          </w:p>
        </w:tc>
      </w:tr>
      <w:tr>
        <w:trPr>
          <w:trHeight w:val="342" w:hRule="exact"/>
        </w:trPr>
        <w:tc>
          <w:tcPr>
            <w:tcW w:w="3480"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专科</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420</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34.50%</w:t>
            </w:r>
          </w:p>
        </w:tc>
      </w:tr>
      <w:tr>
        <w:trPr>
          <w:trHeight w:val="342" w:hRule="exact"/>
        </w:trPr>
        <w:tc>
          <w:tcPr>
            <w:tcW w:w="3480"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高中</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35</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2.90%</w:t>
            </w:r>
          </w:p>
        </w:tc>
      </w:tr>
      <w:tr>
        <w:trPr>
          <w:trHeight w:val="342" w:hRule="exact"/>
        </w:trPr>
        <w:tc>
          <w:tcPr>
            <w:tcW w:w="3480"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职高</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w w:val="100"/>
                <w:sz w:val="20"/>
              </w:rPr>
              <w:t>3</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0.20%</w:t>
            </w:r>
          </w:p>
        </w:tc>
      </w:tr>
      <w:tr>
        <w:trPr>
          <w:trHeight w:val="342" w:hRule="exact"/>
        </w:trPr>
        <w:tc>
          <w:tcPr>
            <w:tcW w:w="3480"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中专</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22</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1.80%</w:t>
            </w:r>
          </w:p>
        </w:tc>
      </w:tr>
      <w:tr>
        <w:trPr>
          <w:trHeight w:val="343" w:hRule="exact"/>
        </w:trPr>
        <w:tc>
          <w:tcPr>
            <w:tcW w:w="3480"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left"/>
              <w:rPr>
                <w:rFonts w:ascii="Times New Roman" w:hAnsi="Times New Roman" w:cs="Times New Roman" w:eastAsia="Times New Roman" w:hint="default"/>
                <w:sz w:val="20"/>
                <w:szCs w:val="20"/>
              </w:rPr>
            </w:pPr>
            <w:r>
              <w:rPr>
                <w:rFonts w:ascii="Times New Roman"/>
                <w:sz w:val="20"/>
              </w:rPr>
              <w:t>1218</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left"/>
              <w:rPr>
                <w:rFonts w:ascii="Times New Roman" w:hAnsi="Times New Roman" w:cs="Times New Roman" w:eastAsia="Times New Roman" w:hint="default"/>
                <w:sz w:val="20"/>
                <w:szCs w:val="20"/>
              </w:rPr>
            </w:pPr>
            <w:r>
              <w:rPr>
                <w:rFonts w:ascii="Times New Roman"/>
                <w:sz w:val="20"/>
              </w:rPr>
              <w:t>100.00%</w:t>
            </w:r>
          </w:p>
        </w:tc>
      </w:tr>
    </w:tbl>
    <w:p>
      <w:pPr>
        <w:spacing w:after="0" w:line="240" w:lineRule="auto"/>
        <w:jc w:val="left"/>
        <w:rPr>
          <w:rFonts w:ascii="Times New Roman" w:hAnsi="Times New Roman" w:cs="Times New Roman" w:eastAsia="Times New Roman" w:hint="default"/>
          <w:sz w:val="20"/>
          <w:szCs w:val="20"/>
        </w:rPr>
        <w:sectPr>
          <w:pgSz w:w="11910" w:h="16840"/>
          <w:pgMar w:header="851" w:footer="979" w:top="1320" w:bottom="1160" w:left="980" w:right="980"/>
        </w:sectPr>
      </w:pPr>
    </w:p>
    <w:p>
      <w:pPr>
        <w:spacing w:line="240" w:lineRule="auto" w:before="12"/>
        <w:rPr>
          <w:rFonts w:ascii="宋体" w:hAnsi="宋体" w:cs="宋体" w:eastAsia="宋体" w:hint="default"/>
          <w:sz w:val="18"/>
          <w:szCs w:val="18"/>
        </w:rPr>
      </w:pPr>
    </w:p>
    <w:p>
      <w:pPr>
        <w:spacing w:line="4065" w:lineRule="exact"/>
        <w:ind w:left="15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14850" cy="25812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7" cstate="print"/>
                    <a:stretch>
                      <a:fillRect/>
                    </a:stretch>
                  </pic:blipFill>
                  <pic:spPr>
                    <a:xfrm>
                      <a:off x="0" y="0"/>
                      <a:ext cx="4514850"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8"/>
        <w:rPr>
          <w:rFonts w:ascii="宋体" w:hAnsi="宋体" w:cs="宋体" w:eastAsia="宋体" w:hint="default"/>
          <w:sz w:val="9"/>
          <w:szCs w:val="9"/>
        </w:rPr>
      </w:pPr>
    </w:p>
    <w:p>
      <w:pPr>
        <w:pStyle w:val="BodyText"/>
        <w:spacing w:line="240" w:lineRule="auto" w:before="44"/>
        <w:ind w:left="153" w:right="0"/>
        <w:jc w:val="left"/>
      </w:pPr>
      <w:r>
        <w:rPr/>
        <w:t>公司需承担费用的离退休职工人数为</w:t>
      </w:r>
      <w:r>
        <w:rPr>
          <w:rFonts w:ascii="Times New Roman" w:hAnsi="Times New Roman" w:cs="Times New Roman" w:eastAsia="Times New Roman" w:hint="default"/>
        </w:rPr>
        <w:t>1</w:t>
      </w:r>
      <w:r>
        <w:rPr/>
        <w:t>人。</w:t>
      </w:r>
    </w:p>
    <w:p>
      <w:pPr>
        <w:spacing w:after="0" w:line="240" w:lineRule="auto"/>
        <w:jc w:val="left"/>
        <w:sectPr>
          <w:pgSz w:w="11910" w:h="16840"/>
          <w:pgMar w:header="851" w:footer="979" w:top="1320" w:bottom="116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spacing w:line="240" w:lineRule="auto"/>
        <w:ind w:right="2989"/>
        <w:jc w:val="center"/>
        <w:rPr>
          <w:b w:val="0"/>
          <w:bCs w:val="0"/>
        </w:rPr>
      </w:pPr>
      <w:bookmarkStart w:name="第八节 公司治理" w:id="49"/>
      <w:bookmarkEnd w:id="49"/>
      <w:r>
        <w:rPr>
          <w:b w:val="0"/>
          <w:bCs w:val="0"/>
        </w:rPr>
      </w:r>
      <w:bookmarkStart w:name="_bookmark7" w:id="50"/>
      <w:bookmarkEnd w:id="50"/>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公司治理的基本状况" w:id="51"/>
      <w:bookmarkEnd w:id="51"/>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2" w:firstLine="578"/>
        <w:jc w:val="both"/>
      </w:pPr>
      <w:r>
        <w:rPr>
          <w:spacing w:val="-3"/>
        </w:rPr>
        <w:t>公司根据《公司法》、《证券法》等国家法律法规及规范性文件的相关规定，已经建立了比较完善的法人治理结构，</w:t>
      </w:r>
      <w:r>
        <w:rPr/>
        <w:t> </w:t>
      </w:r>
      <w:r>
        <w:rPr>
          <w:spacing w:val="-2"/>
        </w:rPr>
        <w:t>建立健全了股东大会、董事会、监事会、独立董事以及相关的议事规则和内控管理制度，并逐步加以完善，为公司法人治理</w:t>
      </w:r>
      <w:r>
        <w:rPr>
          <w:spacing w:val="-66"/>
        </w:rPr>
        <w:t> </w:t>
      </w:r>
      <w:r>
        <w:rPr>
          <w:spacing w:val="-66"/>
        </w:rPr>
      </w:r>
      <w:r>
        <w:rPr>
          <w:spacing w:val="-2"/>
        </w:rPr>
        <w:t>的规范化运行提供了有效的制度保证。公司治理结构完善，股东大会、董事会、监事会分别为公司的最高权力机构、主要决</w:t>
      </w:r>
      <w:r>
        <w:rPr>
          <w:spacing w:val="-66"/>
        </w:rPr>
        <w:t> </w:t>
      </w:r>
      <w:r>
        <w:rPr>
          <w:spacing w:val="-66"/>
        </w:rPr>
      </w:r>
      <w:r>
        <w:rPr/>
        <w:t>策机构和监督机构，三者与公司管理层共同构建了分工明确、相互配合、相互制衡的内部控制运行机制。</w:t>
      </w:r>
    </w:p>
    <w:p>
      <w:pPr>
        <w:pStyle w:val="BodyText"/>
        <w:spacing w:line="316" w:lineRule="auto" w:before="19"/>
        <w:ind w:left="153" w:right="212" w:firstLine="578"/>
        <w:jc w:val="both"/>
      </w:pPr>
      <w:r>
        <w:rPr/>
        <w:t>公司股东大会、董事会、监事会均能按照《公司法》及《公司章程》的要求履行各自的权利和义务，并按照有关法 律、法规和《公司章程》规定的职权及各自的议事规则独立有效地运作，没有违法、违规的情况发生。</w:t>
      </w:r>
    </w:p>
    <w:p>
      <w:pPr>
        <w:pStyle w:val="BodyText"/>
        <w:spacing w:line="316" w:lineRule="auto" w:before="19"/>
        <w:ind w:left="153" w:right="152" w:firstLine="506"/>
        <w:jc w:val="both"/>
      </w:pPr>
      <w:r>
        <w:rPr>
          <w:spacing w:val="-1"/>
        </w:rPr>
        <w:t>公司控股股东严格规范自己的行为，没有超越股东大会直接或间接干预公司的决策和经营活动。公司拥有独立完整的</w:t>
      </w:r>
      <w:r>
        <w:rPr/>
        <w:t> 业务和自主经营能力，在业务、人员、资产、机构、财务上独立于控股股东，公司董事会、监事会和内部机构独立运作。</w:t>
      </w:r>
    </w:p>
    <w:p>
      <w:pPr>
        <w:pStyle w:val="BodyText"/>
        <w:spacing w:line="316" w:lineRule="auto" w:before="19"/>
        <w:ind w:left="154" w:right="153" w:firstLine="506"/>
        <w:jc w:val="both"/>
      </w:pPr>
      <w:r>
        <w:rPr>
          <w:spacing w:val="-1"/>
        </w:rPr>
        <w:t>公司严格按照有关法律法规以及《公司章程》、《信息披露管理制度》等的要求，真实、准确、及时、公平、完整地</w:t>
      </w:r>
      <w:r>
        <w:rPr/>
        <w:t> 披露有关信息。</w:t>
      </w:r>
    </w:p>
    <w:p>
      <w:pPr>
        <w:pStyle w:val="BodyText"/>
        <w:spacing w:line="240" w:lineRule="auto" w:before="59"/>
        <w:ind w:left="153" w:right="0"/>
        <w:jc w:val="left"/>
      </w:pPr>
      <w:r>
        <w:rPr/>
        <w:t>公司治理与《公司法》和中国证监会相关规定的要求是否存在差异</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bookmarkStart w:name="二、报告期内召开的年度股东大会和临时股东大会的有关情况" w:id="52"/>
      <w:bookmarkEnd w:id="52"/>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53"/>
      <w:bookmarkEnd w:id="53"/>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本报告期临时股东大会情况" w:id="54"/>
      <w:bookmarkEnd w:id="54"/>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三、报告期董事会召开情况" w:id="55"/>
      <w:bookmarkEnd w:id="55"/>
      <w:r>
        <w:rPr>
          <w:b w:val="0"/>
          <w:bCs w:val="0"/>
        </w:rPr>
      </w:r>
      <w:r>
        <w:rPr/>
        <w:t>三、报告期董事会召开情况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2"/>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四、年度报告重大差错责任追究制度的建立与执行情况" w:id="56"/>
      <w:bookmarkEnd w:id="56"/>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44" w:right="0"/>
        <w:jc w:val="left"/>
      </w:pPr>
      <w:r>
        <w:rPr/>
        <w:t>公司将在审议</w:t>
      </w:r>
      <w:r>
        <w:rPr>
          <w:rFonts w:ascii="Times New Roman" w:hAnsi="Times New Roman" w:cs="Times New Roman" w:eastAsia="Times New Roman" w:hint="default"/>
        </w:rPr>
        <w:t>2014</w:t>
      </w:r>
      <w:r>
        <w:rPr/>
        <w:t>年年度报告的董事会上审议《年度报告重大差错责任责任追究制度》。</w:t>
      </w:r>
    </w:p>
    <w:p>
      <w:pPr>
        <w:spacing w:line="240" w:lineRule="auto" w:before="1"/>
        <w:rPr>
          <w:rFonts w:ascii="宋体" w:hAnsi="宋体" w:cs="宋体" w:eastAsia="宋体" w:hint="default"/>
          <w:sz w:val="24"/>
          <w:szCs w:val="24"/>
        </w:rPr>
      </w:pPr>
    </w:p>
    <w:p>
      <w:pPr>
        <w:pStyle w:val="Heading2"/>
        <w:spacing w:line="240" w:lineRule="auto" w:before="0"/>
        <w:ind w:left="154" w:right="0"/>
        <w:jc w:val="left"/>
        <w:rPr>
          <w:b w:val="0"/>
          <w:bCs w:val="0"/>
        </w:rPr>
      </w:pPr>
      <w:bookmarkStart w:name="五、监事会工作情况" w:id="57"/>
      <w:bookmarkEnd w:id="57"/>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监事会在报告期内的监督活动是否发现公司存在风险</w:t>
      </w:r>
    </w:p>
    <w:p>
      <w:pPr>
        <w:pStyle w:val="BodyText"/>
        <w:spacing w:line="338" w:lineRule="auto" w:before="117"/>
        <w:ind w:left="153"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851" w:footer="979" w:top="1320" w:bottom="116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1"/>
        <w:spacing w:line="240" w:lineRule="auto"/>
        <w:ind w:left="3891" w:right="3929"/>
        <w:jc w:val="center"/>
        <w:rPr>
          <w:b w:val="0"/>
          <w:bCs w:val="0"/>
        </w:rPr>
      </w:pPr>
      <w:bookmarkStart w:name="第九节 财务报告" w:id="58"/>
      <w:bookmarkEnd w:id="58"/>
      <w:r>
        <w:rPr>
          <w:b w:val="0"/>
          <w:bCs w:val="0"/>
        </w:rPr>
      </w:r>
      <w:bookmarkStart w:name="_bookmark8" w:id="59"/>
      <w:bookmarkEnd w:id="59"/>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293" w:right="0"/>
        <w:jc w:val="left"/>
        <w:rPr>
          <w:b w:val="0"/>
          <w:bCs w:val="0"/>
        </w:rPr>
      </w:pPr>
      <w:bookmarkStart w:name="一、审计报告" w:id="60"/>
      <w:bookmarkEnd w:id="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8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德师报（审）字（</w:t>
            </w:r>
            <w:r>
              <w:rPr>
                <w:rFonts w:ascii="Times New Roman" w:hAnsi="Times New Roman" w:cs="Times New Roman" w:eastAsia="Times New Roman" w:hint="default"/>
                <w:sz w:val="18"/>
                <w:szCs w:val="18"/>
              </w:rPr>
              <w:t>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P1446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徐璐  黄莺</w:t>
            </w:r>
          </w:p>
        </w:tc>
      </w:tr>
    </w:tbl>
    <w:p>
      <w:pPr>
        <w:spacing w:line="240" w:lineRule="auto" w:before="1"/>
        <w:rPr>
          <w:rFonts w:ascii="宋体" w:hAnsi="宋体" w:cs="宋体" w:eastAsia="宋体" w:hint="default"/>
          <w:b/>
          <w:bCs/>
          <w:sz w:val="26"/>
          <w:szCs w:val="26"/>
        </w:rPr>
      </w:pPr>
    </w:p>
    <w:p>
      <w:pPr>
        <w:pStyle w:val="Heading3"/>
        <w:spacing w:line="240" w:lineRule="auto" w:before="35"/>
        <w:ind w:left="3891" w:right="3928"/>
        <w:jc w:val="center"/>
        <w:rPr>
          <w:b w:val="0"/>
          <w:bCs w:val="0"/>
        </w:rPr>
      </w:pPr>
      <w:r>
        <w:rPr/>
        <w:t>审计报告正文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103" w:type="dxa"/>
        <w:tblLayout w:type="fixed"/>
        <w:tblCellMar>
          <w:top w:w="0" w:type="dxa"/>
          <w:left w:w="0" w:type="dxa"/>
          <w:bottom w:w="0" w:type="dxa"/>
          <w:right w:w="0" w:type="dxa"/>
        </w:tblCellMar>
        <w:tblLook w:val="01E0"/>
      </w:tblPr>
      <w:tblGrid>
        <w:gridCol w:w="10048"/>
      </w:tblGrid>
      <w:tr>
        <w:trPr>
          <w:trHeight w:val="427"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194" w:lineRule="exact"/>
              <w:ind w:right="225"/>
              <w:jc w:val="right"/>
              <w:rPr>
                <w:rFonts w:ascii="宋体" w:hAnsi="宋体" w:cs="宋体" w:eastAsia="宋体" w:hint="default"/>
                <w:sz w:val="18"/>
                <w:szCs w:val="18"/>
              </w:rPr>
            </w:pPr>
            <w:r>
              <w:rPr>
                <w:rFonts w:ascii="宋体" w:hAnsi="宋体" w:cs="宋体" w:eastAsia="宋体" w:hint="default"/>
                <w:sz w:val="18"/>
                <w:szCs w:val="18"/>
              </w:rPr>
              <w:t>德师报</w:t>
            </w:r>
            <w:r>
              <w:rPr>
                <w:rFonts w:ascii="Times New Roman" w:hAnsi="Times New Roman" w:cs="Times New Roman" w:eastAsia="Times New Roman" w:hint="default"/>
                <w:sz w:val="18"/>
                <w:szCs w:val="18"/>
              </w:rPr>
              <w:t>(</w:t>
            </w:r>
            <w:r>
              <w:rPr>
                <w:rFonts w:ascii="宋体" w:hAnsi="宋体" w:cs="宋体" w:eastAsia="宋体" w:hint="default"/>
                <w:sz w:val="18"/>
                <w:szCs w:val="18"/>
              </w:rPr>
              <w:t>审</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w:t>
            </w:r>
            <w:r>
              <w:rPr>
                <w:rFonts w:ascii="宋体" w:hAnsi="宋体" w:cs="宋体" w:eastAsia="宋体" w:hint="default"/>
                <w:sz w:val="18"/>
                <w:szCs w:val="18"/>
              </w:rPr>
              <w:t>15</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P1446</w:t>
            </w:r>
            <w:r>
              <w:rPr>
                <w:rFonts w:ascii="宋体" w:hAnsi="宋体" w:cs="宋体" w:eastAsia="宋体" w:hint="default"/>
                <w:sz w:val="18"/>
                <w:szCs w:val="18"/>
              </w:rPr>
              <w:t>号</w:t>
            </w:r>
          </w:p>
        </w:tc>
      </w:tr>
      <w:tr>
        <w:trPr>
          <w:trHeight w:val="659"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快乐购物股份有限公司全体股东：</w:t>
            </w:r>
          </w:p>
        </w:tc>
      </w:tr>
      <w:tr>
        <w:trPr>
          <w:trHeight w:val="981"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00" w:lineRule="auto"/>
              <w:ind w:left="200" w:right="265" w:firstLine="300"/>
              <w:jc w:val="left"/>
              <w:rPr>
                <w:rFonts w:ascii="宋体" w:hAnsi="宋体" w:cs="宋体" w:eastAsia="宋体" w:hint="default"/>
                <w:sz w:val="18"/>
                <w:szCs w:val="18"/>
              </w:rPr>
            </w:pPr>
            <w:r>
              <w:rPr>
                <w:rFonts w:ascii="宋体" w:hAnsi="宋体" w:cs="宋体" w:eastAsia="宋体" w:hint="default"/>
                <w:sz w:val="18"/>
                <w:szCs w:val="18"/>
              </w:rPr>
              <w:t>我们审计了后附的快乐购物股份有限公司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贵公司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的财务报表，包括</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日的公司及合并资产负债 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年度的公司及合并利润表、公司及合并股东权益变动表和公司及合并现金流量表及财务报表附注。</w:t>
            </w:r>
          </w:p>
        </w:tc>
      </w:tr>
      <w:tr>
        <w:trPr>
          <w:trHeight w:val="659"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5"/>
                <w:sz w:val="18"/>
                <w:szCs w:val="18"/>
              </w:rPr>
              <w:t> </w:t>
            </w:r>
            <w:r>
              <w:rPr>
                <w:rFonts w:ascii="宋体" w:hAnsi="宋体" w:cs="宋体" w:eastAsia="宋体" w:hint="default"/>
                <w:b/>
                <w:bCs/>
                <w:sz w:val="18"/>
                <w:szCs w:val="18"/>
              </w:rPr>
              <w:t>管理层对财务报表的责任</w:t>
            </w:r>
            <w:r>
              <w:rPr>
                <w:rFonts w:ascii="宋体" w:hAnsi="宋体" w:cs="宋体" w:eastAsia="宋体" w:hint="default"/>
                <w:sz w:val="18"/>
                <w:szCs w:val="18"/>
              </w:rPr>
            </w:r>
          </w:p>
        </w:tc>
      </w:tr>
      <w:tr>
        <w:trPr>
          <w:trHeight w:val="981"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00" w:lineRule="auto"/>
              <w:ind w:left="200" w:right="275" w:firstLine="290"/>
              <w:jc w:val="left"/>
              <w:rPr>
                <w:rFonts w:ascii="宋体" w:hAnsi="宋体" w:cs="宋体" w:eastAsia="宋体" w:hint="default"/>
                <w:sz w:val="18"/>
                <w:szCs w:val="18"/>
              </w:rPr>
            </w:pPr>
            <w:r>
              <w:rPr>
                <w:rFonts w:ascii="宋体" w:hAnsi="宋体" w:cs="宋体" w:eastAsia="宋体" w:hint="default"/>
                <w:sz w:val="18"/>
                <w:szCs w:val="18"/>
              </w:rPr>
              <w:t>编制和公允列报财务报表是贵公司管理层的责任，这种责任包括：</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按照企业会计准则的规定编制财务报表，并使其 实现公允反映；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设计、执行和维护必要的内部控制，以使财务报表不存在由于舞弊或错误而导致的重大错报。</w:t>
            </w:r>
          </w:p>
        </w:tc>
      </w:tr>
      <w:tr>
        <w:trPr>
          <w:trHeight w:val="659"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、注册会计师的责任</w:t>
            </w:r>
            <w:r>
              <w:rPr>
                <w:rFonts w:ascii="宋体" w:hAnsi="宋体" w:cs="宋体" w:eastAsia="宋体" w:hint="default"/>
                <w:sz w:val="18"/>
                <w:szCs w:val="18"/>
              </w:rPr>
            </w:r>
          </w:p>
        </w:tc>
      </w:tr>
      <w:tr>
        <w:trPr>
          <w:trHeight w:val="1288"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16" w:lineRule="auto"/>
              <w:ind w:left="200" w:right="228" w:firstLine="290"/>
              <w:jc w:val="left"/>
              <w:rPr>
                <w:rFonts w:ascii="宋体" w:hAnsi="宋体" w:cs="宋体" w:eastAsia="宋体" w:hint="default"/>
                <w:sz w:val="18"/>
                <w:szCs w:val="18"/>
              </w:rPr>
            </w:pPr>
            <w:r>
              <w:rPr>
                <w:rFonts w:ascii="宋体" w:hAnsi="宋体" w:cs="宋体" w:eastAsia="宋体" w:hint="default"/>
                <w:spacing w:val="-1"/>
                <w:sz w:val="18"/>
                <w:szCs w:val="18"/>
              </w:rPr>
              <w:t>我们的责任是在执行审计工作的基础上对财务报表发表审计意见。我们按照中国注册会计师审计准则的规定执行了审计</w:t>
            </w:r>
            <w:r>
              <w:rPr>
                <w:rFonts w:ascii="宋体" w:hAnsi="宋体" w:cs="宋体" w:eastAsia="宋体" w:hint="default"/>
                <w:sz w:val="18"/>
                <w:szCs w:val="18"/>
              </w:rPr>
              <w:t> 工作。中国注册会计师审计准则要求我们遵守中国注册会计师职业道德守则，计划和执行审计工作以对财务报表是否不存 在重大错报获取合理保证。</w:t>
            </w:r>
          </w:p>
        </w:tc>
      </w:tr>
      <w:tr>
        <w:trPr>
          <w:trHeight w:val="1600"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00" w:right="198" w:firstLine="290"/>
              <w:jc w:val="left"/>
              <w:rPr>
                <w:rFonts w:ascii="宋体" w:hAnsi="宋体" w:cs="宋体" w:eastAsia="宋体" w:hint="default"/>
                <w:sz w:val="18"/>
                <w:szCs w:val="18"/>
              </w:rPr>
            </w:pPr>
            <w:r>
              <w:rPr>
                <w:rFonts w:ascii="宋体" w:hAnsi="宋体" w:cs="宋体" w:eastAsia="宋体" w:hint="default"/>
                <w:spacing w:val="-1"/>
                <w:sz w:val="18"/>
                <w:szCs w:val="18"/>
              </w:rPr>
              <w:t>审计工作涉及实施审计程序，以获取有关财务报表金额和披露的审计证据。选择的审计程序取决于注册会计师的判断，</w:t>
            </w:r>
            <w:r>
              <w:rPr>
                <w:rFonts w:ascii="宋体" w:hAnsi="宋体" w:cs="宋体" w:eastAsia="宋体" w:hint="default"/>
                <w:sz w:val="18"/>
                <w:szCs w:val="18"/>
              </w:rPr>
              <w:t> 包括对由于舞弊或错误导致的财务报表重大错报风险的评估。在进行风险评估时，注册会计师考虑与财务报表编制和公允 列报相关的内部控制，以设计恰当的审计程序，但目的并非对内部控制的有效性发表意见。审计工作还包括评价管理层选 用会计政策的恰当性和作出会计估计的合理性，以及评价财务报表的总体列报。</w:t>
            </w:r>
          </w:p>
        </w:tc>
      </w:tr>
      <w:tr>
        <w:trPr>
          <w:trHeight w:val="664"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我们相信，我们获取的审计证据是充分、适当的，为发表审计意见提供了基础。</w:t>
            </w:r>
          </w:p>
        </w:tc>
      </w:tr>
      <w:tr>
        <w:trPr>
          <w:trHeight w:val="422" w:hRule="exact"/>
        </w:trPr>
        <w:tc>
          <w:tcPr>
            <w:tcW w:w="10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4"/>
                <w:sz w:val="18"/>
                <w:szCs w:val="18"/>
              </w:rPr>
              <w:t> </w:t>
            </w:r>
            <w:r>
              <w:rPr>
                <w:rFonts w:ascii="宋体" w:hAnsi="宋体" w:cs="宋体" w:eastAsia="宋体" w:hint="default"/>
                <w:b/>
                <w:bCs/>
                <w:sz w:val="18"/>
                <w:szCs w:val="18"/>
              </w:rPr>
              <w:t>审计意见</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51" w:footer="979" w:top="1320" w:bottom="1160" w:left="840" w:right="800"/>
        </w:sectPr>
      </w:pPr>
    </w:p>
    <w:p>
      <w:pPr>
        <w:pStyle w:val="BodyText"/>
        <w:spacing w:line="300" w:lineRule="auto" w:before="124"/>
        <w:ind w:left="163" w:right="0" w:firstLine="290"/>
        <w:jc w:val="left"/>
      </w:pPr>
      <w:r>
        <w:rPr>
          <w:spacing w:val="-1"/>
        </w:rPr>
        <w:t>我们认为，贵公司财务报表在所有重大方面按照企业会计准则的规定编制，公允反映了贵公司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日的公司及</w:t>
      </w:r>
      <w:r>
        <w:rPr/>
        <w:t> 合并财务状况以及</w:t>
      </w:r>
      <w:r>
        <w:rPr>
          <w:rFonts w:ascii="Times New Roman" w:hAnsi="Times New Roman" w:cs="Times New Roman" w:eastAsia="Times New Roman" w:hint="default"/>
        </w:rPr>
        <w:t>2014</w:t>
      </w:r>
      <w:r>
        <w:rPr/>
        <w:t>年度的公司及合并经营成果和现金流量。</w:t>
      </w:r>
    </w:p>
    <w:p>
      <w:pPr>
        <w:spacing w:line="240" w:lineRule="auto" w:before="11"/>
        <w:rPr>
          <w:rFonts w:ascii="宋体" w:hAnsi="宋体" w:cs="宋体" w:eastAsia="宋体" w:hint="default"/>
          <w:sz w:val="24"/>
          <w:szCs w:val="24"/>
        </w:rPr>
      </w:pPr>
    </w:p>
    <w:p>
      <w:pPr>
        <w:spacing w:line="626" w:lineRule="auto" w:before="0"/>
        <w:ind w:left="424" w:right="6622" w:hanging="270"/>
        <w:jc w:val="left"/>
        <w:rPr>
          <w:rFonts w:ascii="宋体" w:hAnsi="宋体" w:cs="宋体" w:eastAsia="宋体" w:hint="default"/>
          <w:sz w:val="18"/>
          <w:szCs w:val="18"/>
        </w:rPr>
      </w:pPr>
      <w:bookmarkStart w:name="二、财务报表" w:id="61"/>
      <w:bookmarkEnd w:id="61"/>
      <w:r>
        <w:rPr/>
      </w:r>
      <w:r>
        <w:rPr>
          <w:rFonts w:ascii="宋体" w:hAnsi="宋体" w:cs="宋体" w:eastAsia="宋体" w:hint="default"/>
          <w:b/>
          <w:bCs/>
          <w:sz w:val="18"/>
          <w:szCs w:val="18"/>
        </w:rPr>
        <w:t>二、财务报表</w:t>
      </w:r>
      <w:r>
        <w:rPr>
          <w:rFonts w:ascii="宋体" w:hAnsi="宋体" w:cs="宋体" w:eastAsia="宋体" w:hint="default"/>
          <w:b/>
          <w:bCs/>
          <w:w w:val="99"/>
          <w:sz w:val="18"/>
          <w:szCs w:val="18"/>
        </w:rPr>
        <w:t> </w:t>
      </w:r>
      <w:r>
        <w:rPr>
          <w:rFonts w:ascii="宋体" w:hAnsi="宋体" w:cs="宋体" w:eastAsia="宋体" w:hint="default"/>
          <w:sz w:val="18"/>
          <w:szCs w:val="18"/>
        </w:rPr>
        <w:t>财务附注中报表的单位为：人民币元</w:t>
      </w:r>
    </w:p>
    <w:p>
      <w:pPr>
        <w:pStyle w:val="Heading4"/>
        <w:spacing w:line="240" w:lineRule="auto" w:before="85"/>
        <w:ind w:right="0"/>
        <w:jc w:val="left"/>
        <w:rPr>
          <w:b w:val="0"/>
          <w:bCs w:val="0"/>
        </w:rPr>
      </w:pPr>
      <w:bookmarkStart w:name="1、合并资产负债表" w:id="62"/>
      <w:bookmarkEnd w:id="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154" w:right="0"/>
        <w:jc w:val="left"/>
      </w:pPr>
      <w:r>
        <w:rPr/>
        <w:t>编制单位：快乐购物股份有限公司</w:t>
      </w:r>
    </w:p>
    <w:p>
      <w:pPr>
        <w:pStyle w:val="BodyText"/>
        <w:spacing w:line="240" w:lineRule="auto" w:before="116"/>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996,505,294.07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1,020,954,639.41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86,877,816.55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73,830,537.67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21,213,747.43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17,252,531.88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73,752,171.77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48,679,516.00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3,910,404.32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2,005,008.22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13,072,659.30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8,601,733.89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57,673,713.10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61,865,282.82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57,358,646.72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60,393,854.33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1,310,364,453.26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1,293,583,104.22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49,794,120.16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46,613,950.00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38,960,591.73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6,769,933.51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60,397,327.26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42,062,592.32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8,917,671.23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6,543,296.09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2,585,095.46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1,590,626.31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1,477,540.63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162,132,346.47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103,580,398.23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1,472,496,799.73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1,397,163,502.45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318,025,715.31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354,354,231.08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64,849,685.74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5,886,073.34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28,706,144.49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49,930,512.81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11,442,342.44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31,098,558.57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29,971,468.64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32,990,519.49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57,540,324.43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65,137,314.91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510,535,681.05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539,397,210.20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510,535,681.05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539,397,210.20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177,990,467.94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177,990,467.94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56,286,003.96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40,169,517.67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396,684,646.78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308,606,306.64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961,961,118.68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857,766,292.25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961,961,118.68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857,766,292.25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1,472,496,799.73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1,397,163,502.45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249"/>
        <w:jc w:val="right"/>
      </w:pPr>
      <w:r>
        <w:rPr/>
        <w:t>法定代表人：陈刚</w:t>
        <w:tab/>
        <w:t>主管会计工作负责人：李牛</w:t>
        <w:tab/>
        <w:t>会计机构负责人：刘华强</w:t>
      </w:r>
    </w:p>
    <w:p>
      <w:pPr>
        <w:spacing w:line="240" w:lineRule="auto" w:before="0"/>
        <w:rPr>
          <w:rFonts w:ascii="宋体" w:hAnsi="宋体" w:cs="宋体" w:eastAsia="宋体" w:hint="default"/>
          <w:sz w:val="18"/>
          <w:szCs w:val="18"/>
        </w:rPr>
      </w:pPr>
    </w:p>
    <w:p>
      <w:pPr>
        <w:pStyle w:val="Heading4"/>
        <w:spacing w:line="240" w:lineRule="auto" w:before="141"/>
        <w:ind w:left="153" w:right="0"/>
        <w:jc w:val="left"/>
        <w:rPr>
          <w:b w:val="0"/>
          <w:bCs w:val="0"/>
        </w:rPr>
      </w:pPr>
      <w:bookmarkStart w:name="2、母公司资产负债表" w:id="63"/>
      <w:bookmarkEnd w:id="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871,720,655.43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960,195,097.79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86,877,816.55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73,830,537.67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8,142,245.43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9,911,604.50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69,210,561.66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46,900,223.03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3,811,060.04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1,944,403.97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60,312,802.81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52,450,087.92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49,155,175.67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58,606,082.45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55,183,487.60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59,416,145.58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1,204,413,805.19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1,263,254,182.91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166,811,533.90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56,811,533.90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43,074,482.91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41,655,197.78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6,965,710.17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4,983,254.36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29,008,327.27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9,927,481.76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5,832,590.74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6,543,296.09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251,692,644.99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119,920,763.89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1,456,106,450.18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1,383,174,946.80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308,697,124.92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348,913,582.12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62,921,843.93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5,803,758.79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24,876,837.49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48,877,652.58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8,737,438.90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28,782,937.85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26,470,653.23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29,480,804.20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56,883,769.43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65,045,675.64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488,587,667.90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526,904,411.18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488,587,667.90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526,904,411.18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177,990,467.94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177,990,467.94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56,286,003.96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40,169,517.67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402,242,310.38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307,110,550.01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967,518,782.28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856,270,535.62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1,456,106,450.18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1,383,174,946.80</w:t>
            </w:r>
          </w:p>
        </w:tc>
      </w:tr>
    </w:tbl>
    <w:p>
      <w:pPr>
        <w:spacing w:line="240" w:lineRule="auto" w:before="3"/>
        <w:rPr>
          <w:rFonts w:ascii="Times New Roman" w:hAnsi="Times New Roman" w:cs="Times New Roman" w:eastAsia="Times New Roman" w:hint="default"/>
          <w:sz w:val="23"/>
          <w:szCs w:val="23"/>
        </w:rPr>
      </w:pPr>
    </w:p>
    <w:p>
      <w:pPr>
        <w:pStyle w:val="Heading4"/>
        <w:spacing w:line="240" w:lineRule="auto"/>
        <w:ind w:right="0"/>
        <w:jc w:val="left"/>
        <w:rPr>
          <w:b w:val="0"/>
          <w:bCs w:val="0"/>
        </w:rPr>
      </w:pPr>
      <w:bookmarkStart w:name="3、合并利润表" w:id="64"/>
      <w:bookmarkEnd w:id="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2,738,011,404.04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3,149,875,201.33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2,738,011,404.04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3,149,875,201.33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2,607,013,632.58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2,989,978,301.97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1,974,939,546.71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2,323,603,505.31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r>
        <w:rPr/>
        <w:pict>
          <v:group style="position:absolute;margin-left:212.240005pt;margin-top:541.419983pt;width:157.7pt;height:19.650pt;mso-position-horizontal-relative:page;mso-position-vertical-relative:page;z-index:-655024" coordorigin="4245,10828" coordsize="3154,393">
            <v:shape style="position:absolute;left:4245;top:10828;width:3154;height:393" coordorigin="4245,10828" coordsize="3154,393" path="m4245,11221l7399,11221,7399,10828,4245,10828,4245,1122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13,653,910.12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24,702,071.04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547,182,336.61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554,351,326.01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94,840,431.42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104,098,804.10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-24,723,572.28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-16,685,982.00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1,120,980.00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-91,422.49</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130,997,771.46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159,896,899.36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23,955,365.92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26,290,704.12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4,151.33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36,795.11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111,806.99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10,006.99</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154,916,342.27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186,075,796.49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804,899.57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1,199,439.86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6" w:right="0"/>
              <w:jc w:val="left"/>
              <w:rPr>
                <w:rFonts w:ascii="Times New Roman" w:hAnsi="Times New Roman" w:cs="Times New Roman" w:eastAsia="Times New Roman" w:hint="default"/>
                <w:sz w:val="18"/>
                <w:szCs w:val="18"/>
              </w:rPr>
            </w:pPr>
            <w:r>
              <w:rPr>
                <w:rFonts w:ascii="Times New Roman"/>
                <w:sz w:val="18"/>
              </w:rPr>
              <w:t>154,111,442.70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184,876,356.63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6" w:right="0"/>
              <w:jc w:val="left"/>
              <w:rPr>
                <w:rFonts w:ascii="Times New Roman" w:hAnsi="Times New Roman" w:cs="Times New Roman" w:eastAsia="Times New Roman" w:hint="default"/>
                <w:sz w:val="18"/>
                <w:szCs w:val="18"/>
              </w:rPr>
            </w:pPr>
            <w:r>
              <w:rPr>
                <w:rFonts w:ascii="Times New Roman"/>
                <w:sz w:val="18"/>
              </w:rPr>
              <w:t>154,111,442.70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184,876,356.63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154,111,442.70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184,876,356.63</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154,111,442.70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184,876,356.63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bl>
    <w:p>
      <w:pPr>
        <w:pStyle w:val="BodyText"/>
        <w:tabs>
          <w:tab w:pos="3574" w:val="left" w:leader="none"/>
          <w:tab w:pos="7715" w:val="left" w:leader="none"/>
        </w:tabs>
        <w:spacing w:line="607" w:lineRule="auto" w:before="51"/>
        <w:ind w:left="153" w:right="249"/>
        <w:jc w:val="left"/>
        <w:rPr>
          <w:rFonts w:ascii="宋体" w:hAnsi="宋体" w:cs="宋体" w:eastAsia="宋体" w:hint="default"/>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 法定代表人：陈刚</w:t>
        <w:tab/>
        <w:t>主管会计工作负责人：李牛</w:t>
        <w:tab/>
        <w:t>会计机构负责人：刘华强 </w:t>
      </w:r>
      <w:bookmarkStart w:name="4、母公司利润表" w:id="65"/>
      <w:bookmarkEnd w:id="65"/>
      <w:r>
        <w:rPr/>
      </w:r>
      <w:r>
        <w:rPr>
          <w:rFonts w:ascii="Times New Roman" w:hAnsi="Times New Roman" w:cs="Times New Roman" w:eastAsia="Times New Roman" w:hint="default"/>
          <w:b/>
          <w:bCs/>
        </w:rPr>
        <w:t>4</w:t>
      </w:r>
      <w:r>
        <w:rPr>
          <w:rFonts w:ascii="宋体" w:hAnsi="宋体" w:cs="宋体" w:eastAsia="宋体" w:hint="default"/>
          <w:b/>
          <w:bCs/>
        </w:rPr>
        <w:t>、母公司利润表</w:t>
      </w:r>
      <w:r>
        <w:rPr>
          <w:rFonts w:ascii="宋体" w:hAnsi="宋体" w:cs="宋体" w:eastAsia="宋体" w:hint="default"/>
        </w:rPr>
      </w:r>
    </w:p>
    <w:p>
      <w:pPr>
        <w:pStyle w:val="BodyText"/>
        <w:spacing w:line="240" w:lineRule="auto" w:before="60"/>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2,830,040,669.15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3,362,318,153.05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2,128,076,547.54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2,593,868,185.42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12,128,102.66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22,985,786.60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504,247,996.56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527,424,734.42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71,606,656.34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91,229,715.59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-24,468,444.34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-16,582,821.46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-9,066,697.85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138,449,810.39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152,459,250.33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22,722,825.59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25,315,443.39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2,138.30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10,006.99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10,006.99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161,164,862.93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177,764,686.73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161,164,862.93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177,764,686.73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161,164,862.93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177,764,686.73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Heading4"/>
        <w:spacing w:line="240" w:lineRule="auto"/>
        <w:ind w:right="0"/>
        <w:jc w:val="left"/>
        <w:rPr>
          <w:b w:val="0"/>
          <w:bCs w:val="0"/>
        </w:rPr>
      </w:pPr>
      <w:bookmarkStart w:name="5、合并现金流量表" w:id="66"/>
      <w:bookmarkEnd w:id="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3,371,803,689.46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3,909,114,182.13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161,208,104.68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123,738,226.70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3,533,011,794.14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4,032,852,408.83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2,598,277,620.60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2,957,651,750.80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217,450,442.81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212,321,890.72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123,472,773.84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181,119,340.93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487,002,060.51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436,620,980.98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3,426,202,897.76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3,787,713,963.43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106,808,896.38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245,138,445.40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23,565.78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21,167.02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23,565.78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21,167.02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78,754,406.61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32,606,768.37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78,754,406.61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32,606,768.37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-78,730,840.83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-32,585,601.35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49,916,616.27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54,415,109.08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2,610,784.62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52,527,400.89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54,415,109.08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-52,527,400.89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-54,415,109.08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-24,449,345.34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158,137,734.97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1,020,954,639.41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862,816,904.44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996,505,294.07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1,020,954,639.41</w:t>
            </w:r>
          </w:p>
        </w:tc>
      </w:tr>
    </w:tbl>
    <w:p>
      <w:pPr>
        <w:spacing w:line="240" w:lineRule="auto" w:before="3"/>
        <w:rPr>
          <w:rFonts w:ascii="Times New Roman" w:hAnsi="Times New Roman" w:cs="Times New Roman" w:eastAsia="Times New Roman" w:hint="default"/>
          <w:sz w:val="23"/>
          <w:szCs w:val="23"/>
        </w:rPr>
      </w:pPr>
    </w:p>
    <w:p>
      <w:pPr>
        <w:pStyle w:val="Heading4"/>
        <w:spacing w:line="240" w:lineRule="auto"/>
        <w:ind w:right="0"/>
        <w:jc w:val="left"/>
        <w:rPr>
          <w:b w:val="0"/>
          <w:bCs w:val="0"/>
        </w:rPr>
      </w:pPr>
      <w:bookmarkStart w:name="6、母公司现金流量表" w:id="67"/>
      <w:bookmarkEnd w:id="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3,437,803,850.02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4,019,172,532.77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105,642,406.04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121,576,788.99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3,543,446,256.06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4,140,749,321.76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2,717,788,931.47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3,127,958,526.00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187,999,163.53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205,453,171.32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109,967,212.12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170,838,606.59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414,084,309.35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418,290,880.91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3,429,839,616.47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3,922,541,184.82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113,606,639.59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218,208,136.94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21,167.02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21,167.02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39,572,861.06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24,800,595.77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149,572,861.06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44,800,595.77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-149,553,681.06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-44,779,428.75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49,916,616.27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54,415,109.08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2,610,784.62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52,527,400.89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54,415,109.08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-52,527,400.89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-54,415,109.08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-88,474,442.36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119,013,599.11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960,195,097.79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841,181,498.68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871,720,655.43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960,195,097.79</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7、合并所有者权益变动表" w:id="68"/>
      <w:bookmarkEnd w:id="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53"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,467.94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517.67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308,606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,306.64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857,766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,292.25</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,467.94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517.67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308,606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,306.64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857,766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,292.25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486.29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88,078,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340.14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104,194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,826.43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pacing w:val="-3"/>
                <w:sz w:val="18"/>
              </w:rPr>
              <w:t>154,111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,442.70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pacing w:val="-3"/>
                <w:sz w:val="18"/>
              </w:rPr>
              <w:t>154,111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,442.70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486.29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-66,033,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102.56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-49,916,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616.27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486.29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486.29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-49,916,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616.27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-49,916,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616.27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,467.94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56,286,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003.96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396,684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961,961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,118.68</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,467.94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049.00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195,921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,527.76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727,305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,044.70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,467.94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049.00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195,921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,527.76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727,305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,044.70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17,776,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468.67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112,684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,778.88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130,461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,247.55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184,876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,356.63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184,876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,356.63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17,776,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468.67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-72,191,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577.75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-54,415,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109.08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17,776,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468.67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-17,776,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468.67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-54,415,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109.08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-54,415,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109.08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,467.94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308,606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,306.64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857,766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,292.25</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8、母公司所有者权益变动表" w:id="69"/>
      <w:bookmarkEnd w:id="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53" w:right="0"/>
        <w:jc w:val="left"/>
      </w:pPr>
      <w:r>
        <w:rPr/>
        <w:t>本期金额</w:t>
      </w:r>
    </w:p>
    <w:p>
      <w:pPr>
        <w:pStyle w:val="BodyText"/>
        <w:spacing w:line="240" w:lineRule="auto" w:before="116"/>
        <w:ind w:left="0" w:right="150"/>
        <w:jc w:val="right"/>
      </w:pPr>
      <w:r>
        <w:rPr/>
        <w:t>单位：元</w:t>
      </w:r>
    </w:p>
    <w:p>
      <w:pPr>
        <w:spacing w:after="0" w:line="240" w:lineRule="auto"/>
        <w:jc w:val="right"/>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40,169,51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7.67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64" w:right="0"/>
              <w:jc w:val="left"/>
              <w:rPr>
                <w:rFonts w:ascii="Times New Roman" w:hAnsi="Times New Roman" w:cs="Times New Roman" w:eastAsia="Times New Roman" w:hint="default"/>
                <w:sz w:val="18"/>
                <w:szCs w:val="18"/>
              </w:rPr>
            </w:pPr>
            <w:r>
              <w:rPr>
                <w:rFonts w:ascii="Times New Roman"/>
                <w:sz w:val="18"/>
              </w:rPr>
              <w:t>307,110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,550.01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856,270,5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35.62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40,169,51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7.67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307,110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,550.01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856,270,5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35.62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16,116,48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95,131,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760.37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111,248,2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46.66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161,164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,862.93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161,164,8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62.93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16,116,48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-66,033,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102.56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-49,916,6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16.27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16,116,48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486.29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-49,916,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616.27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-49,916,6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16.27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56,286,00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402,242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,310.38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967,518,7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82.28</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22,393,04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201,537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,441.03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732,920,9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57.97</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22,393,04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201,537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,441.03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732,920,9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57.97</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17,776,46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105,573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,108.98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123,349,5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77.65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177,764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177,764,6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86.73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17,776,46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-72,191,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577.75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-54,415,1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09.08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17,776,46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-17,776,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468.67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-54,415,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109.08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-54,415,1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09.08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40,169,51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307,110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,550.01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856,270,5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35.62</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三、公司基本情况" w:id="70"/>
      <w:bookmarkEnd w:id="70"/>
      <w:r>
        <w:rPr>
          <w:b w:val="0"/>
          <w:bCs w:val="0"/>
        </w:rPr>
      </w:r>
      <w:r>
        <w:rPr/>
        <w:t>三、公司基本情况</w:t>
      </w:r>
      <w:r>
        <w:rPr>
          <w:b w:val="0"/>
          <w:bCs w:val="0"/>
        </w:rPr>
      </w:r>
    </w:p>
    <w:p>
      <w:pPr>
        <w:spacing w:line="240" w:lineRule="auto" w:before="0"/>
        <w:rPr>
          <w:rFonts w:ascii="宋体" w:hAnsi="宋体" w:cs="宋体" w:eastAsia="宋体" w:hint="default"/>
          <w:b/>
          <w:bCs/>
          <w:sz w:val="18"/>
          <w:szCs w:val="18"/>
        </w:rPr>
      </w:pPr>
    </w:p>
    <w:p>
      <w:pPr>
        <w:pStyle w:val="Heading4"/>
        <w:tabs>
          <w:tab w:pos="1414" w:val="left" w:leader="none"/>
        </w:tabs>
        <w:spacing w:line="240" w:lineRule="auto" w:before="141"/>
        <w:ind w:left="874"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公司基本情况</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39"/>
        <w:ind w:left="579" w:right="140" w:firstLine="360"/>
        <w:jc w:val="left"/>
      </w:pPr>
      <w:r>
        <w:rPr>
          <w:spacing w:val="-1"/>
        </w:rPr>
        <w:t>快乐购物股份有限公司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系由快乐购物有限责任公司整体变更设立。快乐购物有限责任</w:t>
      </w:r>
      <w:r>
        <w:rPr/>
        <w:t> 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月在湖南省长沙市注册成立的有限责任公司，公司总部位于长沙市。</w:t>
      </w:r>
    </w:p>
    <w:p>
      <w:pPr>
        <w:pStyle w:val="BodyText"/>
        <w:spacing w:line="309" w:lineRule="auto" w:before="13"/>
        <w:ind w:left="579" w:right="0" w:firstLine="294"/>
        <w:jc w:val="left"/>
      </w:pPr>
      <w:r>
        <w:rPr/>
        <w:t>本公司的控股股东为芒果传媒有限公司，最终控股方为湖南广播电视台。 本公司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月成立时，注册资本为人民币</w:t>
      </w:r>
      <w:r>
        <w:rPr>
          <w:rFonts w:ascii="Times New Roman" w:hAnsi="Times New Roman" w:cs="Times New Roman" w:eastAsia="Times New Roman" w:hint="default"/>
        </w:rPr>
        <w:t>10,000</w:t>
      </w:r>
      <w:r>
        <w:rPr/>
        <w:t>万元。其中湖南电视台出资人民币</w:t>
      </w:r>
      <w:r>
        <w:rPr>
          <w:rFonts w:ascii="Times New Roman" w:hAnsi="Times New Roman" w:cs="Times New Roman" w:eastAsia="Times New Roman" w:hint="default"/>
        </w:rPr>
        <w:t>8,500</w:t>
      </w:r>
      <w:r>
        <w:rPr/>
        <w:t>万元，占注册资本</w:t>
      </w:r>
      <w:r>
        <w:rPr>
          <w:rFonts w:ascii="Times New Roman" w:hAnsi="Times New Roman" w:cs="Times New Roman" w:eastAsia="Times New Roman" w:hint="default"/>
        </w:rPr>
        <w:t>85%</w:t>
      </w:r>
      <w:r>
        <w:rPr/>
        <w:t>；</w:t>
      </w:r>
      <w:r>
        <w:rPr>
          <w:spacing w:val="-38"/>
        </w:rPr>
        <w:t> </w:t>
      </w:r>
      <w:r>
        <w:rPr/>
        <w:t>湖南广播影视集团出资人民币</w:t>
      </w:r>
      <w:r>
        <w:rPr>
          <w:rFonts w:ascii="Times New Roman" w:hAnsi="Times New Roman" w:cs="Times New Roman" w:eastAsia="Times New Roman" w:hint="default"/>
        </w:rPr>
        <w:t>1,500</w:t>
      </w:r>
      <w:r>
        <w:rPr/>
        <w:t>万元，占注册资本的</w:t>
      </w:r>
      <w:r>
        <w:rPr>
          <w:rFonts w:ascii="Times New Roman" w:hAnsi="Times New Roman" w:cs="Times New Roman" w:eastAsia="Times New Roman" w:hint="default"/>
        </w:rPr>
        <w:t>15%</w:t>
      </w:r>
      <w:r>
        <w:rPr/>
        <w:t>。</w:t>
      </w:r>
    </w:p>
    <w:p>
      <w:pPr>
        <w:pStyle w:val="BodyText"/>
        <w:spacing w:line="300" w:lineRule="auto" w:before="5"/>
        <w:ind w:left="580" w:right="150" w:firstLine="293"/>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月，经湘广字</w:t>
      </w:r>
      <w:r>
        <w:rPr>
          <w:spacing w:val="-1"/>
        </w:rPr>
        <w:t> </w:t>
      </w:r>
      <w:r>
        <w:rPr>
          <w:rFonts w:ascii="Times New Roman" w:hAnsi="Times New Roman" w:cs="Times New Roman" w:eastAsia="Times New Roman" w:hint="default"/>
        </w:rPr>
        <w:t>[2008]30</w:t>
      </w:r>
      <w:r>
        <w:rPr/>
        <w:t>号文件批准，湖南电视台将持有的本公司</w:t>
      </w:r>
      <w:r>
        <w:rPr>
          <w:rFonts w:ascii="Times New Roman" w:hAnsi="Times New Roman" w:cs="Times New Roman" w:eastAsia="Times New Roman" w:hint="default"/>
        </w:rPr>
        <w:t>85%</w:t>
      </w:r>
      <w:r>
        <w:rPr/>
        <w:t>股权无偿划转至湖南广播影视集团， </w:t>
      </w:r>
      <w:r>
        <w:rPr>
          <w:spacing w:val="-1"/>
        </w:rPr>
        <w:t>股权无偿划转完成后，湖南广播影视集团持有公司</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月，经湘广字</w:t>
      </w:r>
      <w:r>
        <w:rPr>
          <w:rFonts w:ascii="Times New Roman" w:hAnsi="Times New Roman" w:cs="Times New Roman" w:eastAsia="Times New Roman" w:hint="default"/>
          <w:spacing w:val="-1"/>
        </w:rPr>
        <w:t>[2008]31</w:t>
      </w:r>
      <w:r>
        <w:rPr>
          <w:spacing w:val="-1"/>
        </w:rPr>
        <w:t>号文件批准，湖南广播影</w:t>
      </w:r>
      <w:r>
        <w:rPr/>
        <w:t> </w:t>
      </w:r>
      <w:r>
        <w:rPr>
          <w:spacing w:val="-1"/>
        </w:rPr>
        <w:t>视集团将持有的本公司</w:t>
      </w:r>
      <w:r>
        <w:rPr>
          <w:rFonts w:ascii="Times New Roman" w:hAnsi="Times New Roman" w:cs="Times New Roman" w:eastAsia="Times New Roman" w:hint="default"/>
          <w:spacing w:val="-1"/>
        </w:rPr>
        <w:t>100%</w:t>
      </w:r>
      <w:r>
        <w:rPr>
          <w:spacing w:val="-1"/>
        </w:rPr>
        <w:t>股权注入快乐金鹰投资控股有限公司。股权注入完成后，快乐金鹰投资控股有限公司持有</w:t>
      </w:r>
      <w:r>
        <w:rPr>
          <w:spacing w:val="-67"/>
        </w:rPr>
        <w:t> </w:t>
      </w:r>
      <w:r>
        <w:rPr>
          <w:spacing w:val="-67"/>
        </w:rPr>
      </w:r>
      <w:r>
        <w:rPr/>
        <w:t>本公司</w:t>
      </w:r>
      <w:r>
        <w:rPr>
          <w:rFonts w:ascii="Times New Roman" w:hAnsi="Times New Roman" w:cs="Times New Roman" w:eastAsia="Times New Roman" w:hint="default"/>
        </w:rPr>
        <w:t>100%</w:t>
      </w:r>
      <w:r>
        <w:rPr/>
        <w:t>股权。</w:t>
      </w:r>
    </w:p>
    <w:p>
      <w:pPr>
        <w:pStyle w:val="BodyText"/>
        <w:spacing w:line="300" w:lineRule="auto" w:before="13"/>
        <w:ind w:left="580" w:right="0" w:firstLine="293"/>
        <w:jc w:val="left"/>
      </w:pPr>
      <w:r>
        <w:rPr>
          <w:spacing w:val="-1"/>
        </w:rPr>
        <w:t>本公司于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日与弘毅投资产业一期基金</w:t>
      </w:r>
      <w:r>
        <w:rPr>
          <w:rFonts w:ascii="Times New Roman" w:hAnsi="Times New Roman" w:cs="Times New Roman" w:eastAsia="Times New Roman" w:hint="default"/>
          <w:spacing w:val="-1"/>
        </w:rPr>
        <w:t>(</w:t>
      </w:r>
      <w:r>
        <w:rPr>
          <w:spacing w:val="-1"/>
        </w:rPr>
        <w:t>天津</w:t>
      </w:r>
      <w:r>
        <w:rPr>
          <w:rFonts w:ascii="Times New Roman" w:hAnsi="Times New Roman" w:cs="Times New Roman" w:eastAsia="Times New Roman" w:hint="default"/>
          <w:spacing w:val="-1"/>
        </w:rPr>
        <w:t>)</w:t>
      </w:r>
      <w:r>
        <w:rPr>
          <w:spacing w:val="-1"/>
        </w:rPr>
        <w:t>、绵阳科技城产业投资基金以及天津红杉资本投资基金中</w:t>
      </w:r>
      <w:r>
        <w:rPr/>
        <w:t> </w:t>
      </w:r>
      <w:r>
        <w:rPr>
          <w:spacing w:val="-2"/>
        </w:rPr>
        <w:t>心三家有限合伙基金公司签署协议，由三家公司投资人民币</w:t>
      </w:r>
      <w:r>
        <w:rPr>
          <w:rFonts w:ascii="Times New Roman" w:hAnsi="Times New Roman" w:cs="Times New Roman" w:eastAsia="Times New Roman" w:hint="default"/>
          <w:spacing w:val="-2"/>
        </w:rPr>
        <w:t>33,000</w:t>
      </w:r>
      <w:r>
        <w:rPr>
          <w:spacing w:val="-2"/>
        </w:rPr>
        <w:t>万元：其中向本公司增资人民币</w:t>
      </w:r>
      <w:r>
        <w:rPr>
          <w:rFonts w:ascii="Times New Roman" w:hAnsi="Times New Roman" w:cs="Times New Roman" w:eastAsia="Times New Roman" w:hint="default"/>
          <w:spacing w:val="-2"/>
        </w:rPr>
        <w:t>23,000</w:t>
      </w:r>
      <w:r>
        <w:rPr>
          <w:spacing w:val="-2"/>
        </w:rPr>
        <w:t>万元，剩余人</w:t>
      </w:r>
    </w:p>
    <w:p>
      <w:pPr>
        <w:spacing w:after="0" w:line="300" w:lineRule="auto"/>
        <w:jc w:val="left"/>
        <w:sectPr>
          <w:pgSz w:w="11910" w:h="16840"/>
          <w:pgMar w:header="851" w:footer="979" w:top="1320" w:bottom="1160" w:left="980" w:right="980"/>
        </w:sectPr>
      </w:pPr>
    </w:p>
    <w:p>
      <w:pPr>
        <w:pStyle w:val="BodyText"/>
        <w:spacing w:line="240" w:lineRule="auto" w:before="114"/>
        <w:ind w:left="580" w:right="92"/>
        <w:jc w:val="left"/>
      </w:pPr>
      <w:r>
        <w:rPr/>
        <w:t>民币</w:t>
      </w:r>
      <w:r>
        <w:rPr>
          <w:rFonts w:ascii="Times New Roman" w:hAnsi="Times New Roman" w:cs="Times New Roman" w:eastAsia="Times New Roman" w:hint="default"/>
        </w:rPr>
        <w:t>10,000</w:t>
      </w:r>
      <w:r>
        <w:rPr/>
        <w:t>万元用于向原股东收购公司的部分股权。三家基金公司合计最终持有本公司</w:t>
      </w:r>
      <w:r>
        <w:rPr>
          <w:rFonts w:ascii="Times New Roman" w:hAnsi="Times New Roman" w:cs="Times New Roman" w:eastAsia="Times New Roman" w:hint="default"/>
        </w:rPr>
        <w:t>38.82%</w:t>
      </w:r>
      <w:r>
        <w:rPr/>
        <w:t>的股权。</w:t>
      </w:r>
    </w:p>
    <w:p>
      <w:pPr>
        <w:pStyle w:val="BodyText"/>
        <w:spacing w:line="300" w:lineRule="auto" w:before="63"/>
        <w:ind w:left="581" w:right="191"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日，原快乐金鹰投资控股有限公司更名为芒果传媒有限公司。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月，原湖南电视台和原湖南广 播影视集团改组为湖南广播电视台。湖南广播电视台持有芒果传媒有限公司</w:t>
      </w:r>
      <w:r>
        <w:rPr>
          <w:rFonts w:ascii="Times New Roman" w:hAnsi="Times New Roman" w:cs="Times New Roman" w:eastAsia="Times New Roman" w:hint="default"/>
        </w:rPr>
        <w:t>100%</w:t>
      </w:r>
      <w:r>
        <w:rPr/>
        <w:t>的股权。</w:t>
      </w:r>
    </w:p>
    <w:p>
      <w:pPr>
        <w:pStyle w:val="BodyText"/>
        <w:spacing w:line="300" w:lineRule="auto" w:before="13"/>
        <w:ind w:left="513" w:right="244" w:firstLine="360"/>
        <w:jc w:val="both"/>
      </w:pPr>
      <w:r>
        <w:rPr/>
        <w:t>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日湘财教</w:t>
      </w:r>
      <w:r>
        <w:rPr>
          <w:rFonts w:ascii="Times New Roman" w:hAnsi="Times New Roman" w:cs="Times New Roman" w:eastAsia="Times New Roman" w:hint="default"/>
        </w:rPr>
        <w:t>[2011]11</w:t>
      </w:r>
      <w:r>
        <w:rPr/>
        <w:t>号《湖南省财政厅关于快乐购物有限责任公司部分股权转让事项的批复》和本 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日股东会决议，芒果传媒有限公司将其持有的本公司</w:t>
      </w:r>
      <w:r>
        <w:rPr>
          <w:rFonts w:ascii="Times New Roman" w:hAnsi="Times New Roman" w:cs="Times New Roman" w:eastAsia="Times New Roman" w:hint="default"/>
        </w:rPr>
        <w:t>3.00%</w:t>
      </w:r>
      <w:r>
        <w:rPr/>
        <w:t>的股权转让给湖南高新创业投资股份有限 责任公司。另外，根据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日湘财教</w:t>
      </w:r>
      <w:r>
        <w:rPr>
          <w:rFonts w:ascii="Times New Roman" w:hAnsi="Times New Roman" w:cs="Times New Roman" w:eastAsia="Times New Roman" w:hint="default"/>
        </w:rPr>
        <w:t>[2011]14</w:t>
      </w:r>
      <w:r>
        <w:rPr/>
        <w:t>号《湖南省财政厅关于快乐购物有限责任公司经营团队增资持股 有关事项的批复》和公司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日股东会决议，本公司增加注册资本人民币</w:t>
      </w:r>
      <w:r>
        <w:rPr>
          <w:rFonts w:ascii="Times New Roman" w:hAnsi="Times New Roman" w:cs="Times New Roman" w:eastAsia="Times New Roman" w:hint="default"/>
        </w:rPr>
        <w:t>10,856,033.00</w:t>
      </w:r>
      <w:r>
        <w:rPr/>
        <w:t>元，增加后的注册资本 为人民币</w:t>
      </w:r>
      <w:r>
        <w:rPr>
          <w:rFonts w:ascii="Times New Roman" w:hAnsi="Times New Roman" w:cs="Times New Roman" w:eastAsia="Times New Roman" w:hint="default"/>
        </w:rPr>
        <w:t>155,086,174.00</w:t>
      </w:r>
      <w:r>
        <w:rPr/>
        <w:t>元。新增注册资本由自然人陈刚，唐伟民，唐靓，李牛，欧阳霁，张志芳，江应星，李翔，彭 杨，伍俊芸，肖笛，李泝，曹克湘及王文亮</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经营团队</w:t>
      </w:r>
      <w:r>
        <w:rPr>
          <w:rFonts w:ascii="Times New Roman" w:hAnsi="Times New Roman" w:cs="Times New Roman" w:eastAsia="Times New Roman" w:hint="default"/>
        </w:rPr>
        <w:t>”)</w:t>
      </w:r>
      <w:r>
        <w:rPr/>
        <w:t>认缴。</w:t>
      </w:r>
    </w:p>
    <w:p>
      <w:pPr>
        <w:pStyle w:val="BodyText"/>
        <w:spacing w:line="300" w:lineRule="auto" w:before="13"/>
        <w:ind w:left="580" w:right="92" w:firstLine="360"/>
        <w:jc w:val="left"/>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25</w:t>
      </w:r>
      <w:r>
        <w:rPr>
          <w:spacing w:val="4"/>
        </w:rPr>
        <w:t>日，根据中共湖南省委宣传部《关于快乐购物有限责任公司整体变更为股份公司的批复》</w:t>
      </w:r>
      <w:r>
        <w:rPr>
          <w:rFonts w:ascii="Times New Roman" w:hAnsi="Times New Roman" w:cs="Times New Roman" w:eastAsia="Times New Roman" w:hint="default"/>
          <w:spacing w:val="4"/>
        </w:rPr>
        <w:t>(</w:t>
      </w:r>
      <w:r>
        <w:rPr>
          <w:spacing w:val="4"/>
        </w:rPr>
        <w:t>湘宣函 </w:t>
      </w:r>
      <w:r>
        <w:rPr>
          <w:rFonts w:ascii="Times New Roman" w:hAnsi="Times New Roman" w:cs="Times New Roman" w:eastAsia="Times New Roman" w:hint="default"/>
        </w:rPr>
        <w:t>[2011]09</w:t>
      </w:r>
      <w:r>
        <w:rPr/>
        <w:t>号</w:t>
      </w:r>
      <w:r>
        <w:rPr>
          <w:rFonts w:ascii="Times New Roman" w:hAnsi="Times New Roman" w:cs="Times New Roman" w:eastAsia="Times New Roman" w:hint="default"/>
        </w:rPr>
        <w:t>)</w:t>
      </w:r>
      <w:r>
        <w:rPr/>
        <w:t>、湖南省财政厅《关于对快乐购物股份有限公司国有股权管理有关问题的批复》</w:t>
      </w:r>
      <w:r>
        <w:rPr>
          <w:rFonts w:ascii="Times New Roman" w:hAnsi="Times New Roman" w:cs="Times New Roman" w:eastAsia="Times New Roman" w:hint="default"/>
        </w:rPr>
        <w:t>(</w:t>
      </w:r>
      <w:r>
        <w:rPr/>
        <w:t>湘财教</w:t>
      </w:r>
      <w:r>
        <w:rPr>
          <w:rFonts w:ascii="Times New Roman" w:hAnsi="Times New Roman" w:cs="Times New Roman" w:eastAsia="Times New Roman" w:hint="default"/>
        </w:rPr>
        <w:t>[2011]40</w:t>
      </w:r>
      <w:r>
        <w:rPr/>
        <w:t>号</w:t>
      </w:r>
      <w:r>
        <w:rPr>
          <w:rFonts w:ascii="Times New Roman" w:hAnsi="Times New Roman" w:cs="Times New Roman" w:eastAsia="Times New Roman" w:hint="default"/>
        </w:rPr>
        <w:t>)</w:t>
      </w:r>
      <w:r>
        <w:rPr/>
        <w:t>、本公 司发起人协议、章程的规定，本公司以发起设立方式，由有限公司依法整体变更设立为股份有限公司，并更名为</w:t>
      </w:r>
      <w:r>
        <w:rPr>
          <w:rFonts w:ascii="Times New Roman" w:hAnsi="Times New Roman" w:cs="Times New Roman" w:eastAsia="Times New Roman" w:hint="default"/>
        </w:rPr>
        <w:t>“</w:t>
      </w:r>
      <w:r>
        <w:rPr/>
        <w:t>快乐 购物股份有限公司</w:t>
      </w:r>
      <w:r>
        <w:rPr>
          <w:rFonts w:ascii="Times New Roman" w:hAnsi="Times New Roman" w:cs="Times New Roman" w:eastAsia="Times New Roman" w:hint="default"/>
        </w:rPr>
        <w:t>”</w:t>
      </w:r>
      <w:r>
        <w:rPr/>
        <w:t>。根据发起人协议及公司章程的规定，本公司以有限公司截止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日经审计的净资产人民</w:t>
      </w:r>
      <w:r>
        <w:rPr>
          <w:spacing w:val="-56"/>
        </w:rPr>
        <w:t> </w:t>
      </w:r>
      <w:r>
        <w:rPr>
          <w:spacing w:val="-56"/>
        </w:rPr>
      </w:r>
      <w:r>
        <w:rPr>
          <w:spacing w:val="-4"/>
        </w:rPr>
        <w:t>币</w:t>
      </w:r>
      <w:r>
        <w:rPr>
          <w:rFonts w:ascii="Times New Roman" w:hAnsi="Times New Roman" w:cs="Times New Roman" w:eastAsia="Times New Roman" w:hint="default"/>
          <w:spacing w:val="-4"/>
        </w:rPr>
        <w:t>508,990,467.94</w:t>
      </w:r>
      <w:r>
        <w:rPr>
          <w:spacing w:val="-4"/>
        </w:rPr>
        <w:t>元，按经批准的折股比例</w:t>
      </w:r>
      <w:r>
        <w:rPr>
          <w:rFonts w:ascii="Times New Roman" w:hAnsi="Times New Roman" w:cs="Times New Roman" w:eastAsia="Times New Roman" w:hint="default"/>
          <w:spacing w:val="-4"/>
        </w:rPr>
        <w:t>1:</w:t>
      </w:r>
      <w:r>
        <w:rPr>
          <w:rFonts w:ascii="Times New Roman" w:hAnsi="Times New Roman" w:cs="Times New Roman" w:eastAsia="Times New Roman" w:hint="default"/>
        </w:rPr>
        <w:t> </w:t>
      </w:r>
      <w:r>
        <w:rPr>
          <w:rFonts w:ascii="Times New Roman" w:hAnsi="Times New Roman" w:cs="Times New Roman" w:eastAsia="Times New Roman" w:hint="default"/>
          <w:spacing w:val="-4"/>
        </w:rPr>
        <w:t>0.6503069</w:t>
      </w:r>
      <w:r>
        <w:rPr>
          <w:spacing w:val="-4"/>
        </w:rPr>
        <w:t>，折算为股本人民币</w:t>
      </w:r>
      <w:r>
        <w:rPr>
          <w:rFonts w:ascii="Times New Roman" w:hAnsi="Times New Roman" w:cs="Times New Roman" w:eastAsia="Times New Roman" w:hint="default"/>
          <w:spacing w:val="-4"/>
        </w:rPr>
        <w:t>331,000,000.00</w:t>
      </w:r>
      <w:r>
        <w:rPr>
          <w:spacing w:val="-4"/>
        </w:rPr>
        <w:t>元，占本公司注册资本的</w:t>
      </w:r>
      <w:r>
        <w:rPr>
          <w:rFonts w:ascii="Times New Roman" w:hAnsi="Times New Roman" w:cs="Times New Roman" w:eastAsia="Times New Roman" w:hint="default"/>
          <w:spacing w:val="-4"/>
        </w:rPr>
        <w:t>100%</w:t>
      </w:r>
      <w:r>
        <w:rPr>
          <w:spacing w:val="-4"/>
        </w:rPr>
        <w:t>；</w:t>
      </w:r>
      <w:r>
        <w:rPr>
          <w:spacing w:val="-53"/>
        </w:rPr>
        <w:t> </w:t>
      </w:r>
      <w:r>
        <w:rPr/>
        <w:t>余额人民币</w:t>
      </w:r>
      <w:r>
        <w:rPr>
          <w:rFonts w:ascii="Times New Roman" w:hAnsi="Times New Roman" w:cs="Times New Roman" w:eastAsia="Times New Roman" w:hint="default"/>
        </w:rPr>
        <w:t>177,990,467.94</w:t>
      </w:r>
      <w:r>
        <w:rPr/>
        <w:t>元作为本公司的</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w:t>
      </w:r>
    </w:p>
    <w:p>
      <w:pPr>
        <w:pStyle w:val="BodyText"/>
        <w:spacing w:line="300" w:lineRule="auto" w:before="13"/>
        <w:ind w:left="580" w:right="190" w:firstLine="293"/>
        <w:jc w:val="both"/>
      </w:pPr>
      <w:r>
        <w:rPr>
          <w:spacing w:val="-1"/>
        </w:rPr>
        <w:t>本公司整体变更为股份公司后，注册资本及股本总额为人民币</w:t>
      </w:r>
      <w:r>
        <w:rPr>
          <w:rFonts w:ascii="Times New Roman" w:hAnsi="Times New Roman" w:cs="Times New Roman" w:eastAsia="Times New Roman" w:hint="default"/>
          <w:spacing w:val="-1"/>
        </w:rPr>
        <w:t>331,000,000.00</w:t>
      </w:r>
      <w:r>
        <w:rPr>
          <w:spacing w:val="-1"/>
        </w:rPr>
        <w:t>元，每股面值人民币</w:t>
      </w:r>
      <w:r>
        <w:rPr>
          <w:rFonts w:ascii="Times New Roman" w:hAnsi="Times New Roman" w:cs="Times New Roman" w:eastAsia="Times New Roman" w:hint="default"/>
          <w:spacing w:val="-1"/>
        </w:rPr>
        <w:t>1</w:t>
      </w:r>
      <w:r>
        <w:rPr>
          <w:spacing w:val="-1"/>
        </w:rPr>
        <w:t>元，股份总数共</w:t>
      </w:r>
      <w:r>
        <w:rPr/>
        <w:t> 计</w:t>
      </w:r>
      <w:r>
        <w:rPr>
          <w:rFonts w:ascii="Times New Roman" w:hAnsi="Times New Roman" w:cs="Times New Roman" w:eastAsia="Times New Roman" w:hint="default"/>
        </w:rPr>
        <w:t>33,100</w:t>
      </w:r>
      <w:r>
        <w:rPr/>
        <w:t>万股。其中，芒果传媒有限公司持有</w:t>
      </w:r>
      <w:r>
        <w:rPr>
          <w:rFonts w:ascii="Times New Roman" w:hAnsi="Times New Roman" w:cs="Times New Roman" w:eastAsia="Times New Roman" w:hint="default"/>
        </w:rPr>
        <w:t>179,095,493</w:t>
      </w:r>
      <w:r>
        <w:rPr/>
        <w:t>股，占本公司股本总额的</w:t>
      </w:r>
      <w:r>
        <w:rPr>
          <w:rFonts w:ascii="Times New Roman" w:hAnsi="Times New Roman" w:cs="Times New Roman" w:eastAsia="Times New Roman" w:hint="default"/>
        </w:rPr>
        <w:t>54.11%</w:t>
      </w:r>
      <w:r>
        <w:rPr/>
        <w:t>；弘毅投资产业一期基金</w:t>
      </w:r>
      <w:r>
        <w:rPr>
          <w:rFonts w:ascii="Times New Roman" w:hAnsi="Times New Roman" w:cs="Times New Roman" w:eastAsia="Times New Roman" w:hint="default"/>
        </w:rPr>
        <w:t>(</w:t>
      </w:r>
      <w:r>
        <w:rPr/>
        <w:t>天 </w:t>
      </w:r>
      <w:r>
        <w:rPr>
          <w:spacing w:val="-2"/>
        </w:rPr>
        <w:t>津</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持有</w:t>
      </w:r>
      <w:r>
        <w:rPr>
          <w:rFonts w:ascii="Times New Roman" w:hAnsi="Times New Roman" w:cs="Times New Roman" w:eastAsia="Times New Roman" w:hint="default"/>
          <w:spacing w:val="-2"/>
        </w:rPr>
        <w:t>65,198,394</w:t>
      </w:r>
      <w:r>
        <w:rPr>
          <w:spacing w:val="-2"/>
        </w:rPr>
        <w:t>股，占本公司股本总额的</w:t>
      </w:r>
      <w:r>
        <w:rPr>
          <w:rFonts w:ascii="Times New Roman" w:hAnsi="Times New Roman" w:cs="Times New Roman" w:eastAsia="Times New Roman" w:hint="default"/>
          <w:spacing w:val="-2"/>
        </w:rPr>
        <w:t>19.70%</w:t>
      </w:r>
      <w:r>
        <w:rPr>
          <w:spacing w:val="-2"/>
        </w:rPr>
        <w:t>；绵阳科技城产业投资基金</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持有</w:t>
      </w:r>
      <w:r>
        <w:rPr>
          <w:rFonts w:ascii="Times New Roman" w:hAnsi="Times New Roman" w:cs="Times New Roman" w:eastAsia="Times New Roman" w:hint="default"/>
          <w:spacing w:val="-2"/>
        </w:rPr>
        <w:t>36,200,809</w:t>
      </w:r>
      <w:r>
        <w:rPr>
          <w:spacing w:val="-2"/>
        </w:rPr>
        <w:t>股，</w:t>
      </w:r>
      <w:r>
        <w:rPr>
          <w:spacing w:val="-59"/>
        </w:rPr>
        <w:t> </w:t>
      </w:r>
      <w:r>
        <w:rPr/>
        <w:t>占本公司股本总额的</w:t>
      </w:r>
      <w:r>
        <w:rPr>
          <w:rFonts w:ascii="Times New Roman" w:hAnsi="Times New Roman" w:cs="Times New Roman" w:eastAsia="Times New Roman" w:hint="default"/>
        </w:rPr>
        <w:t>10.94%</w:t>
      </w:r>
      <w:r>
        <w:rPr/>
        <w:t>；天津红杉资本投资基金中心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持有</w:t>
      </w:r>
      <w:r>
        <w:rPr>
          <w:rFonts w:ascii="Times New Roman" w:hAnsi="Times New Roman" w:cs="Times New Roman" w:eastAsia="Times New Roman" w:hint="default"/>
        </w:rPr>
        <w:t>18,100,403</w:t>
      </w:r>
      <w:r>
        <w:rPr/>
        <w:t>股，占本公司股本总额的</w:t>
      </w:r>
      <w:r>
        <w:rPr>
          <w:rFonts w:ascii="Times New Roman" w:hAnsi="Times New Roman" w:cs="Times New Roman" w:eastAsia="Times New Roman" w:hint="default"/>
        </w:rPr>
        <w:t>5.47%</w:t>
      </w:r>
      <w:r>
        <w:rPr/>
        <w:t>；</w:t>
      </w:r>
      <w:r>
        <w:rPr>
          <w:spacing w:val="-37"/>
        </w:rPr>
        <w:t> </w:t>
      </w:r>
      <w:r>
        <w:rPr>
          <w:spacing w:val="-3"/>
        </w:rPr>
        <w:t>湖南高新创业投资有限责任公司持有</w:t>
      </w:r>
      <w:r>
        <w:rPr>
          <w:rFonts w:ascii="Times New Roman" w:hAnsi="Times New Roman" w:cs="Times New Roman" w:eastAsia="Times New Roman" w:hint="default"/>
          <w:spacing w:val="-3"/>
        </w:rPr>
        <w:t>9,234,899</w:t>
      </w:r>
      <w:r>
        <w:rPr>
          <w:spacing w:val="-3"/>
        </w:rPr>
        <w:t>股，占本公司股本总额的</w:t>
      </w:r>
      <w:r>
        <w:rPr>
          <w:rFonts w:ascii="Times New Roman" w:hAnsi="Times New Roman" w:cs="Times New Roman" w:eastAsia="Times New Roman" w:hint="default"/>
          <w:spacing w:val="-3"/>
        </w:rPr>
        <w:t>2.78%</w:t>
      </w:r>
      <w:r>
        <w:rPr>
          <w:spacing w:val="-3"/>
        </w:rPr>
        <w:t>；其余</w:t>
      </w:r>
      <w:r>
        <w:rPr>
          <w:rFonts w:ascii="Times New Roman" w:hAnsi="Times New Roman" w:cs="Times New Roman" w:eastAsia="Times New Roman" w:hint="default"/>
          <w:spacing w:val="-3"/>
        </w:rPr>
        <w:t>23,170,002</w:t>
      </w:r>
      <w:r>
        <w:rPr>
          <w:spacing w:val="-3"/>
        </w:rPr>
        <w:t>股由公司经营团队持有，</w:t>
      </w:r>
      <w:r>
        <w:rPr>
          <w:spacing w:val="-64"/>
        </w:rPr>
        <w:t> </w:t>
      </w:r>
      <w:r>
        <w:rPr>
          <w:spacing w:val="-64"/>
        </w:rPr>
      </w:r>
      <w:r>
        <w:rPr/>
        <w:t>占本公司股本总额的</w:t>
      </w:r>
      <w:r>
        <w:rPr>
          <w:rFonts w:ascii="Times New Roman" w:hAnsi="Times New Roman" w:cs="Times New Roman" w:eastAsia="Times New Roman" w:hint="default"/>
        </w:rPr>
        <w:t>7.00%</w:t>
      </w:r>
      <w:r>
        <w:rPr/>
        <w:t>。</w:t>
      </w:r>
    </w:p>
    <w:p>
      <w:pPr>
        <w:pStyle w:val="BodyText"/>
        <w:spacing w:line="300" w:lineRule="auto" w:before="13"/>
        <w:ind w:left="579" w:right="195"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月及</w:t>
      </w:r>
      <w:r>
        <w:rPr>
          <w:rFonts w:ascii="Times New Roman" w:hAnsi="Times New Roman" w:cs="Times New Roman" w:eastAsia="Times New Roman" w:hint="default"/>
        </w:rPr>
        <w:t>6</w:t>
      </w:r>
      <w:r>
        <w:rPr/>
        <w:t>月，本公司经营团队分两次将所持股份分别转让给高新创投和西藏弘志投资顾问合伙企业（有限合 伙）（以下简称</w:t>
      </w:r>
      <w:r>
        <w:rPr>
          <w:rFonts w:ascii="Times New Roman" w:hAnsi="Times New Roman" w:cs="Times New Roman" w:eastAsia="Times New Roman" w:hint="default"/>
        </w:rPr>
        <w:t>“</w:t>
      </w:r>
      <w:r>
        <w:rPr/>
        <w:t>西藏弘志</w:t>
      </w:r>
      <w:r>
        <w:rPr>
          <w:rFonts w:ascii="Times New Roman" w:hAnsi="Times New Roman" w:cs="Times New Roman" w:eastAsia="Times New Roman" w:hint="default"/>
        </w:rPr>
        <w:t>”)</w:t>
      </w:r>
      <w:r>
        <w:rPr/>
        <w:t>。</w:t>
      </w:r>
    </w:p>
    <w:p>
      <w:pPr>
        <w:pStyle w:val="BodyText"/>
        <w:spacing w:line="300" w:lineRule="auto" w:before="13"/>
        <w:ind w:left="580" w:right="192"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日，经中国证券监督管理委员会证监许可</w:t>
      </w:r>
      <w:r>
        <w:rPr>
          <w:rFonts w:ascii="Times New Roman" w:hAnsi="Times New Roman" w:cs="Times New Roman" w:eastAsia="Times New Roman" w:hint="default"/>
          <w:spacing w:val="-2"/>
        </w:rPr>
        <w:t>[2015]29</w:t>
      </w:r>
      <w:r>
        <w:rPr>
          <w:spacing w:val="-2"/>
        </w:rPr>
        <w:t>号文批准，本公司向社会公众公开发行境内上市内资</w:t>
      </w:r>
      <w:r>
        <w:rPr/>
        <w:t> 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股票并上市交易，股票代码为</w:t>
      </w:r>
      <w:r>
        <w:rPr>
          <w:rFonts w:ascii="Times New Roman" w:hAnsi="Times New Roman" w:cs="Times New Roman" w:eastAsia="Times New Roman" w:hint="default"/>
        </w:rPr>
        <w:t>300413</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日在深圳证券交易所创业板上市。</w:t>
      </w:r>
    </w:p>
    <w:p>
      <w:pPr>
        <w:spacing w:line="240" w:lineRule="auto" w:before="0"/>
        <w:rPr>
          <w:rFonts w:ascii="宋体" w:hAnsi="宋体" w:cs="宋体" w:eastAsia="宋体" w:hint="default"/>
          <w:sz w:val="24"/>
          <w:szCs w:val="24"/>
        </w:rPr>
      </w:pPr>
    </w:p>
    <w:p>
      <w:pPr>
        <w:pStyle w:val="Heading4"/>
        <w:spacing w:line="240" w:lineRule="auto" w:before="0"/>
        <w:ind w:left="153" w:right="5193"/>
        <w:jc w:val="left"/>
        <w:rPr>
          <w:b w:val="0"/>
          <w:bCs w:val="0"/>
        </w:rPr>
      </w:pPr>
      <w:bookmarkStart w:name="四、财务报表的编制基础" w:id="71"/>
      <w:bookmarkEnd w:id="71"/>
      <w:r>
        <w:rPr>
          <w:b w:val="0"/>
          <w:bCs w:val="0"/>
        </w:rPr>
      </w:r>
      <w:r>
        <w:rPr/>
        <w:t>四、财务报表的编制基础</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53" w:right="5193"/>
        <w:jc w:val="left"/>
        <w:rPr>
          <w:b w:val="0"/>
          <w:bCs w:val="0"/>
        </w:rPr>
      </w:pPr>
      <w:bookmarkStart w:name="1、编制基础" w:id="72"/>
      <w:bookmarkEnd w:id="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798" w:right="92" w:firstLine="75"/>
        <w:jc w:val="left"/>
      </w:pPr>
      <w:r>
        <w:rPr/>
      </w:r>
      <w:r>
        <w:rPr>
          <w:u w:val="single" w:color="000000"/>
        </w:rPr>
        <w:t>编制基础</w:t>
      </w:r>
      <w:r>
        <w:rPr/>
      </w:r>
      <w:r>
        <w:rPr/>
        <w:t> </w:t>
      </w:r>
      <w:r>
        <w:rPr>
          <w:spacing w:val="-1"/>
        </w:rPr>
        <w:t>本集团执行财政部颁布的企业会计准则（包括于</w:t>
      </w:r>
      <w:r>
        <w:rPr>
          <w:rFonts w:ascii="Times New Roman" w:hAnsi="Times New Roman" w:cs="Times New Roman" w:eastAsia="Times New Roman" w:hint="default"/>
          <w:spacing w:val="-1"/>
        </w:rPr>
        <w:t>2014</w:t>
      </w:r>
      <w:r>
        <w:rPr>
          <w:spacing w:val="-1"/>
        </w:rPr>
        <w:t>年颁布的新的和修订的企业会计准则）及相关规定。此外，本</w:t>
      </w:r>
    </w:p>
    <w:p>
      <w:pPr>
        <w:pStyle w:val="BodyText"/>
        <w:spacing w:line="309" w:lineRule="auto"/>
        <w:ind w:left="798" w:right="92" w:hanging="361"/>
        <w:jc w:val="left"/>
      </w:pPr>
      <w:r>
        <w:rPr/>
        <w:t>集团还按照《公开发行证券的公司信息披露编报规则第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披露有关财务信息。 </w:t>
      </w:r>
      <w:r>
        <w:rPr>
          <w:u w:val="single" w:color="000000"/>
        </w:rPr>
        <w:t>记账基础和计价原则</w:t>
      </w:r>
      <w:r>
        <w:rPr/>
      </w:r>
      <w:r>
        <w:rPr/>
        <w:t> </w:t>
      </w:r>
      <w:r>
        <w:rPr>
          <w:spacing w:val="-1"/>
        </w:rPr>
        <w:t>本集团会计核算以权责发生制为记账基础。除某些金融工具以公允价值计量外，本财务报表以历史成本作为计量基</w:t>
      </w:r>
    </w:p>
    <w:p>
      <w:pPr>
        <w:pStyle w:val="BodyText"/>
        <w:spacing w:line="316" w:lineRule="auto" w:before="24"/>
        <w:ind w:left="763" w:right="203" w:hanging="326"/>
        <w:jc w:val="left"/>
      </w:pPr>
      <w:r>
        <w:rPr/>
        <w:t>础。资产如果发生减值，则按照相关规定计提相应的减值准备。 在历史成本计量下，资产按照购置时支付的现金或者现金等价物的金额或者所付出的对价的公允价值计量。负债按</w:t>
      </w:r>
    </w:p>
    <w:p>
      <w:pPr>
        <w:pStyle w:val="BodyText"/>
        <w:spacing w:line="316" w:lineRule="auto" w:before="19"/>
        <w:ind w:left="784" w:right="182" w:hanging="346"/>
        <w:jc w:val="left"/>
      </w:pPr>
      <w:r>
        <w:rPr/>
        <w:t>照因承担现时义务而实际收到的款项或者资产的金额，或者承担现时义务的合同金额，或者 按照日常活动中为偿还负债预期需要支付的现金或者现金等价物的金额计量。 公允价值是市场参与者在计量日发生的有序交易中，出售一项资产所能收到或者转移一项负债所需支付的价格。无</w:t>
      </w:r>
    </w:p>
    <w:p>
      <w:pPr>
        <w:pStyle w:val="BodyText"/>
        <w:spacing w:line="316" w:lineRule="auto" w:before="19"/>
        <w:ind w:left="863" w:right="363" w:hanging="440"/>
        <w:jc w:val="left"/>
      </w:pPr>
      <w:r>
        <w:rPr/>
        <w:t>论公允价值是可观察到的还是采用估值技术估计的，在本财务报表中计量或披露的公允价值均在此基础上予以确定。 公允价值计量基于公允价值的输入值的可观察程度以及该等输入值对公允价值计量整体的重要性，被划 分为三个层次：</w:t>
      </w:r>
    </w:p>
    <w:p>
      <w:pPr>
        <w:pStyle w:val="BodyText"/>
        <w:spacing w:line="240" w:lineRule="auto" w:before="19"/>
        <w:ind w:left="868" w:right="9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第一层次输入值是在计量日能够取得的相同资产或负债在活跃市场上未经调整的报价。</w:t>
      </w:r>
    </w:p>
    <w:p>
      <w:pPr>
        <w:spacing w:after="0" w:line="240" w:lineRule="auto"/>
        <w:jc w:val="left"/>
        <w:sectPr>
          <w:pgSz w:w="11910" w:h="16840"/>
          <w:pgMar w:header="851" w:footer="979" w:top="1320" w:bottom="1160" w:left="980" w:right="940"/>
        </w:sectPr>
      </w:pPr>
    </w:p>
    <w:p>
      <w:pPr>
        <w:pStyle w:val="BodyText"/>
        <w:spacing w:line="240" w:lineRule="auto" w:before="114"/>
        <w:ind w:left="868"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第二层次输入值是除第一层次输入值外相关资产或负债直接或间接可观察的输入值。</w:t>
      </w:r>
    </w:p>
    <w:p>
      <w:pPr>
        <w:pStyle w:val="BodyText"/>
        <w:spacing w:line="240" w:lineRule="auto" w:before="63"/>
        <w:ind w:left="868"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第三层次输入值是相关资产或负债的不可观察输入值。</w:t>
      </w:r>
    </w:p>
    <w:p>
      <w:pPr>
        <w:spacing w:line="240" w:lineRule="auto" w:before="0"/>
        <w:rPr>
          <w:rFonts w:ascii="宋体" w:hAnsi="宋体" w:cs="宋体" w:eastAsia="宋体" w:hint="default"/>
          <w:sz w:val="18"/>
          <w:szCs w:val="18"/>
        </w:rPr>
      </w:pPr>
    </w:p>
    <w:p>
      <w:pPr>
        <w:pStyle w:val="Heading4"/>
        <w:spacing w:line="240" w:lineRule="auto" w:before="128"/>
        <w:ind w:right="0"/>
        <w:jc w:val="left"/>
        <w:rPr>
          <w:b w:val="0"/>
          <w:bCs w:val="0"/>
        </w:rPr>
      </w:pPr>
      <w:bookmarkStart w:name="2、持续经营" w:id="73"/>
      <w:bookmarkEnd w:id="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18"/>
          <w:szCs w:val="18"/>
        </w:rPr>
      </w:pPr>
    </w:p>
    <w:p>
      <w:pPr>
        <w:spacing w:line="590" w:lineRule="auto" w:before="127"/>
        <w:ind w:left="153" w:right="1275" w:firstLine="578"/>
        <w:jc w:val="left"/>
        <w:rPr>
          <w:rFonts w:ascii="宋体" w:hAnsi="宋体" w:cs="宋体" w:eastAsia="宋体" w:hint="default"/>
          <w:sz w:val="18"/>
          <w:szCs w:val="18"/>
        </w:rPr>
      </w:pPr>
      <w:r>
        <w:rPr>
          <w:rFonts w:ascii="宋体" w:hAnsi="宋体" w:cs="宋体" w:eastAsia="宋体" w:hint="default"/>
          <w:sz w:val="18"/>
          <w:szCs w:val="18"/>
        </w:rPr>
        <w:t>本公司对自报告期末起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个月的持续经营能力进行了评估，未发现影响本公司持续经营能力的事项。 </w:t>
      </w:r>
      <w:bookmarkStart w:name="五、重要会计政策及会计估计" w:id="74"/>
      <w:bookmarkEnd w:id="74"/>
      <w:r>
        <w:rPr>
          <w:rFonts w:ascii="宋体" w:hAnsi="宋体" w:cs="宋体" w:eastAsia="宋体" w:hint="default"/>
          <w:sz w:val="18"/>
          <w:szCs w:val="18"/>
        </w:rPr>
      </w:r>
      <w:r>
        <w:rPr>
          <w:rFonts w:ascii="宋体" w:hAnsi="宋体" w:cs="宋体" w:eastAsia="宋体" w:hint="default"/>
          <w:b/>
          <w:bCs/>
          <w:sz w:val="18"/>
          <w:szCs w:val="18"/>
        </w:rPr>
        <w:t>五、重要会计政策及会计估计</w:t>
      </w:r>
      <w:r>
        <w:rPr>
          <w:rFonts w:ascii="宋体" w:hAnsi="宋体" w:cs="宋体" w:eastAsia="宋体" w:hint="default"/>
          <w:sz w:val="18"/>
          <w:szCs w:val="18"/>
        </w:rPr>
      </w:r>
    </w:p>
    <w:p>
      <w:pPr>
        <w:pStyle w:val="BodyText"/>
        <w:spacing w:line="357" w:lineRule="auto" w:before="115"/>
        <w:ind w:left="513" w:right="413"/>
        <w:jc w:val="left"/>
      </w:pPr>
      <w:r>
        <w:rPr/>
        <w:t>具体会计政策和会计估计提示： 本公司下列重要会计政策、会计估计根据企业会计准则制定。未提及的业务按企业会计准则中相关会计政策执行。</w:t>
      </w:r>
    </w:p>
    <w:p>
      <w:pPr>
        <w:spacing w:line="240" w:lineRule="auto" w:before="2"/>
        <w:rPr>
          <w:rFonts w:ascii="宋体" w:hAnsi="宋体" w:cs="宋体" w:eastAsia="宋体" w:hint="default"/>
          <w:sz w:val="22"/>
          <w:szCs w:val="22"/>
        </w:rPr>
      </w:pPr>
    </w:p>
    <w:p>
      <w:pPr>
        <w:pStyle w:val="Heading4"/>
        <w:spacing w:line="240" w:lineRule="auto" w:before="0"/>
        <w:ind w:left="153" w:right="0"/>
        <w:jc w:val="left"/>
        <w:rPr>
          <w:b w:val="0"/>
          <w:bCs w:val="0"/>
        </w:rPr>
      </w:pPr>
      <w:bookmarkStart w:name="1、遵循企业会计准则的声明" w:id="75"/>
      <w:bookmarkEnd w:id="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8"/>
        <w:ind w:left="513" w:right="0"/>
        <w:jc w:val="left"/>
      </w:pPr>
      <w:r>
        <w:rPr>
          <w:spacing w:val="-2"/>
        </w:rPr>
        <w:t>本公司编制的财务报表符合企业会计准则的要求，真实、完整地反映了本公司于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日的公司及合并财务状况</w:t>
      </w:r>
      <w:r>
        <w:rPr>
          <w:spacing w:val="-60"/>
        </w:rPr>
        <w:t> </w:t>
      </w:r>
      <w:r>
        <w:rPr/>
        <w:t>以及</w:t>
      </w:r>
      <w:r>
        <w:rPr>
          <w:rFonts w:ascii="Times New Roman" w:hAnsi="Times New Roman" w:cs="Times New Roman" w:eastAsia="Times New Roman" w:hint="default"/>
        </w:rPr>
        <w:t>2014</w:t>
      </w:r>
      <w:r>
        <w:rPr/>
        <w:t>年度的公司及合并经营成果和公司及合并现金流量</w:t>
      </w:r>
    </w:p>
    <w:p>
      <w:pPr>
        <w:spacing w:line="240" w:lineRule="auto" w:before="0"/>
        <w:rPr>
          <w:rFonts w:ascii="宋体" w:hAnsi="宋体" w:cs="宋体" w:eastAsia="宋体" w:hint="default"/>
          <w:sz w:val="24"/>
          <w:szCs w:val="24"/>
        </w:rPr>
      </w:pPr>
    </w:p>
    <w:p>
      <w:pPr>
        <w:pStyle w:val="Heading4"/>
        <w:spacing w:line="240" w:lineRule="auto" w:before="0"/>
        <w:ind w:right="0"/>
        <w:jc w:val="left"/>
        <w:rPr>
          <w:b w:val="0"/>
          <w:bCs w:val="0"/>
        </w:rPr>
      </w:pPr>
      <w:bookmarkStart w:name="2、会计期间" w:id="76"/>
      <w:bookmarkEnd w:id="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514" w:right="0"/>
        <w:jc w:val="left"/>
      </w:pPr>
      <w:r>
        <w:rPr/>
        <w:t>本集团的会计年度为公历年度，即每年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pStyle w:val="Heading4"/>
        <w:spacing w:line="240" w:lineRule="auto" w:before="128"/>
        <w:ind w:left="153" w:right="0"/>
        <w:jc w:val="left"/>
        <w:rPr>
          <w:b w:val="0"/>
          <w:bCs w:val="0"/>
        </w:rPr>
      </w:pPr>
      <w:bookmarkStart w:name="3、营业周期" w:id="77"/>
      <w:bookmarkEnd w:id="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513" w:right="145" w:firstLine="20"/>
        <w:jc w:val="left"/>
      </w:pPr>
      <w:r>
        <w:rPr/>
        <w:t>正常营业周期是指本公司从购买用于加工的资产起至实现现金或现金等价物的期间。</w:t>
      </w:r>
      <w:r>
        <w:rPr>
          <w:spacing w:val="-22"/>
        </w:rPr>
        <w:t> </w:t>
      </w:r>
      <w:r>
        <w:rPr/>
        <w:t>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5"/>
          <w:szCs w:val="25"/>
        </w:rPr>
      </w:pPr>
    </w:p>
    <w:p>
      <w:pPr>
        <w:pStyle w:val="Heading4"/>
        <w:spacing w:line="240" w:lineRule="auto" w:before="0"/>
        <w:ind w:right="0"/>
        <w:jc w:val="left"/>
        <w:rPr>
          <w:b w:val="0"/>
          <w:bCs w:val="0"/>
        </w:rPr>
      </w:pPr>
      <w:bookmarkStart w:name="4、记账本位币" w:id="78"/>
      <w:bookmarkEnd w:id="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514" w:right="0"/>
        <w:jc w:val="left"/>
      </w:pPr>
      <w:r>
        <w:rPr>
          <w:spacing w:val="-2"/>
        </w:rPr>
        <w:t>人民币为本集团经营所处的主要经济环境中的货币，本集团以人民币为记账本位币。本集团编制本财务报表时所采用的</w:t>
      </w:r>
      <w:r>
        <w:rPr>
          <w:spacing w:val="-68"/>
        </w:rPr>
        <w:t> </w:t>
      </w:r>
      <w:r>
        <w:rPr>
          <w:spacing w:val="-68"/>
        </w:rPr>
      </w:r>
      <w:r>
        <w:rPr/>
        <w:t>货币为人民币。</w:t>
      </w:r>
    </w:p>
    <w:p>
      <w:pPr>
        <w:spacing w:line="240" w:lineRule="auto" w:before="6"/>
        <w:rPr>
          <w:rFonts w:ascii="宋体" w:hAnsi="宋体" w:cs="宋体" w:eastAsia="宋体" w:hint="default"/>
          <w:sz w:val="21"/>
          <w:szCs w:val="21"/>
        </w:rPr>
      </w:pPr>
    </w:p>
    <w:p>
      <w:pPr>
        <w:spacing w:line="600" w:lineRule="atLeast" w:before="0"/>
        <w:ind w:left="514" w:right="4433" w:hanging="360"/>
        <w:jc w:val="left"/>
        <w:rPr>
          <w:rFonts w:ascii="宋体" w:hAnsi="宋体" w:cs="宋体" w:eastAsia="宋体" w:hint="default"/>
          <w:sz w:val="18"/>
          <w:szCs w:val="18"/>
        </w:rPr>
      </w:pPr>
      <w:bookmarkStart w:name="5、同一控制下和非同一控制下企业合并的会计处理方法" w:id="79"/>
      <w:bookmarkEnd w:id="79"/>
      <w:r>
        <w:rPr/>
      </w:r>
      <w:r>
        <w:rPr>
          <w:rFonts w:ascii="Times New Roman" w:hAnsi="Times New Roman" w:cs="Times New Roman" w:eastAsia="Times New Roman" w:hint="default"/>
          <w:b/>
          <w:bCs/>
          <w:w w:val="95"/>
          <w:sz w:val="18"/>
          <w:szCs w:val="18"/>
        </w:rPr>
        <w:t>5</w:t>
      </w:r>
      <w:r>
        <w:rPr>
          <w:rFonts w:ascii="宋体" w:hAnsi="宋体" w:cs="宋体" w:eastAsia="宋体" w:hint="default"/>
          <w:b/>
          <w:bCs/>
          <w:w w:val="95"/>
          <w:sz w:val="18"/>
          <w:szCs w:val="18"/>
        </w:rPr>
        <w:t>、同一控制下和非同一控制下企业合并的会计处理方法</w:t>
      </w:r>
      <w:r>
        <w:rPr>
          <w:rFonts w:ascii="宋体" w:hAnsi="宋体" w:cs="宋体" w:eastAsia="宋体" w:hint="default"/>
          <w:b/>
          <w:bCs/>
          <w:spacing w:val="44"/>
          <w:w w:val="95"/>
          <w:sz w:val="18"/>
          <w:szCs w:val="18"/>
        </w:rPr>
        <w:t> </w:t>
      </w:r>
      <w:r>
        <w:rPr>
          <w:rFonts w:ascii="宋体" w:hAnsi="宋体" w:cs="宋体" w:eastAsia="宋体" w:hint="default"/>
          <w:b/>
          <w:bCs/>
          <w:spacing w:val="44"/>
          <w:w w:val="95"/>
          <w:sz w:val="18"/>
          <w:szCs w:val="18"/>
        </w:rPr>
      </w:r>
      <w:r>
        <w:rPr>
          <w:rFonts w:ascii="宋体" w:hAnsi="宋体" w:cs="宋体" w:eastAsia="宋体" w:hint="default"/>
          <w:spacing w:val="44"/>
          <w:w w:val="95"/>
          <w:sz w:val="18"/>
          <w:szCs w:val="18"/>
        </w:rPr>
      </w:r>
      <w:r>
        <w:rPr>
          <w:rFonts w:ascii="宋体" w:hAnsi="宋体" w:cs="宋体" w:eastAsia="宋体" w:hint="default"/>
          <w:sz w:val="18"/>
          <w:szCs w:val="18"/>
          <w:u w:val="single" w:color="000000"/>
        </w:rPr>
        <w:t>非同一控制下的企业合并及商誉</w:t>
      </w:r>
      <w:r>
        <w:rPr>
          <w:rFonts w:ascii="宋体" w:hAnsi="宋体" w:cs="宋体" w:eastAsia="宋体" w:hint="default"/>
          <w:sz w:val="18"/>
          <w:szCs w:val="18"/>
        </w:rPr>
      </w:r>
    </w:p>
    <w:p>
      <w:pPr>
        <w:pStyle w:val="BodyText"/>
        <w:spacing w:line="316" w:lineRule="auto" w:before="76"/>
        <w:ind w:left="513" w:right="0"/>
        <w:jc w:val="left"/>
      </w:pPr>
      <w:r>
        <w:rPr/>
        <w:t>参与合并的企业在合并前后不受同一方或相同的多方最终控制，为非同一控制下的企业合并。 </w:t>
      </w:r>
      <w:r>
        <w:rPr>
          <w:spacing w:val="-2"/>
        </w:rPr>
        <w:t>合并成本指购买方为取得被购买方的控制权而付出的资产、发生或承担的负债和发行的权益性工具的公允价值。购买方</w:t>
      </w:r>
      <w:r>
        <w:rPr>
          <w:spacing w:val="-68"/>
        </w:rPr>
        <w:t> </w:t>
      </w:r>
      <w:r>
        <w:rPr>
          <w:spacing w:val="-68"/>
        </w:rPr>
      </w:r>
      <w:r>
        <w:rPr>
          <w:spacing w:val="-2"/>
        </w:rPr>
        <w:t>为企业合并发生的审计、法律服务、评估咨询等中介费用以及其他直接相关的管理费用，于发生时计入当期损益。通过</w:t>
      </w:r>
      <w:r>
        <w:rPr>
          <w:spacing w:val="-70"/>
        </w:rPr>
        <w:t> </w:t>
      </w:r>
      <w:r>
        <w:rPr>
          <w:spacing w:val="-70"/>
        </w:rPr>
      </w:r>
      <w:r>
        <w:rPr>
          <w:spacing w:val="-2"/>
        </w:rPr>
        <w:t>多次交易分步实现非同一控制下的企业合并的，合并成本为购买日支付的对价与购买日之前已经持有的被购买方的股权</w:t>
      </w:r>
      <w:r>
        <w:rPr>
          <w:spacing w:val="-68"/>
        </w:rPr>
        <w:t> </w:t>
      </w:r>
      <w:r>
        <w:rPr>
          <w:spacing w:val="-68"/>
        </w:rPr>
      </w:r>
      <w:r>
        <w:rPr>
          <w:spacing w:val="-2"/>
        </w:rPr>
        <w:t>在购买日的公允价值之和。对于购买日之前已经持有的被购买方的股权，按照购买日的公允价值进行重新计量，公允价</w:t>
      </w:r>
      <w:r>
        <w:rPr>
          <w:spacing w:val="-70"/>
        </w:rPr>
        <w:t> </w:t>
      </w:r>
      <w:r>
        <w:rPr>
          <w:spacing w:val="-70"/>
        </w:rPr>
      </w:r>
      <w:r>
        <w:rPr>
          <w:spacing w:val="-2"/>
        </w:rPr>
        <w:t>值与其账面价值之间的差额计入当期投资收益；购买日之前已经持有的被购买方的股权涉及其他综合收益的，与其相关</w:t>
      </w:r>
      <w:r>
        <w:rPr>
          <w:spacing w:val="-67"/>
        </w:rPr>
        <w:t> </w:t>
      </w:r>
      <w:r>
        <w:rPr>
          <w:spacing w:val="-67"/>
        </w:rPr>
      </w:r>
      <w:r>
        <w:rPr/>
        <w:t>的其他综合收益转为购买日当期投资收益。</w:t>
      </w:r>
    </w:p>
    <w:p>
      <w:pPr>
        <w:spacing w:line="240" w:lineRule="auto" w:before="4"/>
        <w:rPr>
          <w:rFonts w:ascii="宋体" w:hAnsi="宋体" w:cs="宋体" w:eastAsia="宋体" w:hint="default"/>
          <w:sz w:val="25"/>
          <w:szCs w:val="25"/>
        </w:rPr>
      </w:pPr>
    </w:p>
    <w:p>
      <w:pPr>
        <w:pStyle w:val="BodyText"/>
        <w:spacing w:line="316" w:lineRule="auto"/>
        <w:ind w:left="513" w:right="0"/>
        <w:jc w:val="left"/>
      </w:pPr>
      <w:r>
        <w:rPr>
          <w:spacing w:val="-2"/>
        </w:rPr>
        <w:t>购买方在合并中所取得的被购买方符合确认条件的可辨认资产、负债及或有负债在购买日以公允价值计量。合并成本大</w:t>
      </w:r>
      <w:r>
        <w:rPr>
          <w:spacing w:val="-68"/>
        </w:rPr>
        <w:t> </w:t>
      </w:r>
      <w:r>
        <w:rPr>
          <w:spacing w:val="-68"/>
        </w:rPr>
      </w:r>
      <w:r>
        <w:rPr>
          <w:spacing w:val="-2"/>
        </w:rPr>
        <w:t>于合并中取得的被购买方可辨认净资产公允价值份额的差额，作为一项资产确认为商誉并按成本进行初始计量。合并成</w:t>
      </w:r>
    </w:p>
    <w:p>
      <w:pPr>
        <w:spacing w:after="0" w:line="316" w:lineRule="auto"/>
        <w:jc w:val="left"/>
        <w:sectPr>
          <w:pgSz w:w="11910" w:h="16840"/>
          <w:pgMar w:header="851" w:footer="979" w:top="1320" w:bottom="1160" w:left="980" w:right="980"/>
        </w:sectPr>
      </w:pPr>
    </w:p>
    <w:p>
      <w:pPr>
        <w:pStyle w:val="BodyText"/>
        <w:spacing w:line="316" w:lineRule="auto" w:before="114"/>
        <w:ind w:left="694" w:right="151"/>
        <w:jc w:val="both"/>
      </w:pPr>
      <w:r>
        <w:rPr>
          <w:spacing w:val="-2"/>
        </w:rPr>
        <w:t>本小于合并中取得的被购买方可辨认净资产公允价值份额的，首先对取得的被购买方各项可辨认资产、负债及或有负</w:t>
      </w:r>
      <w:r>
        <w:rPr>
          <w:spacing w:val="-70"/>
        </w:rPr>
        <w:t> </w:t>
      </w:r>
      <w:r>
        <w:rPr>
          <w:spacing w:val="-70"/>
        </w:rPr>
      </w:r>
      <w:r>
        <w:rPr>
          <w:spacing w:val="-2"/>
        </w:rPr>
        <w:t>债的公允价值以及合并成本的计量进行复核，复核后合并成本仍小于合并中取得的被购买方可辨认净资产公允价值份</w:t>
      </w:r>
      <w:r>
        <w:rPr>
          <w:spacing w:val="-70"/>
        </w:rPr>
        <w:t> </w:t>
      </w:r>
      <w:r>
        <w:rPr>
          <w:spacing w:val="-70"/>
        </w:rPr>
      </w:r>
      <w:r>
        <w:rPr/>
        <w:t>额的，计入当期损益。</w:t>
      </w:r>
    </w:p>
    <w:p>
      <w:pPr>
        <w:spacing w:line="240" w:lineRule="auto" w:before="4"/>
        <w:rPr>
          <w:rFonts w:ascii="宋体" w:hAnsi="宋体" w:cs="宋体" w:eastAsia="宋体" w:hint="default"/>
          <w:sz w:val="25"/>
          <w:szCs w:val="25"/>
        </w:rPr>
      </w:pPr>
    </w:p>
    <w:p>
      <w:pPr>
        <w:pStyle w:val="BodyText"/>
        <w:spacing w:line="316" w:lineRule="auto"/>
        <w:ind w:left="694" w:right="151"/>
        <w:jc w:val="both"/>
      </w:pPr>
      <w:r>
        <w:rPr>
          <w:spacing w:val="-2"/>
        </w:rPr>
        <w:t>因企业合并形成的商誉在合并财务报表中单独列报，并按照成本扣除累计减值准备后的金额计量。商誉至少在每年年</w:t>
      </w:r>
      <w:r>
        <w:rPr>
          <w:spacing w:val="-70"/>
        </w:rPr>
        <w:t> </w:t>
      </w:r>
      <w:r>
        <w:rPr>
          <w:spacing w:val="-70"/>
        </w:rPr>
      </w:r>
      <w:r>
        <w:rPr/>
        <w:t>度终了进行减值测试。</w:t>
      </w:r>
    </w:p>
    <w:p>
      <w:pPr>
        <w:spacing w:line="240" w:lineRule="auto" w:before="4"/>
        <w:rPr>
          <w:rFonts w:ascii="宋体" w:hAnsi="宋体" w:cs="宋体" w:eastAsia="宋体" w:hint="default"/>
          <w:sz w:val="25"/>
          <w:szCs w:val="25"/>
        </w:rPr>
      </w:pPr>
    </w:p>
    <w:p>
      <w:pPr>
        <w:pStyle w:val="BodyText"/>
        <w:spacing w:line="316" w:lineRule="auto"/>
        <w:ind w:left="694" w:right="150"/>
        <w:jc w:val="both"/>
      </w:pPr>
      <w:r>
        <w:rPr>
          <w:spacing w:val="-2"/>
        </w:rPr>
        <w:t>对商誉进行减值测试时，结合与其相关的资产组或者资产组组合进行。即，自购买日起将商誉的账面价值按照合理的</w:t>
      </w:r>
      <w:r>
        <w:rPr>
          <w:spacing w:val="-72"/>
        </w:rPr>
        <w:t> </w:t>
      </w:r>
      <w:r>
        <w:rPr>
          <w:spacing w:val="-72"/>
        </w:rPr>
      </w:r>
      <w:r>
        <w:rPr>
          <w:spacing w:val="-2"/>
        </w:rPr>
        <w:t>方法分摊到能够从企业合并的协同效应中受益的资产组或资产组组合，如包含分摊的商誉的资产组或资产组组合的可</w:t>
      </w:r>
      <w:r>
        <w:rPr>
          <w:spacing w:val="-70"/>
        </w:rPr>
        <w:t> </w:t>
      </w:r>
      <w:r>
        <w:rPr>
          <w:spacing w:val="-70"/>
        </w:rPr>
      </w:r>
      <w:r>
        <w:rPr>
          <w:spacing w:val="-2"/>
        </w:rPr>
        <w:t>收回金额低于其账面价值的，确认相应的减值损失。减值损失金额首先抵减分摊到该资产组或资产组组合的商誉的账</w:t>
      </w:r>
      <w:r>
        <w:rPr>
          <w:spacing w:val="-70"/>
        </w:rPr>
        <w:t> </w:t>
      </w:r>
      <w:r>
        <w:rPr>
          <w:spacing w:val="-70"/>
        </w:rPr>
      </w:r>
      <w:r>
        <w:rPr>
          <w:spacing w:val="-2"/>
        </w:rPr>
        <w:t>面价值，再根据资产组或资产组组合中除商誉以外的其他各项资产的账面价值所占比重，按比例抵减其他各项资产的</w:t>
      </w:r>
      <w:r>
        <w:rPr>
          <w:spacing w:val="-70"/>
        </w:rPr>
        <w:t> </w:t>
      </w:r>
      <w:r>
        <w:rPr>
          <w:spacing w:val="-70"/>
        </w:rPr>
      </w:r>
      <w:r>
        <w:rPr/>
        <w:t>账面价值。</w:t>
      </w:r>
    </w:p>
    <w:p>
      <w:pPr>
        <w:spacing w:line="240" w:lineRule="auto" w:before="4"/>
        <w:rPr>
          <w:rFonts w:ascii="宋体" w:hAnsi="宋体" w:cs="宋体" w:eastAsia="宋体" w:hint="default"/>
          <w:sz w:val="25"/>
          <w:szCs w:val="25"/>
        </w:rPr>
      </w:pPr>
    </w:p>
    <w:p>
      <w:pPr>
        <w:pStyle w:val="BodyText"/>
        <w:spacing w:line="316" w:lineRule="auto"/>
        <w:ind w:left="694" w:right="151"/>
        <w:jc w:val="both"/>
      </w:pPr>
      <w:r>
        <w:rPr/>
        <w:t>可收回金额为资产的公允价值减去处置费用后的净额与资产预计未来现金流量的现值两者之中的较高</w:t>
      </w:r>
      <w:r>
        <w:rPr>
          <w:spacing w:val="-18"/>
        </w:rPr>
        <w:t> </w:t>
      </w:r>
      <w:r>
        <w:rPr/>
        <w:t>者。资产的公</w:t>
      </w:r>
      <w:r>
        <w:rPr/>
        <w:t> </w:t>
      </w:r>
      <w:r>
        <w:rPr>
          <w:spacing w:val="-2"/>
        </w:rPr>
        <w:t>允价值根据公平交易中销售协议价格确定；不存在销售协议但存在资产活跃市场的，公允价值按照该资产的买方出价</w:t>
      </w:r>
      <w:r>
        <w:rPr>
          <w:spacing w:val="-70"/>
        </w:rPr>
        <w:t> </w:t>
      </w:r>
      <w:r>
        <w:rPr>
          <w:spacing w:val="-70"/>
        </w:rPr>
      </w:r>
      <w:r>
        <w:rPr>
          <w:spacing w:val="-2"/>
        </w:rPr>
        <w:t>确定；不存在销售协议和资产活跃市场的，则以可获取的最佳信息为基础估计资产的公允价值。处置费用包括与资产</w:t>
      </w:r>
      <w:r>
        <w:rPr>
          <w:spacing w:val="-72"/>
        </w:rPr>
        <w:t> </w:t>
      </w:r>
      <w:r>
        <w:rPr>
          <w:spacing w:val="-72"/>
        </w:rPr>
      </w:r>
      <w:r>
        <w:rPr>
          <w:spacing w:val="-2"/>
        </w:rPr>
        <w:t>处置有关的法律费用、相关税费、搬运费以及为使资产达到可销售状态所发生的直接费用。资产预计未来现金流量的</w:t>
      </w:r>
      <w:r>
        <w:rPr>
          <w:spacing w:val="-72"/>
        </w:rPr>
        <w:t> </w:t>
      </w:r>
      <w:r>
        <w:rPr>
          <w:spacing w:val="-72"/>
        </w:rPr>
      </w:r>
      <w:r>
        <w:rPr>
          <w:spacing w:val="-2"/>
        </w:rPr>
        <w:t>现值，按照资产在持续使用过程中和最终处置时所产生的预计未来现金流量，选择恰当的折现率对其进行折现后的金</w:t>
      </w:r>
      <w:r>
        <w:rPr>
          <w:spacing w:val="-70"/>
        </w:rPr>
        <w:t> </w:t>
      </w:r>
      <w:r>
        <w:rPr>
          <w:spacing w:val="-70"/>
        </w:rPr>
      </w:r>
      <w:r>
        <w:rPr/>
        <w:t>额加以确定。</w:t>
      </w:r>
    </w:p>
    <w:p>
      <w:pPr>
        <w:spacing w:line="240" w:lineRule="auto" w:before="4"/>
        <w:rPr>
          <w:rFonts w:ascii="宋体" w:hAnsi="宋体" w:cs="宋体" w:eastAsia="宋体" w:hint="default"/>
          <w:sz w:val="25"/>
          <w:szCs w:val="25"/>
        </w:rPr>
      </w:pPr>
    </w:p>
    <w:p>
      <w:pPr>
        <w:pStyle w:val="BodyText"/>
        <w:spacing w:line="240" w:lineRule="auto"/>
        <w:ind w:left="694" w:right="0"/>
        <w:jc w:val="both"/>
      </w:pPr>
      <w:r>
        <w:rPr/>
        <w:t>商誉减值损失在发生时计入当期损益，且在以后会计期间不予转回。</w:t>
      </w:r>
    </w:p>
    <w:p>
      <w:pPr>
        <w:spacing w:line="240" w:lineRule="auto" w:before="0"/>
        <w:rPr>
          <w:rFonts w:ascii="宋体" w:hAnsi="宋体" w:cs="宋体" w:eastAsia="宋体" w:hint="default"/>
          <w:sz w:val="18"/>
          <w:szCs w:val="18"/>
        </w:rPr>
      </w:pPr>
    </w:p>
    <w:p>
      <w:pPr>
        <w:pStyle w:val="Heading4"/>
        <w:spacing w:line="240" w:lineRule="auto" w:before="142"/>
        <w:ind w:left="153" w:right="0"/>
        <w:jc w:val="left"/>
        <w:rPr>
          <w:b w:val="0"/>
          <w:bCs w:val="0"/>
        </w:rPr>
      </w:pPr>
      <w:bookmarkStart w:name="6、合并财务报表的编制方法" w:id="80"/>
      <w:bookmarkEnd w:id="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
      <w:r>
        <w:rPr>
          <w:u w:val="single" w:color="000000"/>
        </w:rPr>
        <w:t>合并财务报表的编制方法</w:t>
      </w:r>
      <w:r>
        <w:rPr/>
      </w:r>
    </w:p>
    <w:p>
      <w:pPr>
        <w:spacing w:line="240" w:lineRule="auto" w:before="4"/>
        <w:rPr>
          <w:rFonts w:ascii="宋体" w:hAnsi="宋体" w:cs="宋体" w:eastAsia="宋体" w:hint="default"/>
          <w:sz w:val="26"/>
          <w:szCs w:val="26"/>
        </w:rPr>
      </w:pPr>
    </w:p>
    <w:p>
      <w:pPr>
        <w:pStyle w:val="BodyText"/>
        <w:spacing w:line="316" w:lineRule="auto" w:before="44"/>
        <w:ind w:right="151"/>
        <w:jc w:val="both"/>
      </w:pPr>
      <w:r>
        <w:rPr>
          <w:spacing w:val="-2"/>
        </w:rPr>
        <w:t>合并财务报表的合并范围以控制为基础予以确定。控制是指投资方拥有对被投资方的权力，通过参与被投资方的相</w:t>
      </w:r>
      <w:r>
        <w:rPr>
          <w:spacing w:val="-72"/>
        </w:rPr>
        <w:t> </w:t>
      </w:r>
      <w:r>
        <w:rPr>
          <w:spacing w:val="-72"/>
        </w:rPr>
      </w:r>
      <w:r>
        <w:rPr>
          <w:spacing w:val="-2"/>
        </w:rPr>
        <w:t>关活动而享有可变回报，并且有能力运用对被投资方的权力影响其回报金额。一旦相关事实和情况的变化导致上述</w:t>
      </w:r>
      <w:r>
        <w:rPr>
          <w:spacing w:val="-72"/>
        </w:rPr>
        <w:t> </w:t>
      </w:r>
      <w:r>
        <w:rPr>
          <w:spacing w:val="-72"/>
        </w:rPr>
      </w:r>
      <w:r>
        <w:rPr/>
        <w:t>控制定义涉及的相关要素发生了变化，本集团将进行重新评估。</w:t>
      </w:r>
    </w:p>
    <w:p>
      <w:pPr>
        <w:spacing w:line="240" w:lineRule="auto" w:before="4"/>
        <w:rPr>
          <w:rFonts w:ascii="宋体" w:hAnsi="宋体" w:cs="宋体" w:eastAsia="宋体" w:hint="default"/>
          <w:sz w:val="25"/>
          <w:szCs w:val="25"/>
        </w:rPr>
      </w:pPr>
    </w:p>
    <w:p>
      <w:pPr>
        <w:pStyle w:val="BodyText"/>
        <w:spacing w:line="240" w:lineRule="auto"/>
        <w:ind w:right="0"/>
        <w:jc w:val="both"/>
      </w:pPr>
      <w:r>
        <w:rPr/>
        <w:t>子公司的合并起始于本集团获得对该子公司的控制权时，终止于本集团丧失对该子公司的控制权时。</w:t>
      </w:r>
    </w:p>
    <w:p>
      <w:pPr>
        <w:spacing w:line="240" w:lineRule="auto" w:before="0"/>
        <w:rPr>
          <w:rFonts w:ascii="宋体" w:hAnsi="宋体" w:cs="宋体" w:eastAsia="宋体" w:hint="default"/>
          <w:sz w:val="18"/>
          <w:szCs w:val="18"/>
        </w:rPr>
      </w:pPr>
    </w:p>
    <w:p>
      <w:pPr>
        <w:pStyle w:val="BodyText"/>
        <w:spacing w:line="300" w:lineRule="auto" w:before="153"/>
        <w:ind w:right="152"/>
        <w:jc w:val="both"/>
      </w:pPr>
      <w:r>
        <w:rPr/>
        <w:t>对于本集团处置的子公司，处置日</w:t>
      </w:r>
      <w:r>
        <w:rPr>
          <w:rFonts w:ascii="Times New Roman" w:hAnsi="Times New Roman" w:cs="Times New Roman" w:eastAsia="Times New Roman" w:hint="default"/>
        </w:rPr>
        <w:t>(</w:t>
      </w:r>
      <w:r>
        <w:rPr/>
        <w:t>丧失控制权的日期</w:t>
      </w:r>
      <w:r>
        <w:rPr>
          <w:rFonts w:ascii="Times New Roman" w:hAnsi="Times New Roman" w:cs="Times New Roman" w:eastAsia="Times New Roman" w:hint="default"/>
        </w:rPr>
        <w:t>)</w:t>
      </w:r>
      <w:r>
        <w:rPr/>
        <w:t>前的经营成果和现金流量已经适当地包括在合并 利润表和合并现金流量表中。</w:t>
      </w:r>
    </w:p>
    <w:p>
      <w:pPr>
        <w:spacing w:line="240" w:lineRule="auto" w:before="3"/>
        <w:rPr>
          <w:rFonts w:ascii="宋体" w:hAnsi="宋体" w:cs="宋体" w:eastAsia="宋体" w:hint="default"/>
          <w:sz w:val="26"/>
          <w:szCs w:val="26"/>
        </w:rPr>
      </w:pPr>
    </w:p>
    <w:p>
      <w:pPr>
        <w:pStyle w:val="BodyText"/>
        <w:spacing w:line="316" w:lineRule="auto"/>
        <w:ind w:right="151"/>
        <w:jc w:val="both"/>
      </w:pPr>
      <w:r>
        <w:rPr>
          <w:spacing w:val="-2"/>
        </w:rPr>
        <w:t>对于通过非同一控制下的企业合并取得的子公司，其自购买日（取得控制权的日期）起的经营成果及现金流量已经</w:t>
      </w:r>
      <w:r>
        <w:rPr>
          <w:spacing w:val="-74"/>
        </w:rPr>
        <w:t> </w:t>
      </w:r>
      <w:r>
        <w:rPr>
          <w:spacing w:val="-74"/>
        </w:rPr>
      </w:r>
      <w:r>
        <w:rPr/>
        <w:t>适当地包括在合并利润表和合并现金流量表中。</w:t>
      </w:r>
    </w:p>
    <w:p>
      <w:pPr>
        <w:spacing w:line="240" w:lineRule="auto" w:before="4"/>
        <w:rPr>
          <w:rFonts w:ascii="宋体" w:hAnsi="宋体" w:cs="宋体" w:eastAsia="宋体" w:hint="default"/>
          <w:sz w:val="25"/>
          <w:szCs w:val="25"/>
        </w:rPr>
      </w:pPr>
    </w:p>
    <w:p>
      <w:pPr>
        <w:pStyle w:val="BodyText"/>
        <w:spacing w:line="319" w:lineRule="auto"/>
        <w:ind w:right="151"/>
        <w:jc w:val="both"/>
      </w:pPr>
      <w:r>
        <w:rPr>
          <w:spacing w:val="-2"/>
        </w:rPr>
        <w:t>对于通过同一控制下的企业合并取得的子公司，无论该项企业合并发生在报告期的任一时点，视同该子公司同受最</w:t>
      </w:r>
      <w:r>
        <w:rPr>
          <w:spacing w:val="-72"/>
        </w:rPr>
        <w:t> </w:t>
      </w:r>
      <w:r>
        <w:rPr>
          <w:spacing w:val="-72"/>
        </w:rPr>
      </w:r>
      <w:r>
        <w:rPr>
          <w:spacing w:val="-2"/>
        </w:rPr>
        <w:t>终控制方控制之日起纳入本集团的合并范围，其自报告期最早期间期初起的经营成果和现金流量已适当地包括在合</w:t>
      </w:r>
      <w:r>
        <w:rPr>
          <w:spacing w:val="-72"/>
        </w:rPr>
        <w:t> </w:t>
      </w:r>
      <w:r>
        <w:rPr>
          <w:spacing w:val="-72"/>
        </w:rPr>
      </w:r>
      <w:r>
        <w:rPr/>
        <w:t>并利润表和合并现金流量表中。</w:t>
      </w:r>
    </w:p>
    <w:p>
      <w:pPr>
        <w:spacing w:line="240" w:lineRule="auto" w:before="2"/>
        <w:rPr>
          <w:rFonts w:ascii="宋体" w:hAnsi="宋体" w:cs="宋体" w:eastAsia="宋体" w:hint="default"/>
          <w:sz w:val="25"/>
          <w:szCs w:val="25"/>
        </w:rPr>
      </w:pPr>
    </w:p>
    <w:p>
      <w:pPr>
        <w:pStyle w:val="BodyText"/>
        <w:spacing w:line="240" w:lineRule="auto"/>
        <w:ind w:right="0"/>
        <w:jc w:val="both"/>
      </w:pPr>
      <w:r>
        <w:rPr/>
        <w:t>子公司采用的主要会计政策和会计期间按照本公司统一规定的会计政策和会计期间厘定。</w:t>
      </w:r>
    </w:p>
    <w:p>
      <w:pPr>
        <w:spacing w:after="0" w:line="240" w:lineRule="auto"/>
        <w:jc w:val="both"/>
        <w:sectPr>
          <w:pgSz w:w="11910" w:h="16840"/>
          <w:pgMar w:header="851" w:footer="979" w:top="1320" w:bottom="1160" w:left="980" w:right="980"/>
        </w:sectPr>
      </w:pPr>
    </w:p>
    <w:p>
      <w:pPr>
        <w:pStyle w:val="BodyText"/>
        <w:spacing w:line="240" w:lineRule="auto" w:before="114"/>
        <w:ind w:right="0"/>
        <w:jc w:val="both"/>
      </w:pPr>
      <w:r>
        <w:rPr/>
        <w:t>本公司与子公司及子公司相互之间发生的内部交易对合并财务报表的影响于合并时抵销。</w:t>
      </w:r>
    </w:p>
    <w:p>
      <w:pPr>
        <w:spacing w:line="240" w:lineRule="auto" w:before="0"/>
        <w:rPr>
          <w:rFonts w:ascii="宋体" w:hAnsi="宋体" w:cs="宋体" w:eastAsia="宋体" w:hint="default"/>
          <w:sz w:val="18"/>
          <w:szCs w:val="18"/>
        </w:rPr>
      </w:pPr>
    </w:p>
    <w:p>
      <w:pPr>
        <w:pStyle w:val="BodyText"/>
        <w:spacing w:line="300" w:lineRule="auto" w:before="153"/>
        <w:ind w:right="190"/>
        <w:jc w:val="both"/>
      </w:pPr>
      <w:r>
        <w:rPr/>
        <w:t>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 权益</w:t>
      </w:r>
      <w:r>
        <w:rPr>
          <w:rFonts w:ascii="Times New Roman" w:hAnsi="Times New Roman" w:cs="Times New Roman" w:eastAsia="Times New Roman" w:hint="default"/>
        </w:rPr>
        <w:t>”</w:t>
      </w: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项目列示。本集团子公司均为全资子公司，合并资产负债表中的</w:t>
      </w:r>
      <w:r>
        <w:rPr>
          <w:rFonts w:ascii="Times New Roman" w:hAnsi="Times New Roman" w:cs="Times New Roman" w:eastAsia="Times New Roman" w:hint="default"/>
          <w:spacing w:val="-1"/>
        </w:rPr>
        <w:t>“</w:t>
      </w:r>
      <w:r>
        <w:rPr>
          <w:spacing w:val="-1"/>
        </w:rPr>
        <w:t>少数股东权益</w:t>
      </w:r>
      <w:r>
        <w:rPr>
          <w:rFonts w:ascii="Times New Roman" w:hAnsi="Times New Roman" w:cs="Times New Roman" w:eastAsia="Times New Roman" w:hint="default"/>
          <w:spacing w:val="-1"/>
        </w:rPr>
        <w:t>”</w:t>
      </w:r>
      <w:r>
        <w:rPr>
          <w:spacing w:val="-1"/>
        </w:rPr>
        <w:t>和合并利润表</w:t>
      </w:r>
      <w:r>
        <w:rPr>
          <w:rFonts w:ascii="Times New Roman" w:hAnsi="Times New Roman" w:cs="Times New Roman" w:eastAsia="Times New Roman" w:hint="default"/>
          <w:spacing w:val="-1"/>
        </w:rPr>
        <w:t>“</w:t>
      </w:r>
      <w:r>
        <w:rPr>
          <w:spacing w:val="-1"/>
        </w:rPr>
        <w:t>少数股东损益</w:t>
      </w:r>
      <w:r>
        <w:rPr>
          <w:rFonts w:ascii="Times New Roman" w:hAnsi="Times New Roman" w:cs="Times New Roman" w:eastAsia="Times New Roman" w:hint="default"/>
          <w:spacing w:val="-1"/>
        </w:rPr>
        <w:t>”</w:t>
      </w:r>
      <w:r>
        <w:rPr>
          <w:spacing w:val="-1"/>
        </w:rPr>
        <w:t>均为</w:t>
      </w:r>
      <w:r>
        <w:rPr>
          <w:spacing w:val="-84"/>
        </w:rPr>
        <w:t> </w:t>
      </w:r>
      <w:r>
        <w:rPr/>
        <w:t>零。</w:t>
      </w:r>
    </w:p>
    <w:p>
      <w:pPr>
        <w:spacing w:line="240" w:lineRule="auto" w:before="6"/>
        <w:rPr>
          <w:rFonts w:ascii="宋体" w:hAnsi="宋体" w:cs="宋体" w:eastAsia="宋体" w:hint="default"/>
          <w:sz w:val="25"/>
          <w:szCs w:val="25"/>
        </w:rPr>
      </w:pPr>
    </w:p>
    <w:p>
      <w:pPr>
        <w:pStyle w:val="Heading4"/>
        <w:spacing w:line="240" w:lineRule="auto" w:before="0"/>
        <w:ind w:left="153" w:right="5193"/>
        <w:jc w:val="left"/>
        <w:rPr>
          <w:b w:val="0"/>
          <w:bCs w:val="0"/>
        </w:rPr>
      </w:pPr>
      <w:bookmarkStart w:name="7、现金及现金等价物的确定标准" w:id="81"/>
      <w:bookmarkEnd w:id="81"/>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right="192"/>
        <w:jc w:val="both"/>
      </w:pPr>
      <w:r>
        <w:rPr>
          <w:spacing w:val="-2"/>
        </w:rPr>
        <w:t>现金是指企业库存现金以及可以随时用于支付的存款。现金等价物是指本集团持有的期限短、流动性强、易于转换</w:t>
      </w:r>
      <w:r>
        <w:rPr>
          <w:spacing w:val="-74"/>
        </w:rPr>
        <w:t> </w:t>
      </w:r>
      <w:r>
        <w:rPr>
          <w:spacing w:val="-74"/>
        </w:rPr>
      </w:r>
      <w:r>
        <w:rPr/>
        <w:t>为已知金额现金、价值变动风险很小的投资。</w:t>
      </w:r>
    </w:p>
    <w:p>
      <w:pPr>
        <w:spacing w:line="240" w:lineRule="auto" w:before="6"/>
        <w:rPr>
          <w:rFonts w:ascii="宋体" w:hAnsi="宋体" w:cs="宋体" w:eastAsia="宋体" w:hint="default"/>
          <w:sz w:val="24"/>
          <w:szCs w:val="24"/>
        </w:rPr>
      </w:pPr>
    </w:p>
    <w:p>
      <w:pPr>
        <w:pStyle w:val="Heading4"/>
        <w:spacing w:line="240" w:lineRule="auto" w:before="0"/>
        <w:ind w:right="5193"/>
        <w:jc w:val="left"/>
        <w:rPr>
          <w:b w:val="0"/>
          <w:bCs w:val="0"/>
        </w:rPr>
      </w:pPr>
      <w:bookmarkStart w:name="8、金融工具" w:id="82"/>
      <w:bookmarkEnd w:id="82"/>
      <w:r>
        <w:rPr>
          <w:b w:val="0"/>
          <w:bCs w:val="0"/>
        </w:rPr>
      </w:r>
      <w:r>
        <w:rPr>
          <w:rFonts w:ascii="Times New Roman" w:hAnsi="Times New Roman" w:cs="Times New Roman" w:eastAsia="Times New Roman" w:hint="default"/>
        </w:rPr>
        <w:t>8</w:t>
      </w:r>
      <w:r>
        <w:rPr/>
        <w:t>、金融工具</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right="191"/>
        <w:jc w:val="both"/>
      </w:pPr>
      <w:r>
        <w:rPr>
          <w:spacing w:val="-2"/>
        </w:rPr>
        <w:t>在本集团成为金融工具合同的一方时确认一项金融资产或金融负债。金融资产和金融负债在初始确认时以公允价值</w:t>
      </w:r>
      <w:r>
        <w:rPr>
          <w:spacing w:val="-72"/>
        </w:rPr>
        <w:t> </w:t>
      </w:r>
      <w:r>
        <w:rPr>
          <w:spacing w:val="-72"/>
        </w:rPr>
      </w:r>
      <w:r>
        <w:rPr>
          <w:spacing w:val="-2"/>
        </w:rPr>
        <w:t>计量。对于以公允价值计量且其变动计入当期损益的金融资产和金融负债，相关的交易费用直接计入损益，对于其</w:t>
      </w:r>
      <w:r>
        <w:rPr>
          <w:spacing w:val="-74"/>
        </w:rPr>
        <w:t> </w:t>
      </w:r>
      <w:r>
        <w:rPr>
          <w:spacing w:val="-74"/>
        </w:rPr>
      </w:r>
      <w:r>
        <w:rPr/>
        <w:t>他类别的金融资产和金融负债，相关交易费用计入初始确认金额</w:t>
      </w:r>
    </w:p>
    <w:p>
      <w:pPr>
        <w:spacing w:line="240" w:lineRule="auto" w:before="4"/>
        <w:rPr>
          <w:rFonts w:ascii="宋体" w:hAnsi="宋体" w:cs="宋体" w:eastAsia="宋体" w:hint="default"/>
          <w:sz w:val="25"/>
          <w:szCs w:val="25"/>
        </w:rPr>
      </w:pPr>
    </w:p>
    <w:p>
      <w:pPr>
        <w:pStyle w:val="BodyText"/>
        <w:spacing w:line="309" w:lineRule="auto"/>
        <w:ind w:right="92"/>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8.1</w:t>
      </w:r>
      <w:r>
        <w:rPr>
          <w:u w:val="single" w:color="000000"/>
        </w:rPr>
        <w:t>金融资产的分类、确认和计量</w:t>
      </w:r>
      <w:r>
        <w:rPr/>
      </w:r>
      <w:r>
        <w:rPr/>
        <w:t> </w:t>
      </w:r>
      <w:r>
        <w:rPr>
          <w:spacing w:val="-2"/>
        </w:rPr>
        <w:t>金融资产在初始确认时划分为以公允价值计量且其变动计入当期损益的金融资产、持有至到期投资、贷款和应收款</w:t>
      </w:r>
      <w:r>
        <w:rPr>
          <w:spacing w:val="-72"/>
        </w:rPr>
        <w:t> </w:t>
      </w:r>
      <w:r>
        <w:rPr>
          <w:spacing w:val="-72"/>
        </w:rPr>
      </w:r>
      <w:r>
        <w:rPr/>
        <w:t>项以及可供出售金融资产。以常规方式买卖金融资产，按交易日会计进行确认和终止确认。</w:t>
      </w:r>
    </w:p>
    <w:p>
      <w:pPr>
        <w:spacing w:line="240" w:lineRule="auto" w:before="11"/>
        <w:rPr>
          <w:rFonts w:ascii="宋体" w:hAnsi="宋体" w:cs="宋体" w:eastAsia="宋体" w:hint="default"/>
          <w:sz w:val="24"/>
          <w:szCs w:val="24"/>
        </w:rPr>
      </w:pPr>
    </w:p>
    <w:p>
      <w:pPr>
        <w:spacing w:before="0"/>
        <w:ind w:left="874" w:right="0" w:firstLine="0"/>
        <w:jc w:val="both"/>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w w:val="95"/>
          <w:sz w:val="18"/>
          <w:szCs w:val="18"/>
          <w:u w:val="single" w:color="000000"/>
        </w:rPr>
        <w:t>8.1.1   </w:t>
      </w:r>
      <w:r>
        <w:rPr>
          <w:rFonts w:ascii="Times New Roman" w:hAnsi="Times New Roman" w:cs="Times New Roman" w:eastAsia="Times New Roman" w:hint="default"/>
          <w:i/>
          <w:spacing w:val="15"/>
          <w:w w:val="95"/>
          <w:sz w:val="18"/>
          <w:szCs w:val="18"/>
          <w:u w:val="single" w:color="000000"/>
        </w:rPr>
        <w:t> </w:t>
      </w:r>
      <w:r>
        <w:rPr>
          <w:rFonts w:ascii="宋体" w:hAnsi="宋体" w:cs="宋体" w:eastAsia="宋体" w:hint="default"/>
          <w:i/>
          <w:w w:val="95"/>
          <w:sz w:val="19"/>
          <w:szCs w:val="19"/>
          <w:u w:val="single" w:color="000000"/>
        </w:rPr>
        <w:t>以公允价值计量且其变动计入当期损益的金融资产</w:t>
      </w:r>
      <w:r>
        <w:rPr>
          <w:rFonts w:ascii="宋体" w:hAnsi="宋体" w:cs="宋体" w:eastAsia="宋体" w:hint="default"/>
          <w:i/>
          <w:w w:val="95"/>
          <w:sz w:val="19"/>
          <w:szCs w:val="19"/>
        </w:rPr>
      </w:r>
      <w:r>
        <w:rPr>
          <w:rFonts w:ascii="宋体" w:hAnsi="宋体" w:cs="宋体" w:eastAsia="宋体" w:hint="default"/>
          <w:sz w:val="19"/>
          <w:szCs w:val="19"/>
        </w:rPr>
      </w:r>
    </w:p>
    <w:p>
      <w:pPr>
        <w:spacing w:line="240" w:lineRule="auto" w:before="3"/>
        <w:rPr>
          <w:rFonts w:ascii="宋体" w:hAnsi="宋体" w:cs="宋体" w:eastAsia="宋体" w:hint="default"/>
          <w:i/>
          <w:sz w:val="25"/>
          <w:szCs w:val="25"/>
        </w:rPr>
      </w:pPr>
    </w:p>
    <w:p>
      <w:pPr>
        <w:pStyle w:val="BodyText"/>
        <w:spacing w:line="316" w:lineRule="auto" w:before="44"/>
        <w:ind w:right="92"/>
        <w:jc w:val="left"/>
      </w:pPr>
      <w:r>
        <w:rPr>
          <w:spacing w:val="-2"/>
        </w:rPr>
        <w:t>包括交易性金融资产和指定为以公允价值计量且其变动计入当期损益的金融资产。本集团以公允价值计量且其变动</w:t>
      </w:r>
      <w:r>
        <w:rPr>
          <w:spacing w:val="-72"/>
        </w:rPr>
        <w:t> </w:t>
      </w:r>
      <w:r>
        <w:rPr>
          <w:spacing w:val="-72"/>
        </w:rPr>
      </w:r>
      <w:r>
        <w:rPr/>
        <w:t>计入当期损益的金融资产均为交易性金融资产。</w:t>
      </w:r>
    </w:p>
    <w:p>
      <w:pPr>
        <w:spacing w:line="240" w:lineRule="auto" w:before="4"/>
        <w:rPr>
          <w:rFonts w:ascii="宋体" w:hAnsi="宋体" w:cs="宋体" w:eastAsia="宋体" w:hint="default"/>
          <w:sz w:val="25"/>
          <w:szCs w:val="25"/>
        </w:rPr>
      </w:pPr>
    </w:p>
    <w:p>
      <w:pPr>
        <w:pStyle w:val="BodyText"/>
        <w:spacing w:line="309" w:lineRule="auto"/>
        <w:ind w:right="92"/>
        <w:jc w:val="left"/>
      </w:pPr>
      <w:r>
        <w:rPr/>
        <w:t>交易性金融资产是指满足下列条件之一的金融资产：</w:t>
      </w:r>
      <w:r>
        <w:rPr>
          <w:rFonts w:ascii="Times New Roman" w:hAnsi="Times New Roman" w:cs="Times New Roman" w:eastAsia="Times New Roman" w:hint="default"/>
        </w:rPr>
        <w:t>(1)</w:t>
      </w:r>
      <w:r>
        <w:rPr/>
        <w:t>取得该金融资产的目的，主要是为了近期内出售；</w:t>
      </w:r>
      <w:r>
        <w:rPr>
          <w:rFonts w:ascii="Times New Roman" w:hAnsi="Times New Roman" w:cs="Times New Roman" w:eastAsia="Times New Roman" w:hint="default"/>
        </w:rPr>
        <w:t>(2)</w:t>
      </w:r>
      <w:r>
        <w:rPr/>
        <w:t>初始 </w:t>
      </w:r>
      <w:r>
        <w:rPr>
          <w:spacing w:val="-2"/>
        </w:rPr>
        <w:t>确认时即属于进行集中管理的可辨认金融工具组合的一部分，且有客观证据表明本集团近期采用短期获利方式对该</w:t>
      </w:r>
      <w:r>
        <w:rPr>
          <w:spacing w:val="-72"/>
        </w:rPr>
        <w:t> </w:t>
      </w:r>
      <w:r>
        <w:rPr>
          <w:spacing w:val="-72"/>
        </w:rPr>
      </w:r>
      <w:r>
        <w:rPr/>
        <w:t>组合进行管理；</w:t>
      </w:r>
      <w:r>
        <w:rPr>
          <w:rFonts w:ascii="Times New Roman" w:hAnsi="Times New Roman" w:cs="Times New Roman" w:eastAsia="Times New Roman" w:hint="default"/>
        </w:rPr>
        <w:t>(3)</w:t>
      </w:r>
      <w:r>
        <w:rPr/>
        <w:t>属于衍生工具，但是，被指定且为有效套期工具的衍生工具、属于财务担保合同的衍生工具、 与在活跃市场中没有报价且其公允价值不能可靠计量的权益工具投资挂钩并须通过交付该权益工具结算的衍生工 具除外。</w:t>
      </w:r>
    </w:p>
    <w:p>
      <w:pPr>
        <w:spacing w:line="240" w:lineRule="auto" w:before="9"/>
        <w:rPr>
          <w:rFonts w:ascii="宋体" w:hAnsi="宋体" w:cs="宋体" w:eastAsia="宋体" w:hint="default"/>
          <w:sz w:val="25"/>
          <w:szCs w:val="25"/>
        </w:rPr>
      </w:pPr>
    </w:p>
    <w:p>
      <w:pPr>
        <w:pStyle w:val="BodyText"/>
        <w:spacing w:line="316" w:lineRule="auto"/>
        <w:ind w:right="92"/>
        <w:jc w:val="left"/>
      </w:pPr>
      <w:r>
        <w:rPr>
          <w:spacing w:val="-2"/>
        </w:rPr>
        <w:t>交易性金融资产采用公允价值进行后续计量，公允价值变动形成的利得或损失以及与该金融资产相关的股利和利息</w:t>
      </w:r>
      <w:r>
        <w:rPr>
          <w:spacing w:val="-72"/>
        </w:rPr>
        <w:t> </w:t>
      </w:r>
      <w:r>
        <w:rPr>
          <w:spacing w:val="-72"/>
        </w:rPr>
      </w:r>
      <w:r>
        <w:rPr/>
        <w:t>收入计入当期损益。</w:t>
      </w:r>
    </w:p>
    <w:p>
      <w:pPr>
        <w:spacing w:line="240" w:lineRule="auto" w:before="5"/>
        <w:rPr>
          <w:rFonts w:ascii="宋体" w:hAnsi="宋体" w:cs="宋体" w:eastAsia="宋体" w:hint="default"/>
          <w:sz w:val="24"/>
          <w:szCs w:val="24"/>
        </w:rPr>
      </w:pPr>
    </w:p>
    <w:p>
      <w:pPr>
        <w:spacing w:before="0"/>
        <w:ind w:left="874" w:right="5193"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8.1.2.</w:t>
      </w:r>
      <w:r>
        <w:rPr>
          <w:rFonts w:ascii="Times New Roman" w:hAnsi="Times New Roman" w:cs="Times New Roman" w:eastAsia="Times New Roman" w:hint="default"/>
          <w:i/>
          <w:spacing w:val="18"/>
          <w:sz w:val="18"/>
          <w:szCs w:val="18"/>
          <w:u w:val="single" w:color="000000"/>
        </w:rPr>
        <w:t> </w:t>
      </w:r>
      <w:r>
        <w:rPr>
          <w:rFonts w:ascii="宋体" w:hAnsi="宋体" w:cs="宋体" w:eastAsia="宋体" w:hint="default"/>
          <w:i/>
          <w:sz w:val="19"/>
          <w:szCs w:val="19"/>
          <w:u w:val="single" w:color="000000"/>
        </w:rPr>
        <w:t>贷款和应收款项</w:t>
      </w:r>
      <w:r>
        <w:rPr>
          <w:rFonts w:ascii="宋体" w:hAnsi="宋体" w:cs="宋体" w:eastAsia="宋体" w:hint="default"/>
          <w:i/>
          <w:sz w:val="19"/>
          <w:szCs w:val="19"/>
        </w:rPr>
      </w:r>
      <w:r>
        <w:rPr>
          <w:rFonts w:ascii="宋体" w:hAnsi="宋体" w:cs="宋体" w:eastAsia="宋体" w:hint="default"/>
          <w:sz w:val="19"/>
          <w:szCs w:val="19"/>
        </w:rPr>
      </w:r>
    </w:p>
    <w:p>
      <w:pPr>
        <w:spacing w:line="240" w:lineRule="auto" w:before="3"/>
        <w:rPr>
          <w:rFonts w:ascii="宋体" w:hAnsi="宋体" w:cs="宋体" w:eastAsia="宋体" w:hint="default"/>
          <w:i/>
          <w:sz w:val="25"/>
          <w:szCs w:val="25"/>
        </w:rPr>
      </w:pPr>
    </w:p>
    <w:p>
      <w:pPr>
        <w:pStyle w:val="BodyText"/>
        <w:spacing w:line="316" w:lineRule="auto" w:before="44"/>
        <w:ind w:right="92"/>
        <w:jc w:val="left"/>
      </w:pPr>
      <w:r>
        <w:rPr>
          <w:spacing w:val="-2"/>
        </w:rPr>
        <w:t>是指在活跃市场中没有报价、回收金额固定或可确定的非衍生金融资产。本集团划分为贷款和应收款的金融资产包</w:t>
      </w:r>
      <w:r>
        <w:rPr>
          <w:spacing w:val="-72"/>
        </w:rPr>
        <w:t> </w:t>
      </w:r>
      <w:r>
        <w:rPr>
          <w:spacing w:val="-72"/>
        </w:rPr>
      </w:r>
      <w:r>
        <w:rPr/>
        <w:t>括应收票据、应收账款、应收利息、应收股利及其他应收款等。</w:t>
      </w:r>
    </w:p>
    <w:p>
      <w:pPr>
        <w:spacing w:line="240" w:lineRule="auto" w:before="4"/>
        <w:rPr>
          <w:rFonts w:ascii="宋体" w:hAnsi="宋体" w:cs="宋体" w:eastAsia="宋体" w:hint="default"/>
          <w:sz w:val="25"/>
          <w:szCs w:val="25"/>
        </w:rPr>
      </w:pPr>
    </w:p>
    <w:p>
      <w:pPr>
        <w:pStyle w:val="BodyText"/>
        <w:spacing w:line="316" w:lineRule="auto"/>
        <w:ind w:right="92"/>
        <w:jc w:val="left"/>
      </w:pPr>
      <w:r>
        <w:rPr/>
        <w:t>贷款和应收款项采用实际利率法，按摊余成本进行后续计量，在终止确认、发生减值或摊销时产生的利得或损失，</w:t>
      </w:r>
      <w:r>
        <w:rPr>
          <w:spacing w:val="-85"/>
        </w:rPr>
        <w:t> </w:t>
      </w:r>
      <w:r>
        <w:rPr>
          <w:spacing w:val="-85"/>
        </w:rPr>
      </w:r>
      <w:r>
        <w:rPr/>
        <w:t>计入当期损益。</w:t>
      </w:r>
    </w:p>
    <w:p>
      <w:pPr>
        <w:spacing w:line="240" w:lineRule="auto" w:before="4"/>
        <w:rPr>
          <w:rFonts w:ascii="宋体" w:hAnsi="宋体" w:cs="宋体" w:eastAsia="宋体" w:hint="default"/>
          <w:sz w:val="25"/>
          <w:szCs w:val="25"/>
        </w:rPr>
      </w:pPr>
    </w:p>
    <w:p>
      <w:pPr>
        <w:pStyle w:val="BodyText"/>
        <w:spacing w:line="240" w:lineRule="auto"/>
        <w:ind w:right="5193"/>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8.2</w:t>
      </w:r>
      <w:r>
        <w:rPr>
          <w:u w:val="single" w:color="000000"/>
        </w:rPr>
        <w:t>金融资产减值</w:t>
      </w:r>
      <w:r>
        <w:rPr/>
      </w:r>
    </w:p>
    <w:p>
      <w:pPr>
        <w:spacing w:after="0" w:line="240" w:lineRule="auto"/>
        <w:jc w:val="left"/>
        <w:sectPr>
          <w:footerReference w:type="default" r:id="rId18"/>
          <w:pgSz w:w="11910" w:h="16840"/>
          <w:pgMar w:footer="979" w:header="851" w:top="1320" w:bottom="1160" w:left="980" w:right="940"/>
          <w:pgNumType w:start="61"/>
        </w:sectPr>
      </w:pPr>
    </w:p>
    <w:p>
      <w:pPr>
        <w:spacing w:line="240" w:lineRule="auto" w:before="3"/>
        <w:rPr>
          <w:rFonts w:ascii="宋体" w:hAnsi="宋体" w:cs="宋体" w:eastAsia="宋体" w:hint="default"/>
          <w:sz w:val="29"/>
          <w:szCs w:val="29"/>
        </w:rPr>
      </w:pPr>
    </w:p>
    <w:p>
      <w:pPr>
        <w:pStyle w:val="BodyText"/>
        <w:spacing w:line="316" w:lineRule="auto" w:before="44"/>
        <w:ind w:right="291"/>
        <w:jc w:val="both"/>
      </w:pPr>
      <w:r>
        <w:rPr>
          <w:spacing w:val="-2"/>
        </w:rPr>
        <w:t>除了以公允价值计量且其变动计入当期损益的金融资产外，本集团在每个资产负债表日对其他金融资产的账面价值</w:t>
      </w:r>
      <w:r>
        <w:rPr>
          <w:spacing w:val="-72"/>
        </w:rPr>
        <w:t> </w:t>
      </w:r>
      <w:r>
        <w:rPr>
          <w:spacing w:val="-72"/>
        </w:rPr>
      </w:r>
      <w:r>
        <w:rPr>
          <w:spacing w:val="-2"/>
        </w:rPr>
        <w:t>进行检查，有客观证据表明金融资产发生减值的，计提减值准备。表明金融资产发生减值的客观证据是指金融资产</w:t>
      </w:r>
      <w:r>
        <w:rPr>
          <w:spacing w:val="-74"/>
        </w:rPr>
        <w:t> </w:t>
      </w:r>
      <w:r>
        <w:rPr>
          <w:spacing w:val="-74"/>
        </w:rPr>
      </w:r>
      <w:r>
        <w:rPr/>
        <w:t>初始确认后实际发生的、对该金融资产的预计未来现金流量有影响，且企业能够对该影响进行可靠计量的事项。</w:t>
      </w:r>
    </w:p>
    <w:p>
      <w:pPr>
        <w:spacing w:line="240" w:lineRule="auto" w:before="4"/>
        <w:rPr>
          <w:rFonts w:ascii="宋体" w:hAnsi="宋体" w:cs="宋体" w:eastAsia="宋体" w:hint="default"/>
          <w:sz w:val="25"/>
          <w:szCs w:val="25"/>
        </w:rPr>
      </w:pPr>
    </w:p>
    <w:p>
      <w:pPr>
        <w:pStyle w:val="BodyText"/>
        <w:spacing w:line="240" w:lineRule="auto"/>
        <w:ind w:right="0"/>
        <w:jc w:val="both"/>
      </w:pPr>
      <w:r>
        <w:rPr/>
        <w:t>金融资产发生减值的客观证据，包括下列可观察到的各项事项：</w:t>
      </w:r>
    </w:p>
    <w:p>
      <w:pPr>
        <w:spacing w:line="240" w:lineRule="auto" w:before="0"/>
        <w:rPr>
          <w:rFonts w:ascii="宋体" w:hAnsi="宋体" w:cs="宋体" w:eastAsia="宋体" w:hint="default"/>
          <w:sz w:val="18"/>
          <w:szCs w:val="18"/>
        </w:rPr>
      </w:pPr>
    </w:p>
    <w:p>
      <w:pPr>
        <w:pStyle w:val="BodyText"/>
        <w:spacing w:line="240" w:lineRule="auto" w:before="153"/>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14"/>
        </w:rPr>
        <w:t> </w:t>
      </w:r>
      <w:r>
        <w:rPr/>
        <w:t>发行方或债务人发生严重财务困难；</w:t>
      </w:r>
    </w:p>
    <w:p>
      <w:pPr>
        <w:pStyle w:val="BodyText"/>
        <w:spacing w:line="240" w:lineRule="auto" w:before="63"/>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14"/>
        </w:rPr>
        <w:t> </w:t>
      </w:r>
      <w:r>
        <w:rPr/>
        <w:t>债务人违反了合同条款，如偿付利息或本金发生违约或逾期等；</w:t>
      </w:r>
    </w:p>
    <w:p>
      <w:pPr>
        <w:pStyle w:val="BodyText"/>
        <w:spacing w:line="240" w:lineRule="auto" w:before="63"/>
        <w:ind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14"/>
        </w:rPr>
        <w:t> </w:t>
      </w:r>
      <w:r>
        <w:rPr/>
        <w:t>本集团出于经济或法律等方面因素的考虑，对发生财务困难的债务人作出让步；</w:t>
      </w:r>
    </w:p>
    <w:p>
      <w:pPr>
        <w:pStyle w:val="BodyText"/>
        <w:spacing w:line="240" w:lineRule="auto" w:before="63"/>
        <w:ind w:right="0"/>
        <w:jc w:val="both"/>
      </w:pPr>
      <w:r>
        <w:rPr>
          <w:rFonts w:ascii="Times New Roman" w:hAnsi="Times New Roman" w:cs="Times New Roman" w:eastAsia="Times New Roman" w:hint="default"/>
        </w:rPr>
        <w:t>(4)      </w:t>
      </w:r>
      <w:r>
        <w:rPr>
          <w:rFonts w:ascii="Times New Roman" w:hAnsi="Times New Roman" w:cs="Times New Roman" w:eastAsia="Times New Roman" w:hint="default"/>
          <w:spacing w:val="14"/>
        </w:rPr>
        <w:t> </w:t>
      </w:r>
      <w:r>
        <w:rPr/>
        <w:t>债务人很可能倒闭或者进行其他财务重组；</w:t>
      </w:r>
    </w:p>
    <w:p>
      <w:pPr>
        <w:pStyle w:val="BodyText"/>
        <w:spacing w:line="240" w:lineRule="auto" w:before="63"/>
        <w:ind w:right="0"/>
        <w:jc w:val="both"/>
      </w:pPr>
      <w:r>
        <w:rPr>
          <w:rFonts w:ascii="Times New Roman" w:hAnsi="Times New Roman" w:cs="Times New Roman" w:eastAsia="Times New Roman" w:hint="default"/>
        </w:rPr>
        <w:t>(5)      </w:t>
      </w:r>
      <w:r>
        <w:rPr>
          <w:rFonts w:ascii="Times New Roman" w:hAnsi="Times New Roman" w:cs="Times New Roman" w:eastAsia="Times New Roman" w:hint="default"/>
          <w:spacing w:val="14"/>
        </w:rPr>
        <w:t> </w:t>
      </w:r>
      <w:r>
        <w:rPr/>
        <w:t>因发行方发生重大财务困难，导致金融资产无法在活跃市场继续交易；</w:t>
      </w:r>
    </w:p>
    <w:p>
      <w:pPr>
        <w:pStyle w:val="BodyText"/>
        <w:tabs>
          <w:tab w:pos="1324" w:val="left" w:leader="none"/>
        </w:tabs>
        <w:spacing w:line="300" w:lineRule="auto" w:before="63"/>
        <w:ind w:right="201"/>
        <w:jc w:val="left"/>
      </w:pPr>
      <w:r>
        <w:rPr>
          <w:rFonts w:ascii="Times New Roman" w:hAnsi="Times New Roman" w:cs="Times New Roman" w:eastAsia="Times New Roman" w:hint="default"/>
          <w:w w:val="99"/>
        </w:rPr>
        <w:t>(6)</w:t>
        <w:tab/>
      </w:r>
      <w:r>
        <w:rPr>
          <w:spacing w:val="-2"/>
          <w:w w:val="99"/>
        </w:rPr>
        <w:t>无法辨认一组金融资产中的某项资产的现金流量是否已经减少，但根据公开的数据对其进行总体评价后发现，</w:t>
      </w:r>
      <w:r>
        <w:rPr>
          <w:spacing w:val="-76"/>
          <w:w w:val="99"/>
        </w:rPr>
        <w:t> </w:t>
      </w:r>
      <w:r>
        <w:rPr>
          <w:spacing w:val="-76"/>
          <w:w w:val="99"/>
        </w:rPr>
      </w:r>
      <w:r>
        <w:rPr/>
        <w:t>该组金融资产自初始确认以来的预计未来现金流量确已减少且可计量，包括：</w:t>
      </w:r>
    </w:p>
    <w:p>
      <w:pPr>
        <w:pStyle w:val="BodyText"/>
        <w:spacing w:line="240" w:lineRule="auto" w:before="31"/>
        <w:ind w:right="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该组金融资产的债务人支付能力逐步恶化；</w:t>
      </w:r>
    </w:p>
    <w:p>
      <w:pPr>
        <w:pStyle w:val="BodyText"/>
        <w:spacing w:line="240" w:lineRule="auto" w:before="63"/>
        <w:ind w:right="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债务人所在国家或地区经济出现了可能导致该组金融资产无法支付的状况；</w:t>
      </w:r>
    </w:p>
    <w:p>
      <w:pPr>
        <w:pStyle w:val="BodyText"/>
        <w:tabs>
          <w:tab w:pos="1414" w:val="left" w:leader="none"/>
        </w:tabs>
        <w:spacing w:line="300" w:lineRule="auto" w:before="63"/>
        <w:ind w:right="292"/>
        <w:jc w:val="left"/>
      </w:pPr>
      <w:r>
        <w:rPr>
          <w:rFonts w:ascii="Times New Roman" w:hAnsi="Times New Roman" w:cs="Times New Roman" w:eastAsia="Times New Roman" w:hint="default"/>
        </w:rPr>
        <w:t>(7)</w:t>
        <w:tab/>
      </w:r>
      <w:r>
        <w:rPr>
          <w:spacing w:val="-2"/>
        </w:rPr>
        <w:t>权益工具发行人经营所处的技术、市场、经济或法律环境等发生重大不利变化，使权益工具投资人可能无法</w:t>
      </w:r>
      <w:r>
        <w:rPr>
          <w:spacing w:val="-81"/>
        </w:rPr>
        <w:t> </w:t>
      </w:r>
      <w:r>
        <w:rPr>
          <w:spacing w:val="-81"/>
        </w:rPr>
      </w:r>
      <w:r>
        <w:rPr/>
        <w:t>收回投资成本；</w:t>
      </w:r>
    </w:p>
    <w:p>
      <w:pPr>
        <w:pStyle w:val="BodyText"/>
        <w:spacing w:line="240" w:lineRule="auto" w:before="31"/>
        <w:ind w:right="0"/>
        <w:jc w:val="both"/>
      </w:pPr>
      <w:r>
        <w:rPr>
          <w:rFonts w:ascii="Times New Roman" w:hAnsi="Times New Roman" w:cs="Times New Roman" w:eastAsia="Times New Roman" w:hint="default"/>
        </w:rPr>
        <w:t>(8)      </w:t>
      </w:r>
      <w:r>
        <w:rPr>
          <w:rFonts w:ascii="Times New Roman" w:hAnsi="Times New Roman" w:cs="Times New Roman" w:eastAsia="Times New Roman" w:hint="default"/>
          <w:spacing w:val="14"/>
        </w:rPr>
        <w:t> </w:t>
      </w:r>
      <w:r>
        <w:rPr/>
        <w:t>权益工具投资的公允价值发生严重或非暂时性下跌；</w:t>
      </w:r>
    </w:p>
    <w:p>
      <w:pPr>
        <w:pStyle w:val="BodyText"/>
        <w:spacing w:line="240" w:lineRule="auto" w:before="63"/>
        <w:ind w:right="0"/>
        <w:jc w:val="both"/>
      </w:pPr>
      <w:r>
        <w:rPr>
          <w:rFonts w:ascii="Times New Roman" w:hAnsi="Times New Roman" w:cs="Times New Roman" w:eastAsia="Times New Roman" w:hint="default"/>
        </w:rPr>
        <w:t>(9)      </w:t>
      </w:r>
      <w:r>
        <w:rPr>
          <w:rFonts w:ascii="Times New Roman" w:hAnsi="Times New Roman" w:cs="Times New Roman" w:eastAsia="Times New Roman" w:hint="default"/>
          <w:spacing w:val="14"/>
        </w:rPr>
        <w:t> </w:t>
      </w:r>
      <w:r>
        <w:rPr/>
        <w:t>其他表明金融资产发生减值的客观证据。</w:t>
      </w:r>
    </w:p>
    <w:p>
      <w:pPr>
        <w:spacing w:line="240" w:lineRule="auto" w:before="0"/>
        <w:rPr>
          <w:rFonts w:ascii="宋体" w:hAnsi="宋体" w:cs="宋体" w:eastAsia="宋体" w:hint="default"/>
          <w:sz w:val="18"/>
          <w:szCs w:val="18"/>
        </w:rPr>
      </w:pPr>
    </w:p>
    <w:p>
      <w:pPr>
        <w:pStyle w:val="BodyText"/>
        <w:spacing w:line="240" w:lineRule="auto" w:before="139"/>
        <w:ind w:right="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贷款和应收款项减值</w:t>
      </w:r>
    </w:p>
    <w:p>
      <w:pPr>
        <w:spacing w:line="240" w:lineRule="auto" w:before="0"/>
        <w:rPr>
          <w:rFonts w:ascii="宋体" w:hAnsi="宋体" w:cs="宋体" w:eastAsia="宋体" w:hint="default"/>
          <w:sz w:val="18"/>
          <w:szCs w:val="18"/>
        </w:rPr>
      </w:pPr>
    </w:p>
    <w:p>
      <w:pPr>
        <w:pStyle w:val="BodyText"/>
        <w:spacing w:line="316" w:lineRule="auto" w:before="139"/>
        <w:ind w:right="0"/>
        <w:jc w:val="left"/>
      </w:pPr>
      <w:r>
        <w:rPr>
          <w:spacing w:val="-2"/>
        </w:rPr>
        <w:t>以摊余成本计量的金融资产发生减值时，将其账面价值减记至按照该金融资产的原实际利率折现确定的预计未来现</w:t>
      </w:r>
      <w:r>
        <w:rPr>
          <w:spacing w:val="-72"/>
        </w:rPr>
        <w:t> </w:t>
      </w:r>
      <w:r>
        <w:rPr>
          <w:spacing w:val="-72"/>
        </w:rPr>
      </w:r>
      <w:r>
        <w:rPr/>
        <w:t>金流量（不包括尚未发生的未来信用损失）现值，减记金额确认为减值损失，计入当期损益。金融资产在确认减值</w:t>
      </w:r>
      <w:r>
        <w:rPr/>
        <w:t> 损失后，如有客观证据表明该金融资产价值已恢复，且客观上与确认该损失后发生的事项有关，原确认的减值损失 </w:t>
      </w:r>
      <w:r>
        <w:rPr>
          <w:spacing w:val="-2"/>
        </w:rPr>
        <w:t>予以转回，金融资产转回减值损失后的账面价值不超过假定不计提减值准备情况下该金融资产在转回日的摊余成本。</w:t>
      </w:r>
    </w:p>
    <w:p>
      <w:pPr>
        <w:spacing w:line="240" w:lineRule="auto" w:before="4"/>
        <w:rPr>
          <w:rFonts w:ascii="宋体" w:hAnsi="宋体" w:cs="宋体" w:eastAsia="宋体" w:hint="default"/>
          <w:sz w:val="25"/>
          <w:szCs w:val="25"/>
        </w:rPr>
      </w:pPr>
    </w:p>
    <w:p>
      <w:pPr>
        <w:pStyle w:val="BodyText"/>
        <w:spacing w:line="307" w:lineRule="auto"/>
        <w:ind w:right="291"/>
        <w:jc w:val="both"/>
      </w:pPr>
      <w:r>
        <w:rPr>
          <w:spacing w:val="-2"/>
        </w:rPr>
        <w:t>本集团对单项金额重大的金融资产单独进行减值测试；对单项金额不重大的金融资产，单独进行减值测试或包括在</w:t>
      </w:r>
      <w:r>
        <w:rPr>
          <w:spacing w:val="-72"/>
        </w:rPr>
        <w:t> </w:t>
      </w:r>
      <w:r>
        <w:rPr>
          <w:spacing w:val="-72"/>
        </w:rPr>
      </w:r>
      <w:r>
        <w:rPr/>
        <w:t>具有类似信用风险特征的金融资产组合中进行减值测试。单独测试未发生减值的金融资产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 重大的金融资产</w:t>
      </w:r>
      <w:r>
        <w:rPr>
          <w:rFonts w:ascii="Times New Roman" w:hAnsi="Times New Roman" w:cs="Times New Roman" w:eastAsia="Times New Roman" w:hint="default"/>
        </w:rPr>
        <w:t>)</w:t>
      </w:r>
      <w:r>
        <w:rPr/>
        <w:t>，包括在具有类似信用风险特征的金融资产组合中再进行减值测试。已单项确认减值损失的金融 资产，不包括在具有类似信用风险特征的金融资产组合中进行减值测试。</w:t>
      </w:r>
    </w:p>
    <w:p>
      <w:pPr>
        <w:spacing w:line="240" w:lineRule="auto" w:before="11"/>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8.3</w:t>
      </w:r>
      <w:r>
        <w:rPr>
          <w:u w:val="single" w:color="000000"/>
        </w:rPr>
        <w:t>金融资产的转移</w:t>
      </w:r>
      <w:r>
        <w:rPr/>
      </w:r>
    </w:p>
    <w:p>
      <w:pPr>
        <w:spacing w:line="240" w:lineRule="auto" w:before="3"/>
        <w:rPr>
          <w:rFonts w:ascii="宋体" w:hAnsi="宋体" w:cs="宋体" w:eastAsia="宋体" w:hint="default"/>
          <w:sz w:val="25"/>
          <w:szCs w:val="25"/>
        </w:rPr>
      </w:pPr>
    </w:p>
    <w:p>
      <w:pPr>
        <w:pStyle w:val="BodyText"/>
        <w:spacing w:line="240" w:lineRule="auto" w:before="44"/>
        <w:ind w:right="0"/>
        <w:jc w:val="left"/>
      </w:pPr>
      <w:r>
        <w:rPr/>
        <w:t>满足下列条件之一的金融资产，予以终止确认：</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收取该金融资产现金流量的合同权利终止；</w:t>
      </w:r>
    </w:p>
    <w:p>
      <w:pPr>
        <w:pStyle w:val="BodyText"/>
        <w:spacing w:line="240" w:lineRule="auto" w:before="6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该金融资产已转移，且将金融资产所有权上几乎所有的风险和报酬转移给转入方；</w:t>
      </w:r>
    </w:p>
    <w:p>
      <w:pPr>
        <w:pStyle w:val="BodyText"/>
        <w:spacing w:line="300" w:lineRule="auto" w:before="63"/>
        <w:ind w:right="27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该金融资产已转移，虽然企业既没有转移也没有保留金融资产所有权上几乎所有的风险和报酬，但是放弃了对</w:t>
      </w:r>
      <w:r>
        <w:rPr>
          <w:w w:val="99"/>
        </w:rPr>
        <w:t> </w:t>
      </w:r>
      <w:r>
        <w:rPr/>
        <w:t>该金融资产控制。</w:t>
      </w:r>
    </w:p>
    <w:p>
      <w:pPr>
        <w:spacing w:line="240" w:lineRule="auto" w:before="3"/>
        <w:rPr>
          <w:rFonts w:ascii="宋体" w:hAnsi="宋体" w:cs="宋体" w:eastAsia="宋体" w:hint="default"/>
          <w:sz w:val="26"/>
          <w:szCs w:val="26"/>
        </w:rPr>
      </w:pPr>
    </w:p>
    <w:p>
      <w:pPr>
        <w:pStyle w:val="BodyText"/>
        <w:spacing w:line="316" w:lineRule="auto"/>
        <w:ind w:right="0"/>
        <w:jc w:val="left"/>
      </w:pPr>
      <w:r>
        <w:rPr>
          <w:spacing w:val="-2"/>
        </w:rPr>
        <w:t>若本集团既没有转移也没有保留金融资产所有权上几乎所有的风险和报酬，且未放弃对该金融资产的控制的，则按</w:t>
      </w:r>
      <w:r>
        <w:rPr>
          <w:spacing w:val="-72"/>
        </w:rPr>
        <w:t> </w:t>
      </w:r>
      <w:r>
        <w:rPr>
          <w:spacing w:val="-72"/>
        </w:rPr>
      </w:r>
      <w:r>
        <w:rPr>
          <w:spacing w:val="-2"/>
        </w:rPr>
        <w:t>照继续涉入所转移金融资产的程度确认有关金融资产，并相应确认有关负债。继续涉入所转移金融资产的程度，是</w:t>
      </w:r>
    </w:p>
    <w:p>
      <w:pPr>
        <w:spacing w:after="0" w:line="316" w:lineRule="auto"/>
        <w:jc w:val="left"/>
        <w:sectPr>
          <w:pgSz w:w="11910" w:h="16840"/>
          <w:pgMar w:header="851" w:footer="979" w:top="1320" w:bottom="1160" w:left="980" w:right="840"/>
        </w:sectPr>
      </w:pPr>
    </w:p>
    <w:p>
      <w:pPr>
        <w:pStyle w:val="BodyText"/>
        <w:spacing w:line="240" w:lineRule="auto" w:before="114"/>
        <w:ind w:right="0"/>
        <w:jc w:val="both"/>
      </w:pPr>
      <w:r>
        <w:rPr/>
        <w:t>指该金融资产价值变动使企业面临的风险水平。</w:t>
      </w:r>
    </w:p>
    <w:p>
      <w:pPr>
        <w:spacing w:line="240" w:lineRule="auto" w:before="0"/>
        <w:rPr>
          <w:rFonts w:ascii="宋体" w:hAnsi="宋体" w:cs="宋体" w:eastAsia="宋体" w:hint="default"/>
          <w:sz w:val="18"/>
          <w:szCs w:val="18"/>
        </w:rPr>
      </w:pPr>
    </w:p>
    <w:p>
      <w:pPr>
        <w:pStyle w:val="BodyText"/>
        <w:spacing w:line="316" w:lineRule="auto" w:before="153"/>
        <w:ind w:right="191"/>
        <w:jc w:val="both"/>
      </w:pPr>
      <w:r>
        <w:rPr>
          <w:spacing w:val="-2"/>
        </w:rPr>
        <w:t>金融资产整体转移满足终止确认条件的，将所转移金融资产的账面价值及因转移而收到的对价与原计入其他综合收</w:t>
      </w:r>
      <w:r>
        <w:rPr>
          <w:spacing w:val="-72"/>
        </w:rPr>
        <w:t> </w:t>
      </w:r>
      <w:r>
        <w:rPr>
          <w:spacing w:val="-72"/>
        </w:rPr>
      </w:r>
      <w:r>
        <w:rPr/>
        <w:t>益的公允价值变动累计额之和的差额计入当期损益。</w:t>
      </w:r>
    </w:p>
    <w:p>
      <w:pPr>
        <w:spacing w:line="240" w:lineRule="auto" w:before="4"/>
        <w:rPr>
          <w:rFonts w:ascii="宋体" w:hAnsi="宋体" w:cs="宋体" w:eastAsia="宋体" w:hint="default"/>
          <w:sz w:val="25"/>
          <w:szCs w:val="25"/>
        </w:rPr>
      </w:pPr>
    </w:p>
    <w:p>
      <w:pPr>
        <w:pStyle w:val="BodyText"/>
        <w:spacing w:line="316" w:lineRule="auto"/>
        <w:ind w:right="191"/>
        <w:jc w:val="both"/>
      </w:pPr>
      <w:r>
        <w:rPr>
          <w:spacing w:val="-2"/>
        </w:rPr>
        <w:t>金融资产部分转移满足终止确认条件的，将所转移金融资产的账面价值在终止确认及未终止确认部分之间按其相对</w:t>
      </w:r>
      <w:r>
        <w:rPr>
          <w:spacing w:val="-72"/>
        </w:rPr>
        <w:t> </w:t>
      </w:r>
      <w:r>
        <w:rPr>
          <w:spacing w:val="-72"/>
        </w:rPr>
      </w:r>
      <w:r>
        <w:rPr>
          <w:spacing w:val="-2"/>
        </w:rPr>
        <w:t>的公允价值进行分摊，并将因转移而收到的对价与应分摊至终止确认部分的原计入其他综合收益的公允价值变动累</w:t>
      </w:r>
      <w:r>
        <w:rPr>
          <w:spacing w:val="-72"/>
        </w:rPr>
        <w:t> </w:t>
      </w:r>
      <w:r>
        <w:rPr>
          <w:spacing w:val="-72"/>
        </w:rPr>
      </w:r>
      <w:r>
        <w:rPr/>
        <w:t>计额之和与分摊的前述账面金额之差额计入当期损益。</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8.4</w:t>
      </w:r>
      <w:r>
        <w:rPr>
          <w:u w:val="single" w:color="000000"/>
        </w:rPr>
        <w:t>金融负债的分类、确认和计量</w:t>
      </w:r>
      <w:r>
        <w:rPr/>
      </w:r>
    </w:p>
    <w:p>
      <w:pPr>
        <w:spacing w:line="240" w:lineRule="auto" w:before="3"/>
        <w:rPr>
          <w:rFonts w:ascii="宋体" w:hAnsi="宋体" w:cs="宋体" w:eastAsia="宋体" w:hint="default"/>
          <w:sz w:val="25"/>
          <w:szCs w:val="25"/>
        </w:rPr>
      </w:pPr>
    </w:p>
    <w:p>
      <w:pPr>
        <w:pStyle w:val="BodyText"/>
        <w:spacing w:line="316" w:lineRule="auto" w:before="44"/>
        <w:ind w:right="272"/>
        <w:jc w:val="left"/>
      </w:pPr>
      <w:r>
        <w:rPr/>
        <w:t>本公司将发行的金融工具根据该金融工具合同安排的实质以及金融负债和权益工具的定义确认为金融负债或权益 工具。</w:t>
      </w:r>
    </w:p>
    <w:p>
      <w:pPr>
        <w:spacing w:line="240" w:lineRule="auto" w:before="4"/>
        <w:rPr>
          <w:rFonts w:ascii="宋体" w:hAnsi="宋体" w:cs="宋体" w:eastAsia="宋体" w:hint="default"/>
          <w:sz w:val="25"/>
          <w:szCs w:val="25"/>
        </w:rPr>
      </w:pPr>
    </w:p>
    <w:p>
      <w:pPr>
        <w:pStyle w:val="BodyText"/>
        <w:spacing w:line="240" w:lineRule="auto"/>
        <w:ind w:right="92"/>
        <w:jc w:val="left"/>
      </w:pPr>
      <w:r>
        <w:rPr/>
        <w:t>金融负债在初始确认时划分为以公允价值计量且其变动计入当期损益的金融负债和其他金融负债。</w:t>
      </w:r>
    </w:p>
    <w:p>
      <w:pPr>
        <w:spacing w:line="240" w:lineRule="auto" w:before="0"/>
        <w:rPr>
          <w:rFonts w:ascii="宋体" w:hAnsi="宋体" w:cs="宋体" w:eastAsia="宋体" w:hint="default"/>
          <w:sz w:val="18"/>
          <w:szCs w:val="18"/>
        </w:rPr>
      </w:pPr>
    </w:p>
    <w:p>
      <w:pPr>
        <w:spacing w:before="141"/>
        <w:ind w:left="874" w:right="92"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8.4.1</w:t>
      </w:r>
      <w:r>
        <w:rPr>
          <w:rFonts w:ascii="宋体" w:hAnsi="宋体" w:cs="宋体" w:eastAsia="宋体" w:hint="default"/>
          <w:i/>
          <w:sz w:val="19"/>
          <w:szCs w:val="19"/>
          <w:u w:val="single" w:color="000000"/>
        </w:rPr>
        <w:t>以公允价值计量且其变动计入当期损益的金融负债</w:t>
      </w:r>
      <w:r>
        <w:rPr>
          <w:rFonts w:ascii="宋体" w:hAnsi="宋体" w:cs="宋体" w:eastAsia="宋体" w:hint="default"/>
          <w:i/>
          <w:sz w:val="19"/>
          <w:szCs w:val="19"/>
        </w:rPr>
      </w:r>
      <w:r>
        <w:rPr>
          <w:rFonts w:ascii="宋体" w:hAnsi="宋体" w:cs="宋体" w:eastAsia="宋体" w:hint="default"/>
          <w:sz w:val="19"/>
          <w:szCs w:val="19"/>
        </w:rPr>
      </w:r>
    </w:p>
    <w:p>
      <w:pPr>
        <w:spacing w:line="240" w:lineRule="auto" w:before="3"/>
        <w:rPr>
          <w:rFonts w:ascii="宋体" w:hAnsi="宋体" w:cs="宋体" w:eastAsia="宋体" w:hint="default"/>
          <w:i/>
          <w:sz w:val="25"/>
          <w:szCs w:val="25"/>
        </w:rPr>
      </w:pPr>
    </w:p>
    <w:p>
      <w:pPr>
        <w:pStyle w:val="BodyText"/>
        <w:spacing w:line="316" w:lineRule="auto" w:before="44"/>
        <w:ind w:right="92"/>
        <w:jc w:val="left"/>
      </w:pPr>
      <w:r>
        <w:rPr>
          <w:spacing w:val="-2"/>
        </w:rPr>
        <w:t>以公允价值计量且其变动计入当期损益的金融负债，包括交易性金融负债和指定为以公允价值计量且其变动计入当</w:t>
      </w:r>
      <w:r>
        <w:rPr>
          <w:spacing w:val="-72"/>
        </w:rPr>
        <w:t> </w:t>
      </w:r>
      <w:r>
        <w:rPr>
          <w:spacing w:val="-72"/>
        </w:rPr>
      </w:r>
      <w:r>
        <w:rPr/>
        <w:t>期损益的金融负债。</w:t>
      </w:r>
    </w:p>
    <w:p>
      <w:pPr>
        <w:spacing w:line="240" w:lineRule="auto" w:before="4"/>
        <w:rPr>
          <w:rFonts w:ascii="宋体" w:hAnsi="宋体" w:cs="宋体" w:eastAsia="宋体" w:hint="default"/>
          <w:sz w:val="25"/>
          <w:szCs w:val="25"/>
        </w:rPr>
      </w:pPr>
    </w:p>
    <w:p>
      <w:pPr>
        <w:pStyle w:val="BodyText"/>
        <w:spacing w:line="309" w:lineRule="auto"/>
        <w:ind w:right="92"/>
        <w:jc w:val="left"/>
      </w:pPr>
      <w:r>
        <w:rPr/>
        <w:t>满足下列条件之一的金融负债划分为交易性金融负债：</w:t>
      </w:r>
      <w:r>
        <w:rPr>
          <w:rFonts w:ascii="Times New Roman" w:hAnsi="Times New Roman" w:cs="Times New Roman" w:eastAsia="Times New Roman" w:hint="default"/>
        </w:rPr>
        <w:t>(1)</w:t>
      </w:r>
      <w:r>
        <w:rPr/>
        <w:t>承担该金融负债的目的，主要是为了近期内回购；</w:t>
      </w:r>
      <w:r>
        <w:rPr>
          <w:rFonts w:ascii="Times New Roman" w:hAnsi="Times New Roman" w:cs="Times New Roman" w:eastAsia="Times New Roman" w:hint="default"/>
        </w:rPr>
        <w:t>(2)</w:t>
      </w:r>
      <w:r>
        <w:rPr/>
        <w:t>初 </w:t>
      </w:r>
      <w:r>
        <w:rPr>
          <w:spacing w:val="-2"/>
        </w:rPr>
        <w:t>始确认时即属于进行集中管理的可辨认金融工具组合的一部分，且有客观证据表明本集团近期采用短期获利方式对</w:t>
      </w:r>
      <w:r>
        <w:rPr>
          <w:spacing w:val="-72"/>
        </w:rPr>
        <w:t> </w:t>
      </w:r>
      <w:r>
        <w:rPr>
          <w:spacing w:val="-72"/>
        </w:rPr>
      </w:r>
      <w:r>
        <w:rPr/>
        <w:t>该组合进行管理；</w:t>
      </w:r>
      <w:r>
        <w:rPr>
          <w:rFonts w:ascii="Times New Roman" w:hAnsi="Times New Roman" w:cs="Times New Roman" w:eastAsia="Times New Roman" w:hint="default"/>
        </w:rPr>
        <w:t>(3)</w:t>
      </w:r>
      <w:r>
        <w:rPr/>
        <w:t>属于衍生工具，但是被指定且为有效套期工具的衍生工具、属于财务担保合同的衍生工具、 与在活跃市场中没有报价且其公允价值不能可靠计量的权益工具投资挂钩并须通过交付该权益工具结算的衍生工 具除外。</w:t>
      </w:r>
    </w:p>
    <w:p>
      <w:pPr>
        <w:spacing w:line="240" w:lineRule="auto" w:before="9"/>
        <w:rPr>
          <w:rFonts w:ascii="宋体" w:hAnsi="宋体" w:cs="宋体" w:eastAsia="宋体" w:hint="default"/>
          <w:sz w:val="25"/>
          <w:szCs w:val="25"/>
        </w:rPr>
      </w:pPr>
    </w:p>
    <w:p>
      <w:pPr>
        <w:pStyle w:val="BodyText"/>
        <w:spacing w:line="304" w:lineRule="auto"/>
        <w:ind w:right="191"/>
        <w:jc w:val="both"/>
      </w:pPr>
      <w:r>
        <w:rPr/>
        <w:t>符合下列条件之一的金融负债，在初始确认时可以指定为以公允价值计量且其变动计入当期损益的金融负债：</w:t>
      </w:r>
      <w:r>
        <w:rPr>
          <w:rFonts w:ascii="Times New Roman" w:hAnsi="Times New Roman" w:cs="Times New Roman" w:eastAsia="Times New Roman" w:hint="default"/>
        </w:rPr>
        <w:t>(1) </w:t>
      </w:r>
      <w:r>
        <w:rPr/>
        <w:t>该指定可以消除或明显减少由于该金融负债的计量基础不同所导致的相关利得或损失在确认和计量方面不一致的 情况；</w:t>
      </w:r>
      <w:r>
        <w:rPr>
          <w:rFonts w:ascii="Times New Roman" w:hAnsi="Times New Roman" w:cs="Times New Roman" w:eastAsia="Times New Roman" w:hint="default"/>
        </w:rPr>
        <w:t>(2)</w:t>
      </w:r>
      <w:r>
        <w:rPr/>
        <w:t>本集团风险管理或投资策略的正式书面文件已载明，该金融负债所在的的金融负债组合或金融资产和金 融负债组合以公允价值为基础进行管理、评价并向关键管理人员报告；</w:t>
      </w:r>
      <w:r>
        <w:rPr>
          <w:rFonts w:ascii="Times New Roman" w:hAnsi="Times New Roman" w:cs="Times New Roman" w:eastAsia="Times New Roman" w:hint="default"/>
        </w:rPr>
        <w:t>(3)</w:t>
      </w:r>
      <w:r>
        <w:rPr/>
        <w:t>符合条件的包含嵌入衍生工具的混合工 具。</w:t>
      </w:r>
    </w:p>
    <w:p>
      <w:pPr>
        <w:spacing w:line="240" w:lineRule="auto" w:before="13"/>
        <w:rPr>
          <w:rFonts w:ascii="宋体" w:hAnsi="宋体" w:cs="宋体" w:eastAsia="宋体" w:hint="default"/>
          <w:sz w:val="25"/>
          <w:szCs w:val="25"/>
        </w:rPr>
      </w:pPr>
    </w:p>
    <w:p>
      <w:pPr>
        <w:pStyle w:val="BodyText"/>
        <w:spacing w:line="316" w:lineRule="auto"/>
        <w:ind w:right="92"/>
        <w:jc w:val="left"/>
      </w:pPr>
      <w:r>
        <w:rPr>
          <w:spacing w:val="-2"/>
        </w:rPr>
        <w:t>以公允价值计量且其变动计入当期损益的金融负债采用公允价值进行后续计量，公允价值变动形成的利得或损失以</w:t>
      </w:r>
      <w:r>
        <w:rPr>
          <w:spacing w:val="-72"/>
        </w:rPr>
        <w:t> </w:t>
      </w:r>
      <w:r>
        <w:rPr>
          <w:spacing w:val="-72"/>
        </w:rPr>
      </w:r>
      <w:r>
        <w:rPr/>
        <w:t>及与该等金融负债相关的股利和利息支出计入当期损益。</w:t>
      </w:r>
    </w:p>
    <w:p>
      <w:pPr>
        <w:spacing w:line="240" w:lineRule="auto" w:before="5"/>
        <w:rPr>
          <w:rFonts w:ascii="宋体" w:hAnsi="宋体" w:cs="宋体" w:eastAsia="宋体" w:hint="default"/>
          <w:sz w:val="24"/>
          <w:szCs w:val="24"/>
        </w:rPr>
      </w:pPr>
    </w:p>
    <w:p>
      <w:pPr>
        <w:spacing w:before="0"/>
        <w:ind w:left="874" w:right="5193"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8.4.2</w:t>
      </w:r>
      <w:r>
        <w:rPr>
          <w:rFonts w:ascii="宋体" w:hAnsi="宋体" w:cs="宋体" w:eastAsia="宋体" w:hint="default"/>
          <w:i/>
          <w:sz w:val="19"/>
          <w:szCs w:val="19"/>
          <w:u w:val="single" w:color="000000"/>
        </w:rPr>
        <w:t>其他金融负债</w:t>
      </w:r>
      <w:r>
        <w:rPr>
          <w:rFonts w:ascii="宋体" w:hAnsi="宋体" w:cs="宋体" w:eastAsia="宋体" w:hint="default"/>
          <w:i/>
          <w:sz w:val="19"/>
          <w:szCs w:val="19"/>
        </w:rPr>
      </w:r>
      <w:r>
        <w:rPr>
          <w:rFonts w:ascii="宋体" w:hAnsi="宋体" w:cs="宋体" w:eastAsia="宋体" w:hint="default"/>
          <w:sz w:val="19"/>
          <w:szCs w:val="19"/>
        </w:rPr>
      </w:r>
    </w:p>
    <w:p>
      <w:pPr>
        <w:spacing w:line="240" w:lineRule="auto" w:before="3"/>
        <w:rPr>
          <w:rFonts w:ascii="宋体" w:hAnsi="宋体" w:cs="宋体" w:eastAsia="宋体" w:hint="default"/>
          <w:i/>
          <w:sz w:val="25"/>
          <w:szCs w:val="25"/>
        </w:rPr>
      </w:pPr>
    </w:p>
    <w:p>
      <w:pPr>
        <w:pStyle w:val="BodyText"/>
        <w:spacing w:line="319" w:lineRule="auto" w:before="44"/>
        <w:ind w:right="92"/>
        <w:jc w:val="left"/>
      </w:pPr>
      <w:r>
        <w:rPr/>
        <w:t>与在活跃市场中没有报价、公允价值不能可靠计量的权益工具挂钩并须通过交付该权益工具结算的衍生金融负债，</w:t>
      </w:r>
      <w:r>
        <w:rPr>
          <w:spacing w:val="-85"/>
        </w:rPr>
        <w:t> </w:t>
      </w:r>
      <w:r>
        <w:rPr>
          <w:spacing w:val="-85"/>
        </w:rPr>
      </w:r>
      <w:r>
        <w:rPr>
          <w:spacing w:val="-2"/>
        </w:rPr>
        <w:t>按照成本进行后续计量。其他金融负债采用实际利率法，按摊余成本进行后续计量，终止确认或摊销产生的利得或</w:t>
      </w:r>
      <w:r>
        <w:rPr>
          <w:spacing w:val="-74"/>
        </w:rPr>
        <w:t> </w:t>
      </w:r>
      <w:r>
        <w:rPr>
          <w:spacing w:val="-74"/>
        </w:rPr>
      </w:r>
      <w:r>
        <w:rPr/>
        <w:t>损失计入当期损益。</w:t>
      </w:r>
    </w:p>
    <w:p>
      <w:pPr>
        <w:spacing w:line="240" w:lineRule="auto" w:before="2"/>
        <w:rPr>
          <w:rFonts w:ascii="宋体" w:hAnsi="宋体" w:cs="宋体" w:eastAsia="宋体" w:hint="default"/>
          <w:sz w:val="25"/>
          <w:szCs w:val="25"/>
        </w:rPr>
      </w:pPr>
    </w:p>
    <w:p>
      <w:pPr>
        <w:pStyle w:val="BodyText"/>
        <w:spacing w:line="240" w:lineRule="auto"/>
        <w:ind w:right="5193"/>
        <w:jc w:val="left"/>
      </w:pPr>
      <w:r>
        <w:rPr>
          <w:rFonts w:ascii="Times New Roman" w:hAnsi="Times New Roman" w:cs="Times New Roman" w:eastAsia="Times New Roman" w:hint="default"/>
        </w:rPr>
        <w:t>8</w:t>
      </w:r>
      <w:r>
        <w:rPr>
          <w:rFonts w:ascii="Times New Roman" w:hAnsi="Times New Roman" w:cs="Times New Roman" w:eastAsia="Times New Roman" w:hint="default"/>
          <w:u w:val="single" w:color="000000"/>
        </w:rPr>
        <w:t>.5</w:t>
      </w:r>
      <w:r>
        <w:rPr>
          <w:rFonts w:ascii="Times New Roman" w:hAnsi="Times New Roman" w:cs="Times New Roman" w:eastAsia="Times New Roman" w:hint="default"/>
          <w:spacing w:val="26"/>
          <w:u w:val="single" w:color="000000"/>
        </w:rPr>
        <w:t> </w:t>
      </w:r>
      <w:r>
        <w:rPr>
          <w:u w:val="single" w:color="000000"/>
        </w:rPr>
        <w:t>金融负债的终止确认</w:t>
      </w:r>
      <w:r>
        <w:rPr/>
      </w:r>
    </w:p>
    <w:p>
      <w:pPr>
        <w:spacing w:after="0" w:line="240" w:lineRule="auto"/>
        <w:jc w:val="left"/>
        <w:sectPr>
          <w:pgSz w:w="11910" w:h="16840"/>
          <w:pgMar w:header="851" w:footer="979" w:top="1320" w:bottom="1160" w:left="980" w:right="940"/>
        </w:sectPr>
      </w:pPr>
    </w:p>
    <w:p>
      <w:pPr>
        <w:pStyle w:val="BodyText"/>
        <w:spacing w:line="309" w:lineRule="auto" w:before="114"/>
        <w:ind w:right="150"/>
        <w:jc w:val="both"/>
      </w:pPr>
      <w:r>
        <w:rPr>
          <w:spacing w:val="-1"/>
        </w:rPr>
        <w:t>金融负债的现时义务全部或部分已经解除的，才能终止确认该金融负债或其一部分。本集团</w:t>
      </w:r>
      <w:r>
        <w:rPr>
          <w:rFonts w:ascii="Times New Roman" w:hAnsi="Times New Roman" w:cs="Times New Roman" w:eastAsia="Times New Roman" w:hint="default"/>
          <w:spacing w:val="-1"/>
        </w:rPr>
        <w:t>(</w:t>
      </w:r>
      <w:r>
        <w:rPr>
          <w:spacing w:val="-1"/>
        </w:rPr>
        <w:t>债务人</w:t>
      </w:r>
      <w:r>
        <w:rPr>
          <w:rFonts w:ascii="Times New Roman" w:hAnsi="Times New Roman" w:cs="Times New Roman" w:eastAsia="Times New Roman" w:hint="default"/>
          <w:spacing w:val="-1"/>
        </w:rPr>
        <w:t>)</w:t>
      </w:r>
      <w:r>
        <w:rPr>
          <w:spacing w:val="-1"/>
        </w:rPr>
        <w:t>与债权人之间</w:t>
      </w:r>
      <w:r>
        <w:rPr>
          <w:spacing w:val="-61"/>
        </w:rPr>
        <w:t> </w:t>
      </w:r>
      <w:r>
        <w:rPr>
          <w:spacing w:val="-2"/>
        </w:rPr>
        <w:t>签订协议，以承担新金融负债方式替换现存金融负债，且新金融负债与现存金融负债的合同条款实质上不同的，终</w:t>
      </w:r>
      <w:r>
        <w:rPr>
          <w:spacing w:val="-74"/>
        </w:rPr>
        <w:t> </w:t>
      </w:r>
      <w:r>
        <w:rPr>
          <w:spacing w:val="-74"/>
        </w:rPr>
      </w:r>
      <w:r>
        <w:rPr/>
        <w:t>止确认现存金融负债，并同时确认新金融负债。</w:t>
      </w:r>
    </w:p>
    <w:p>
      <w:pPr>
        <w:spacing w:line="240" w:lineRule="auto" w:before="10"/>
        <w:rPr>
          <w:rFonts w:ascii="宋体" w:hAnsi="宋体" w:cs="宋体" w:eastAsia="宋体" w:hint="default"/>
          <w:sz w:val="25"/>
          <w:szCs w:val="25"/>
        </w:rPr>
      </w:pPr>
    </w:p>
    <w:p>
      <w:pPr>
        <w:pStyle w:val="BodyText"/>
        <w:spacing w:line="300" w:lineRule="auto"/>
        <w:ind w:right="189"/>
        <w:jc w:val="both"/>
      </w:pPr>
      <w:r>
        <w:rPr/>
        <w:t>金融负债全部或部分终止确认的，将终止确认部分的账面价值与支付的对价</w:t>
      </w:r>
      <w:r>
        <w:rPr>
          <w:rFonts w:ascii="Times New Roman" w:hAnsi="Times New Roman" w:cs="Times New Roman" w:eastAsia="Times New Roman" w:hint="default"/>
        </w:rPr>
        <w:t>(</w:t>
      </w:r>
      <w:r>
        <w:rPr/>
        <w:t>包括转出的非现金资产或承担的新金 融负债</w:t>
      </w:r>
      <w:r>
        <w:rPr>
          <w:rFonts w:ascii="Times New Roman" w:hAnsi="Times New Roman" w:cs="Times New Roman" w:eastAsia="Times New Roman" w:hint="default"/>
        </w:rPr>
        <w:t>)</w:t>
      </w:r>
      <w:r>
        <w:rPr/>
        <w:t>之间的差额，计入当期损益。</w:t>
      </w:r>
    </w:p>
    <w:p>
      <w:pPr>
        <w:spacing w:line="240" w:lineRule="auto" w:before="11"/>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8.6</w:t>
      </w:r>
      <w:r>
        <w:rPr>
          <w:u w:val="single" w:color="000000"/>
        </w:rPr>
        <w:t>权益工具</w:t>
      </w:r>
      <w:r>
        <w:rPr/>
      </w:r>
    </w:p>
    <w:p>
      <w:pPr>
        <w:spacing w:line="240" w:lineRule="auto" w:before="3"/>
        <w:rPr>
          <w:rFonts w:ascii="宋体" w:hAnsi="宋体" w:cs="宋体" w:eastAsia="宋体" w:hint="default"/>
          <w:sz w:val="25"/>
          <w:szCs w:val="25"/>
        </w:rPr>
      </w:pPr>
    </w:p>
    <w:p>
      <w:pPr>
        <w:pStyle w:val="BodyText"/>
        <w:spacing w:line="316" w:lineRule="auto" w:before="44"/>
        <w:ind w:right="151"/>
        <w:jc w:val="both"/>
      </w:pPr>
      <w:r>
        <w:rPr>
          <w:spacing w:val="-2"/>
        </w:rPr>
        <w:t>权益工具是指能证明拥有本集团在扣除所有负债后的资产中的剩余权益的合同。企业合并中合并方发行权益工具发</w:t>
      </w:r>
      <w:r>
        <w:rPr>
          <w:spacing w:val="-72"/>
        </w:rPr>
        <w:t> </w:t>
      </w:r>
      <w:r>
        <w:rPr>
          <w:spacing w:val="-72"/>
        </w:rPr>
      </w:r>
      <w:r>
        <w:rPr>
          <w:spacing w:val="-2"/>
        </w:rPr>
        <w:t>生的交易费用抵减权益工具的溢价收入，不足抵减的，冲减留存收益。其余权益工具，在发行时收到的对价扣除交</w:t>
      </w:r>
      <w:r>
        <w:rPr>
          <w:spacing w:val="-74"/>
        </w:rPr>
        <w:t> </w:t>
      </w:r>
      <w:r>
        <w:rPr>
          <w:spacing w:val="-74"/>
        </w:rPr>
      </w:r>
      <w:r>
        <w:rPr/>
        <w:t>易费用后增加所有者权益。</w:t>
      </w:r>
    </w:p>
    <w:p>
      <w:pPr>
        <w:spacing w:line="240" w:lineRule="auto" w:before="4"/>
        <w:rPr>
          <w:rFonts w:ascii="宋体" w:hAnsi="宋体" w:cs="宋体" w:eastAsia="宋体" w:hint="default"/>
          <w:sz w:val="25"/>
          <w:szCs w:val="25"/>
        </w:rPr>
      </w:pPr>
    </w:p>
    <w:p>
      <w:pPr>
        <w:pStyle w:val="BodyText"/>
        <w:spacing w:line="300" w:lineRule="auto"/>
        <w:ind w:right="151"/>
        <w:jc w:val="both"/>
      </w:pPr>
      <w:r>
        <w:rPr>
          <w:spacing w:val="-1"/>
        </w:rPr>
        <w:t>本集团对权益工具持有方的各种分配</w:t>
      </w:r>
      <w:r>
        <w:rPr>
          <w:rFonts w:ascii="Times New Roman" w:hAnsi="Times New Roman" w:cs="Times New Roman" w:eastAsia="Times New Roman" w:hint="default"/>
          <w:spacing w:val="-1"/>
        </w:rPr>
        <w:t>(</w:t>
      </w:r>
      <w:r>
        <w:rPr>
          <w:spacing w:val="-1"/>
        </w:rPr>
        <w:t>不包括股票股利</w:t>
      </w:r>
      <w:r>
        <w:rPr>
          <w:rFonts w:ascii="Times New Roman" w:hAnsi="Times New Roman" w:cs="Times New Roman" w:eastAsia="Times New Roman" w:hint="default"/>
          <w:spacing w:val="-1"/>
        </w:rPr>
        <w:t>)</w:t>
      </w:r>
      <w:r>
        <w:rPr>
          <w:spacing w:val="-1"/>
        </w:rPr>
        <w:t>，减少所有者权益。本集团不确认权益工具的公允价值变动</w:t>
      </w:r>
      <w:r>
        <w:rPr>
          <w:spacing w:val="-61"/>
        </w:rPr>
        <w:t> </w:t>
      </w:r>
      <w:r>
        <w:rPr>
          <w:spacing w:val="-61"/>
        </w:rPr>
      </w:r>
      <w:r>
        <w:rPr/>
        <w:t>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4"/>
        <w:spacing w:line="240" w:lineRule="auto" w:before="0"/>
        <w:ind w:left="153" w:right="0"/>
        <w:jc w:val="left"/>
        <w:rPr>
          <w:b w:val="0"/>
          <w:bCs w:val="0"/>
        </w:rPr>
      </w:pPr>
      <w:bookmarkStart w:name="9、应收款项" w:id="83"/>
      <w:bookmarkEnd w:id="83"/>
      <w:r>
        <w:rPr>
          <w:b w:val="0"/>
          <w:bCs w:val="0"/>
        </w:rPr>
      </w:r>
      <w:r>
        <w:rPr>
          <w:rFonts w:ascii="Times New Roman" w:hAnsi="Times New Roman" w:cs="Times New Roman" w:eastAsia="Times New Roman" w:hint="default"/>
        </w:rPr>
        <w:t>9</w:t>
      </w:r>
      <w:r>
        <w:rPr/>
        <w:t>、应收款项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单项金额重大并单独计提坏账准备的应收款项" w:id="84"/>
      <w:bookmarkEnd w:id="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万元以上的应收账款确认为单项</w:t>
            </w:r>
          </w:p>
          <w:p>
            <w:pPr>
              <w:pStyle w:val="TableParagraph"/>
              <w:spacing w:line="302" w:lineRule="auto" w:before="63"/>
              <w:ind w:left="23" w:right="68"/>
              <w:jc w:val="left"/>
              <w:rPr>
                <w:rFonts w:ascii="宋体" w:hAnsi="宋体" w:cs="宋体" w:eastAsia="宋体" w:hint="default"/>
                <w:sz w:val="18"/>
                <w:szCs w:val="18"/>
              </w:rPr>
            </w:pPr>
            <w:r>
              <w:rPr>
                <w:rFonts w:ascii="宋体" w:hAnsi="宋体" w:cs="宋体" w:eastAsia="宋体" w:hint="default"/>
                <w:sz w:val="18"/>
                <w:szCs w:val="18"/>
              </w:rPr>
              <w:t>金额重大的应收款项；本集团将金额为人民币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的其他应收款确认为单项金额重大的应收款项。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6"/>
        <w:rPr>
          <w:rFonts w:ascii="宋体" w:hAnsi="宋体" w:cs="宋体" w:eastAsia="宋体" w:hint="default"/>
          <w:b/>
          <w:bCs/>
          <w:sz w:val="20"/>
          <w:szCs w:val="20"/>
        </w:rPr>
      </w:pPr>
    </w:p>
    <w:p>
      <w:pPr>
        <w:pStyle w:val="Heading4"/>
        <w:spacing w:line="240" w:lineRule="auto"/>
        <w:ind w:right="0"/>
        <w:jc w:val="left"/>
        <w:rPr>
          <w:b w:val="0"/>
          <w:bCs w:val="0"/>
        </w:rPr>
      </w:pPr>
      <w:bookmarkStart w:name="（2）按信用风险特征组合计提坏账准备的应收款项" w:id="85"/>
      <w:bookmarkEnd w:id="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0"/>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组合中，采用账龄分析法计提坏账准备的：</w:t>
      </w:r>
    </w:p>
    <w:p>
      <w:pPr>
        <w:pStyle w:val="BodyText"/>
        <w:spacing w:line="338" w:lineRule="auto" w:before="117"/>
        <w:ind w:left="153"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338" w:lineRule="auto" w:before="42"/>
        <w:ind w:left="153"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20" w:bottom="1160" w:left="980" w:right="980"/>
        </w:sectPr>
      </w:pPr>
    </w:p>
    <w:p>
      <w:pPr>
        <w:pStyle w:val="Heading4"/>
        <w:spacing w:line="240" w:lineRule="auto" w:before="114"/>
        <w:ind w:right="0"/>
        <w:jc w:val="left"/>
        <w:rPr>
          <w:b w:val="0"/>
          <w:bCs w:val="0"/>
        </w:rPr>
      </w:pPr>
      <w:bookmarkStart w:name="（3）单项金额上重大但单独计提坏账准备的应收款项" w:id="86"/>
      <w:bookmarkEnd w:id="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识别出存在发生减值的客观证据</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根据预计未来可收回金额个别认定法</w:t>
            </w:r>
          </w:p>
        </w:tc>
      </w:tr>
    </w:tbl>
    <w:p>
      <w:pPr>
        <w:spacing w:line="240" w:lineRule="auto" w:before="6"/>
        <w:rPr>
          <w:rFonts w:ascii="宋体" w:hAnsi="宋体" w:cs="宋体" w:eastAsia="宋体" w:hint="default"/>
          <w:b/>
          <w:bCs/>
          <w:sz w:val="20"/>
          <w:szCs w:val="20"/>
        </w:rPr>
      </w:pPr>
    </w:p>
    <w:p>
      <w:pPr>
        <w:pStyle w:val="Heading4"/>
        <w:spacing w:line="240" w:lineRule="auto"/>
        <w:ind w:right="0"/>
        <w:jc w:val="left"/>
        <w:rPr>
          <w:b w:val="0"/>
          <w:bCs w:val="0"/>
        </w:rPr>
      </w:pPr>
      <w:bookmarkStart w:name="10、存货" w:id="87"/>
      <w:bookmarkEnd w:id="87"/>
      <w:r>
        <w:rPr>
          <w:b w:val="0"/>
          <w:bCs w:val="0"/>
        </w:rPr>
      </w:r>
      <w:r>
        <w:rPr>
          <w:rFonts w:ascii="Times New Roman" w:hAnsi="Times New Roman" w:cs="Times New Roman" w:eastAsia="Times New Roman" w:hint="default"/>
        </w:rPr>
        <w:t>10</w:t>
      </w:r>
      <w:r>
        <w:rPr/>
        <w:t>、存货</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10.1</w:t>
      </w:r>
      <w:r>
        <w:rPr>
          <w:u w:val="single" w:color="000000"/>
        </w:rPr>
        <w:t>存货的分类</w:t>
      </w:r>
      <w:r>
        <w:rPr/>
      </w:r>
    </w:p>
    <w:p>
      <w:pPr>
        <w:spacing w:line="240" w:lineRule="auto" w:before="3"/>
        <w:rPr>
          <w:rFonts w:ascii="宋体" w:hAnsi="宋体" w:cs="宋体" w:eastAsia="宋体" w:hint="default"/>
          <w:sz w:val="25"/>
          <w:szCs w:val="25"/>
        </w:rPr>
      </w:pPr>
    </w:p>
    <w:p>
      <w:pPr>
        <w:pStyle w:val="BodyText"/>
        <w:spacing w:line="316" w:lineRule="auto" w:before="44"/>
        <w:ind w:right="0"/>
        <w:jc w:val="left"/>
      </w:pPr>
      <w:r>
        <w:rPr>
          <w:spacing w:val="-2"/>
        </w:rPr>
        <w:t>本集团的存货主要包括库存商品和发出商品等。按成本进行初始计量，存货成本包括采购成本、加工成本和其他使</w:t>
      </w:r>
      <w:r>
        <w:rPr>
          <w:spacing w:val="-74"/>
        </w:rPr>
        <w:t> </w:t>
      </w:r>
      <w:r>
        <w:rPr>
          <w:spacing w:val="-74"/>
        </w:rPr>
      </w:r>
      <w:r>
        <w:rPr/>
        <w:t>存货达到目前场所和状态所发生的支出。</w:t>
      </w:r>
    </w:p>
    <w:p>
      <w:pPr>
        <w:spacing w:line="240" w:lineRule="auto" w:before="4"/>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10.2</w:t>
      </w:r>
      <w:r>
        <w:rPr>
          <w:rFonts w:ascii="Times New Roman" w:hAnsi="Times New Roman" w:cs="Times New Roman" w:eastAsia="Times New Roman" w:hint="default"/>
          <w:spacing w:val="26"/>
          <w:u w:val="single" w:color="000000"/>
        </w:rPr>
        <w:t> </w:t>
      </w:r>
      <w:r>
        <w:rPr>
          <w:u w:val="single" w:color="000000"/>
        </w:rPr>
        <w:t>发出存货的计价方法</w:t>
      </w:r>
      <w:r>
        <w:rPr/>
      </w:r>
    </w:p>
    <w:p>
      <w:pPr>
        <w:spacing w:line="240" w:lineRule="auto" w:before="3"/>
        <w:rPr>
          <w:rFonts w:ascii="宋体" w:hAnsi="宋体" w:cs="宋体" w:eastAsia="宋体" w:hint="default"/>
          <w:sz w:val="25"/>
          <w:szCs w:val="25"/>
        </w:rPr>
      </w:pPr>
    </w:p>
    <w:p>
      <w:pPr>
        <w:pStyle w:val="BodyText"/>
        <w:spacing w:line="240" w:lineRule="auto" w:before="44"/>
        <w:ind w:right="0"/>
        <w:jc w:val="left"/>
      </w:pPr>
      <w:r>
        <w:rPr/>
        <w:t>存货发出时，采用加权平均法确定发出存货的实际成本。</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10.3</w:t>
      </w:r>
      <w:r>
        <w:rPr>
          <w:rFonts w:ascii="Times New Roman" w:hAnsi="Times New Roman" w:cs="Times New Roman" w:eastAsia="Times New Roman" w:hint="default"/>
          <w:spacing w:val="26"/>
          <w:u w:val="single" w:color="000000"/>
        </w:rPr>
        <w:t> </w:t>
      </w:r>
      <w:r>
        <w:rPr>
          <w:u w:val="single" w:color="000000"/>
        </w:rPr>
        <w:t>存货可变现净值的确定依据及存货跌价准备的计提方法</w:t>
      </w:r>
      <w:r>
        <w:rPr/>
      </w:r>
    </w:p>
    <w:p>
      <w:pPr>
        <w:spacing w:line="240" w:lineRule="auto" w:before="3"/>
        <w:rPr>
          <w:rFonts w:ascii="宋体" w:hAnsi="宋体" w:cs="宋体" w:eastAsia="宋体" w:hint="default"/>
          <w:sz w:val="25"/>
          <w:szCs w:val="25"/>
        </w:rPr>
      </w:pPr>
    </w:p>
    <w:p>
      <w:pPr>
        <w:pStyle w:val="BodyText"/>
        <w:spacing w:line="316" w:lineRule="auto" w:before="44"/>
        <w:ind w:right="152"/>
        <w:jc w:val="both"/>
      </w:pPr>
      <w:r>
        <w:rPr/>
        <w:t>资产负债表日，存货按照成本与可变现净值孰低计量。当其可变现净值低于成本时，提取存货跌价准备。 存货按单个存货项目的成本高于其可变现净值的差额提取存货跌价准备。</w:t>
      </w:r>
    </w:p>
    <w:p>
      <w:pPr>
        <w:spacing w:line="240" w:lineRule="auto" w:before="4"/>
        <w:rPr>
          <w:rFonts w:ascii="宋体" w:hAnsi="宋体" w:cs="宋体" w:eastAsia="宋体" w:hint="default"/>
          <w:sz w:val="25"/>
          <w:szCs w:val="25"/>
        </w:rPr>
      </w:pPr>
    </w:p>
    <w:p>
      <w:pPr>
        <w:pStyle w:val="BodyText"/>
        <w:spacing w:line="319" w:lineRule="auto"/>
        <w:ind w:right="151"/>
        <w:jc w:val="both"/>
      </w:pPr>
      <w:r>
        <w:rPr>
          <w:spacing w:val="-2"/>
        </w:rPr>
        <w:t>计提存货跌价准备后，如果以前减记存货价值的影响因素已经消失，导致存货的可变现净值高于其账面价值的，在</w:t>
      </w:r>
      <w:r>
        <w:rPr>
          <w:spacing w:val="-74"/>
        </w:rPr>
        <w:t> </w:t>
      </w:r>
      <w:r>
        <w:rPr>
          <w:spacing w:val="-74"/>
        </w:rPr>
      </w:r>
      <w:r>
        <w:rPr/>
        <w:t>原已计提的存货跌价准备金额内予以转回，转回的金额计入当期损益。</w:t>
      </w:r>
    </w:p>
    <w:p>
      <w:pPr>
        <w:spacing w:line="240" w:lineRule="auto" w:before="2"/>
        <w:rPr>
          <w:rFonts w:ascii="宋体" w:hAnsi="宋体" w:cs="宋体" w:eastAsia="宋体" w:hint="default"/>
          <w:sz w:val="25"/>
          <w:szCs w:val="25"/>
        </w:rPr>
      </w:pPr>
    </w:p>
    <w:p>
      <w:pPr>
        <w:pStyle w:val="BodyText"/>
        <w:spacing w:line="316" w:lineRule="auto"/>
        <w:ind w:right="151"/>
        <w:jc w:val="both"/>
      </w:pPr>
      <w:r>
        <w:rPr>
          <w:spacing w:val="-2"/>
        </w:rPr>
        <w:t>可变现净值是指在日常活动中，存货的估计售价减去至完工时估计将要发生的成本、估计的销售费用以及相关税费</w:t>
      </w:r>
      <w:r>
        <w:rPr>
          <w:spacing w:val="-72"/>
        </w:rPr>
        <w:t> </w:t>
      </w:r>
      <w:r>
        <w:rPr>
          <w:spacing w:val="-72"/>
        </w:rPr>
      </w:r>
      <w:r>
        <w:rPr>
          <w:spacing w:val="-2"/>
        </w:rPr>
        <w:t>后的金额。在确定存货的可变现净值时，以取得的确凿证据为基础，同时考虑持有存货的目的以及资产负债表日后</w:t>
      </w:r>
      <w:r>
        <w:rPr>
          <w:spacing w:val="-74"/>
        </w:rPr>
        <w:t> </w:t>
      </w:r>
      <w:r>
        <w:rPr>
          <w:spacing w:val="-74"/>
        </w:rPr>
      </w:r>
      <w:r>
        <w:rPr/>
        <w:t>事项的影响。</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10.4</w:t>
      </w:r>
      <w:r>
        <w:rPr>
          <w:u w:val="single" w:color="000000"/>
        </w:rPr>
        <w:t>存货的盘存制度</w:t>
      </w:r>
      <w:r>
        <w:rPr/>
      </w:r>
    </w:p>
    <w:p>
      <w:pPr>
        <w:spacing w:line="240" w:lineRule="auto" w:before="3"/>
        <w:rPr>
          <w:rFonts w:ascii="宋体" w:hAnsi="宋体" w:cs="宋体" w:eastAsia="宋体" w:hint="default"/>
          <w:sz w:val="25"/>
          <w:szCs w:val="25"/>
        </w:rPr>
      </w:pPr>
    </w:p>
    <w:p>
      <w:pPr>
        <w:pStyle w:val="BodyText"/>
        <w:spacing w:line="240" w:lineRule="auto" w:before="44"/>
        <w:ind w:right="0"/>
        <w:jc w:val="left"/>
      </w:pPr>
      <w:r>
        <w:rPr/>
        <w:t>存货盘存制度为永续盘存制。</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10.5</w:t>
      </w:r>
      <w:r>
        <w:rPr>
          <w:u w:val="single" w:color="000000"/>
        </w:rPr>
        <w:t>低值易耗品和包装物的摊销方法</w:t>
      </w:r>
      <w:r>
        <w:rPr/>
      </w:r>
    </w:p>
    <w:p>
      <w:pPr>
        <w:spacing w:line="240" w:lineRule="auto" w:before="3"/>
        <w:rPr>
          <w:rFonts w:ascii="宋体" w:hAnsi="宋体" w:cs="宋体" w:eastAsia="宋体" w:hint="default"/>
          <w:sz w:val="25"/>
          <w:szCs w:val="25"/>
        </w:rPr>
      </w:pPr>
    </w:p>
    <w:p>
      <w:pPr>
        <w:pStyle w:val="BodyText"/>
        <w:spacing w:line="316" w:lineRule="auto" w:before="44"/>
        <w:ind w:right="0"/>
        <w:jc w:val="left"/>
      </w:pPr>
      <w:r>
        <w:rPr>
          <w:spacing w:val="-2"/>
        </w:rPr>
        <w:t>周转材料为能够多次使用、逐渐转移其价值但仍保持原有形态但未确认为固定资产的材料，包括包装物、低值易耗</w:t>
      </w:r>
      <w:r>
        <w:rPr>
          <w:spacing w:val="-74"/>
        </w:rPr>
        <w:t> </w:t>
      </w:r>
      <w:r>
        <w:rPr>
          <w:spacing w:val="-74"/>
        </w:rPr>
      </w:r>
      <w:r>
        <w:rPr/>
        <w:t>品和其他周转材料等。</w:t>
      </w:r>
    </w:p>
    <w:p>
      <w:pPr>
        <w:spacing w:line="240" w:lineRule="auto" w:before="4"/>
        <w:rPr>
          <w:rFonts w:ascii="宋体" w:hAnsi="宋体" w:cs="宋体" w:eastAsia="宋体" w:hint="default"/>
          <w:sz w:val="25"/>
          <w:szCs w:val="25"/>
        </w:rPr>
      </w:pPr>
    </w:p>
    <w:p>
      <w:pPr>
        <w:pStyle w:val="BodyText"/>
        <w:spacing w:line="636" w:lineRule="auto"/>
        <w:ind w:right="5992"/>
        <w:jc w:val="left"/>
      </w:pPr>
      <w:r>
        <w:rPr/>
        <w:t>低值易耗品采用一次转销法进行摊销。 包装物采用一次转销法进行摊销。</w:t>
      </w:r>
    </w:p>
    <w:p>
      <w:pPr>
        <w:spacing w:after="0" w:line="636" w:lineRule="auto"/>
        <w:jc w:val="left"/>
        <w:sectPr>
          <w:pgSz w:w="11910" w:h="16840"/>
          <w:pgMar w:header="851" w:footer="979" w:top="1320" w:bottom="1160" w:left="980" w:right="980"/>
        </w:sectPr>
      </w:pPr>
    </w:p>
    <w:p>
      <w:pPr>
        <w:pStyle w:val="Heading4"/>
        <w:spacing w:line="240" w:lineRule="auto" w:before="116"/>
        <w:ind w:right="0"/>
        <w:jc w:val="left"/>
        <w:rPr>
          <w:b w:val="0"/>
          <w:bCs w:val="0"/>
        </w:rPr>
      </w:pPr>
      <w:bookmarkStart w:name="11、长期股权投资" w:id="88"/>
      <w:bookmarkEnd w:id="88"/>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11.1</w:t>
      </w:r>
      <w:r>
        <w:rPr>
          <w:u w:val="single" w:color="000000"/>
        </w:rPr>
        <w:t>共同控制、重要影响的判断标准</w:t>
      </w:r>
      <w:r>
        <w:rPr/>
      </w:r>
    </w:p>
    <w:p>
      <w:pPr>
        <w:spacing w:line="240" w:lineRule="auto" w:before="4"/>
        <w:rPr>
          <w:rFonts w:ascii="宋体" w:hAnsi="宋体" w:cs="宋体" w:eastAsia="宋体" w:hint="default"/>
          <w:sz w:val="25"/>
          <w:szCs w:val="25"/>
        </w:rPr>
      </w:pPr>
    </w:p>
    <w:p>
      <w:pPr>
        <w:pStyle w:val="BodyText"/>
        <w:spacing w:line="316" w:lineRule="auto" w:before="44"/>
        <w:ind w:right="151"/>
        <w:jc w:val="both"/>
      </w:pPr>
      <w:r>
        <w:rPr>
          <w:spacing w:val="-2"/>
        </w:rPr>
        <w:t>控制是指投资方拥有对被投资方的权利，通过参与被投资方的相关活动而享有可变回报，并且有能力运用对被投资</w:t>
      </w:r>
      <w:r>
        <w:rPr>
          <w:spacing w:val="-72"/>
        </w:rPr>
        <w:t> </w:t>
      </w:r>
      <w:r>
        <w:rPr>
          <w:spacing w:val="-72"/>
        </w:rPr>
      </w:r>
      <w:r>
        <w:rPr>
          <w:spacing w:val="-2"/>
        </w:rPr>
        <w:t>方的权力影响其回报金额。共同控制是指按照相关约定对某项安排所共有的控制，并且该安排的相关活动必须经过</w:t>
      </w:r>
      <w:r>
        <w:rPr>
          <w:spacing w:val="-72"/>
        </w:rPr>
        <w:t> </w:t>
      </w:r>
      <w:r>
        <w:rPr>
          <w:spacing w:val="-72"/>
        </w:rPr>
      </w:r>
      <w:r>
        <w:rPr>
          <w:spacing w:val="-2"/>
        </w:rPr>
        <w:t>分享控制权的参与方一致同意后才能决策。重大影响是指对被投资方的财务和经营政策有参与决策的权力，但并不</w:t>
      </w:r>
      <w:r>
        <w:rPr>
          <w:spacing w:val="-72"/>
        </w:rPr>
        <w:t> </w:t>
      </w:r>
      <w:r>
        <w:rPr>
          <w:spacing w:val="-72"/>
        </w:rPr>
      </w:r>
      <w:r>
        <w:rPr>
          <w:spacing w:val="-2"/>
        </w:rPr>
        <w:t>能控制或者与其他一方共同控制这些政策的制定。在确定能否对被投资单位实施控制或施加重大影响时，已考虑投</w:t>
      </w:r>
      <w:r>
        <w:rPr>
          <w:spacing w:val="-72"/>
        </w:rPr>
        <w:t> </w:t>
      </w:r>
      <w:r>
        <w:rPr>
          <w:spacing w:val="-72"/>
        </w:rPr>
      </w:r>
      <w:r>
        <w:rPr/>
        <w:t>资方和其他方持有的被投资单位当期可转换公司债券、当期可执行认股权证等潜在表决权因素。</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11.2</w:t>
      </w:r>
      <w:r>
        <w:rPr>
          <w:u w:val="single" w:color="000000"/>
        </w:rPr>
        <w:t>初始投资成本的确定</w:t>
      </w:r>
      <w:r>
        <w:rPr/>
      </w:r>
    </w:p>
    <w:p>
      <w:pPr>
        <w:spacing w:line="240" w:lineRule="auto" w:before="3"/>
        <w:rPr>
          <w:rFonts w:ascii="宋体" w:hAnsi="宋体" w:cs="宋体" w:eastAsia="宋体" w:hint="default"/>
          <w:sz w:val="25"/>
          <w:szCs w:val="25"/>
        </w:rPr>
      </w:pPr>
    </w:p>
    <w:p>
      <w:pPr>
        <w:pStyle w:val="BodyText"/>
        <w:spacing w:line="316" w:lineRule="auto" w:before="44"/>
        <w:ind w:right="151"/>
        <w:jc w:val="both"/>
      </w:pPr>
      <w:r>
        <w:rPr>
          <w:spacing w:val="-2"/>
        </w:rPr>
        <w:t>对于同一控制下的企业合并取得的长期股权投资，在合并日按照被合并方所有者权益在最终控制方合并财务报表中</w:t>
      </w:r>
      <w:r>
        <w:rPr>
          <w:spacing w:val="-72"/>
        </w:rPr>
        <w:t> </w:t>
      </w:r>
      <w:r>
        <w:rPr>
          <w:spacing w:val="-72"/>
        </w:rPr>
      </w:r>
      <w:r>
        <w:rPr>
          <w:spacing w:val="-2"/>
        </w:rPr>
        <w:t>的账面价值的份额作为长期股权投资的初始投资成本。长期股权投资初始投资成本与支付的现金、转让的非现金资</w:t>
      </w:r>
      <w:r>
        <w:rPr>
          <w:spacing w:val="-72"/>
        </w:rPr>
        <w:t> </w:t>
      </w:r>
      <w:r>
        <w:rPr>
          <w:spacing w:val="-72"/>
        </w:rPr>
      </w:r>
      <w:r>
        <w:rPr>
          <w:spacing w:val="-2"/>
        </w:rPr>
        <w:t>产以及所承担债务账面价值的差额，调整资本公积；资本公积不足冲减的，调整留存收益。以发行权益性证券作为</w:t>
      </w:r>
      <w:r>
        <w:rPr>
          <w:spacing w:val="-74"/>
        </w:rPr>
        <w:t> </w:t>
      </w:r>
      <w:r>
        <w:rPr>
          <w:spacing w:val="-74"/>
        </w:rPr>
      </w:r>
      <w:r>
        <w:rPr>
          <w:spacing w:val="-2"/>
        </w:rPr>
        <w:t>合并对价的，在合并日按照被合并方所有者权益在最终控制方合并财务报表中的账面价值的份额作为长期股权投资</w:t>
      </w:r>
      <w:r>
        <w:rPr>
          <w:spacing w:val="-72"/>
        </w:rPr>
        <w:t> </w:t>
      </w:r>
      <w:r>
        <w:rPr>
          <w:spacing w:val="-72"/>
        </w:rPr>
      </w:r>
      <w:r>
        <w:rPr>
          <w:spacing w:val="-2"/>
        </w:rPr>
        <w:t>的初始投资成本，按照发行股份的面值总额作为股本，长期股权投资初始投资成本与所发行股份面值总额之间的差</w:t>
      </w:r>
      <w:r>
        <w:rPr>
          <w:spacing w:val="-72"/>
        </w:rPr>
        <w:t> </w:t>
      </w:r>
      <w:r>
        <w:rPr>
          <w:spacing w:val="-72"/>
        </w:rPr>
      </w:r>
      <w:r>
        <w:rPr/>
        <w:t>额，调整资本公积；资本公积不足冲减的，调整留存收益。</w:t>
      </w:r>
    </w:p>
    <w:p>
      <w:pPr>
        <w:spacing w:line="240" w:lineRule="auto" w:before="4"/>
        <w:rPr>
          <w:rFonts w:ascii="宋体" w:hAnsi="宋体" w:cs="宋体" w:eastAsia="宋体" w:hint="default"/>
          <w:sz w:val="25"/>
          <w:szCs w:val="25"/>
        </w:rPr>
      </w:pPr>
    </w:p>
    <w:p>
      <w:pPr>
        <w:pStyle w:val="BodyText"/>
        <w:spacing w:line="316" w:lineRule="auto"/>
        <w:ind w:right="952"/>
        <w:jc w:val="left"/>
      </w:pPr>
      <w:r>
        <w:rPr/>
        <w:t>对于非同一控制下的企业合并取得的长期股权投资，在购买日按照合并成本作为长期股权投资的初始投 资成本。</w:t>
      </w:r>
    </w:p>
    <w:p>
      <w:pPr>
        <w:spacing w:line="240" w:lineRule="auto" w:before="4"/>
        <w:rPr>
          <w:rFonts w:ascii="宋体" w:hAnsi="宋体" w:cs="宋体" w:eastAsia="宋体" w:hint="default"/>
          <w:sz w:val="25"/>
          <w:szCs w:val="25"/>
        </w:rPr>
      </w:pPr>
    </w:p>
    <w:p>
      <w:pPr>
        <w:pStyle w:val="BodyText"/>
        <w:spacing w:line="316" w:lineRule="auto"/>
        <w:ind w:right="151"/>
        <w:jc w:val="both"/>
      </w:pPr>
      <w:r>
        <w:rPr/>
        <w:t>合并方或购买方为企业合并发生的审计、法律服务、评估咨询等中介费用以及其他相关管理费用，于发 生时计入当期损益。</w:t>
      </w:r>
    </w:p>
    <w:p>
      <w:pPr>
        <w:spacing w:line="240" w:lineRule="auto" w:before="4"/>
        <w:rPr>
          <w:rFonts w:ascii="宋体" w:hAnsi="宋体" w:cs="宋体" w:eastAsia="宋体" w:hint="default"/>
          <w:sz w:val="25"/>
          <w:szCs w:val="25"/>
        </w:rPr>
      </w:pPr>
    </w:p>
    <w:p>
      <w:pPr>
        <w:pStyle w:val="BodyText"/>
        <w:spacing w:line="309" w:lineRule="auto"/>
        <w:ind w:right="151"/>
        <w:jc w:val="both"/>
      </w:pPr>
      <w:r>
        <w:rPr>
          <w:spacing w:val="-2"/>
        </w:rPr>
        <w:t>除企业合并形成的长期股权投资外其他方式取得的长期股权投资，按成本进行初始计量。对于因追加投资能够对被</w:t>
      </w:r>
      <w:r>
        <w:rPr>
          <w:spacing w:val="-72"/>
        </w:rPr>
        <w:t> </w:t>
      </w:r>
      <w:r>
        <w:rPr>
          <w:spacing w:val="-72"/>
        </w:rPr>
      </w:r>
      <w:r>
        <w:rPr/>
        <w:t>投资单位实施重大影响或实施共同控制但不构成控制的，长期股权投资成本为按照《企业会计准则第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金融</w:t>
      </w:r>
      <w:r>
        <w:rPr>
          <w:spacing w:val="-2"/>
        </w:rPr>
        <w:t> </w:t>
      </w:r>
      <w:r>
        <w:rPr/>
        <w:t>工具确认和计量》确定的原持有股权投资的公允价值加上新增投资成本之和。</w:t>
      </w:r>
    </w:p>
    <w:p>
      <w:pPr>
        <w:spacing w:line="240" w:lineRule="auto" w:before="9"/>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11.3</w:t>
      </w:r>
      <w:r>
        <w:rPr>
          <w:u w:val="single" w:color="000000"/>
        </w:rPr>
        <w:t>后续计量及损益确认方法</w:t>
      </w:r>
      <w:r>
        <w:rPr/>
      </w:r>
    </w:p>
    <w:p>
      <w:pPr>
        <w:spacing w:line="240" w:lineRule="auto" w:before="8"/>
        <w:rPr>
          <w:rFonts w:ascii="宋体" w:hAnsi="宋体" w:cs="宋体" w:eastAsia="宋体" w:hint="default"/>
          <w:sz w:val="24"/>
          <w:szCs w:val="24"/>
        </w:rPr>
      </w:pPr>
    </w:p>
    <w:p>
      <w:pPr>
        <w:spacing w:before="41"/>
        <w:ind w:left="874" w:right="0"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113.1</w:t>
      </w:r>
      <w:r>
        <w:rPr>
          <w:rFonts w:ascii="宋体" w:hAnsi="宋体" w:cs="宋体" w:eastAsia="宋体" w:hint="default"/>
          <w:i/>
          <w:sz w:val="19"/>
          <w:szCs w:val="19"/>
          <w:u w:val="single" w:color="000000"/>
        </w:rPr>
        <w:t>成本法核算的长期股权投资</w:t>
      </w:r>
      <w:r>
        <w:rPr>
          <w:rFonts w:ascii="宋体" w:hAnsi="宋体" w:cs="宋体" w:eastAsia="宋体" w:hint="default"/>
          <w:i/>
          <w:sz w:val="19"/>
          <w:szCs w:val="19"/>
        </w:rPr>
      </w:r>
      <w:r>
        <w:rPr>
          <w:rFonts w:ascii="宋体" w:hAnsi="宋体" w:cs="宋体" w:eastAsia="宋体" w:hint="default"/>
          <w:sz w:val="19"/>
          <w:szCs w:val="19"/>
        </w:rPr>
      </w:r>
    </w:p>
    <w:p>
      <w:pPr>
        <w:spacing w:line="240" w:lineRule="auto" w:before="3"/>
        <w:rPr>
          <w:rFonts w:ascii="宋体" w:hAnsi="宋体" w:cs="宋体" w:eastAsia="宋体" w:hint="default"/>
          <w:i/>
          <w:sz w:val="25"/>
          <w:szCs w:val="25"/>
        </w:rPr>
      </w:pPr>
    </w:p>
    <w:p>
      <w:pPr>
        <w:pStyle w:val="BodyText"/>
        <w:spacing w:line="316" w:lineRule="auto" w:before="44"/>
        <w:ind w:right="952"/>
        <w:jc w:val="left"/>
      </w:pPr>
      <w:r>
        <w:rPr/>
        <w:t>公司财务报表采用成本法核算对子公司的长期股权投资。子公司是指本集团能够对其实施控制的被投资 主体。</w:t>
      </w:r>
    </w:p>
    <w:p>
      <w:pPr>
        <w:spacing w:line="240" w:lineRule="auto" w:before="4"/>
        <w:rPr>
          <w:rFonts w:ascii="宋体" w:hAnsi="宋体" w:cs="宋体" w:eastAsia="宋体" w:hint="default"/>
          <w:sz w:val="25"/>
          <w:szCs w:val="25"/>
        </w:rPr>
      </w:pPr>
    </w:p>
    <w:p>
      <w:pPr>
        <w:pStyle w:val="BodyText"/>
        <w:spacing w:line="316" w:lineRule="auto"/>
        <w:ind w:right="952"/>
        <w:jc w:val="left"/>
      </w:pPr>
      <w:r>
        <w:rPr/>
        <w:t>采用成本法核算的长期股权投资按初始投资成本计价。追加或收回投资调整长期股权投资的成本。当期 投资收益按照享有被投资单位宣告发放的现金股利或利润确认。</w:t>
      </w:r>
    </w:p>
    <w:p>
      <w:pPr>
        <w:spacing w:line="240" w:lineRule="auto" w:before="5"/>
        <w:rPr>
          <w:rFonts w:ascii="宋体" w:hAnsi="宋体" w:cs="宋体" w:eastAsia="宋体" w:hint="default"/>
          <w:sz w:val="24"/>
          <w:szCs w:val="24"/>
        </w:rPr>
      </w:pPr>
    </w:p>
    <w:p>
      <w:pPr>
        <w:spacing w:before="0"/>
        <w:ind w:left="874" w:right="0"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11.3.2</w:t>
      </w:r>
      <w:r>
        <w:rPr>
          <w:rFonts w:ascii="宋体" w:hAnsi="宋体" w:cs="宋体" w:eastAsia="宋体" w:hint="default"/>
          <w:i/>
          <w:sz w:val="19"/>
          <w:szCs w:val="19"/>
          <w:u w:val="single" w:color="000000"/>
        </w:rPr>
        <w:t>权益法核算的长期股权投资</w:t>
      </w:r>
      <w:r>
        <w:rPr>
          <w:rFonts w:ascii="宋体" w:hAnsi="宋体" w:cs="宋体" w:eastAsia="宋体" w:hint="default"/>
          <w:i/>
          <w:sz w:val="19"/>
          <w:szCs w:val="19"/>
        </w:rPr>
      </w:r>
      <w:r>
        <w:rPr>
          <w:rFonts w:ascii="宋体" w:hAnsi="宋体" w:cs="宋体" w:eastAsia="宋体" w:hint="default"/>
          <w:sz w:val="19"/>
          <w:szCs w:val="19"/>
        </w:rPr>
      </w:r>
    </w:p>
    <w:p>
      <w:pPr>
        <w:spacing w:line="240" w:lineRule="auto" w:before="4"/>
        <w:rPr>
          <w:rFonts w:ascii="宋体" w:hAnsi="宋体" w:cs="宋体" w:eastAsia="宋体" w:hint="default"/>
          <w:i/>
          <w:sz w:val="25"/>
          <w:szCs w:val="25"/>
        </w:rPr>
      </w:pPr>
    </w:p>
    <w:p>
      <w:pPr>
        <w:pStyle w:val="BodyText"/>
        <w:spacing w:line="316" w:lineRule="auto" w:before="44"/>
        <w:ind w:right="952"/>
        <w:jc w:val="left"/>
      </w:pPr>
      <w:r>
        <w:rPr/>
        <w:t>本集团对联营企业和合营企业的投资采用权益法核算。联营企业是指本集团能够对其施加重大影响的被 投资单位，合营企业是指本集团仅对该安排的净资产享有权利的合营安排。</w:t>
      </w:r>
    </w:p>
    <w:p>
      <w:pPr>
        <w:spacing w:after="0" w:line="316" w:lineRule="auto"/>
        <w:jc w:val="left"/>
        <w:sectPr>
          <w:pgSz w:w="11910" w:h="16840"/>
          <w:pgMar w:header="851" w:footer="979" w:top="1320" w:bottom="1160" w:left="980" w:right="980"/>
        </w:sectPr>
      </w:pPr>
    </w:p>
    <w:p>
      <w:pPr>
        <w:pStyle w:val="BodyText"/>
        <w:spacing w:line="316" w:lineRule="auto" w:before="114"/>
        <w:ind w:right="1011"/>
        <w:jc w:val="both"/>
      </w:pPr>
      <w:r>
        <w:rPr/>
        <w:t>采用权益法核算时，长期股权投资的初始投资成本大于投资时应享有被投资单位可辨认净资产公允价值 份额的，不调整长期股权投资的初始投资成本；初始投资成本小于投资时应享有被投资单位可辨认净资 产公允价值份额的，其差额计入当期损益，同时调整长期股权投资的成本。</w:t>
      </w:r>
    </w:p>
    <w:p>
      <w:pPr>
        <w:spacing w:line="240" w:lineRule="auto" w:before="4"/>
        <w:rPr>
          <w:rFonts w:ascii="宋体" w:hAnsi="宋体" w:cs="宋体" w:eastAsia="宋体" w:hint="default"/>
          <w:sz w:val="25"/>
          <w:szCs w:val="25"/>
        </w:rPr>
      </w:pPr>
    </w:p>
    <w:p>
      <w:pPr>
        <w:pStyle w:val="BodyText"/>
        <w:spacing w:line="316" w:lineRule="auto"/>
        <w:ind w:right="1009"/>
        <w:jc w:val="both"/>
      </w:pPr>
      <w:r>
        <w:rPr/>
        <w:t>采用权益法核算时，按照应享有或应分担的被投资单位实现的净损益和其他综合收益的份额，分别确认 投资收益和其他综合收益，同时调整长期股权投资的账面价值；按照被投资单位宣告分派的利润或现金 股利计算应享有的部分，相应减少长期股权投资的账面价值；对于被投资单位除净损益、其他综合收益 和利润分配以外所有者权益的其他变动，调整长期股权投资的账面价值并计入资本公积。在确认应享有 被投资单位净损益的份额时，以取得投资时被投资单位各项可辨认资产等的公允价值为基础，对被投资 单位的净利润进行调整后确认。被投资单位采用的会计政策及会计期间与本公司不一致的，按照本公司 的会计政策及会计期间对被投资单位的财务报表进行调整，并据以确认投资收益和其他综合收益。对于 本集团与联营企业及合营企业之间发生的交易，投出或出售的资产不构成业务的，未实现内部交易损益 按照享有的比例计算归属于本集团的部分予以抵销，在此基础上确认投资损益。但本集团与被投资单位 发生的未实现内部交易损失，属于所转让资产减值损失的，不予以抵销。</w:t>
      </w:r>
    </w:p>
    <w:p>
      <w:pPr>
        <w:spacing w:line="240" w:lineRule="auto" w:before="4"/>
        <w:rPr>
          <w:rFonts w:ascii="宋体" w:hAnsi="宋体" w:cs="宋体" w:eastAsia="宋体" w:hint="default"/>
          <w:sz w:val="25"/>
          <w:szCs w:val="25"/>
        </w:rPr>
      </w:pPr>
    </w:p>
    <w:p>
      <w:pPr>
        <w:pStyle w:val="BodyText"/>
        <w:spacing w:line="316" w:lineRule="auto"/>
        <w:ind w:right="1011"/>
        <w:jc w:val="both"/>
      </w:pPr>
      <w:r>
        <w:rPr/>
        <w:t>在确认应分担被投资单位发生的净亏损时，以长期股权投资的账面价值和其他实质上构成对被投资单位 净投资的长期权益减记至零为限。此外，如本集团对被投资单位负有承担额外损失的义务，则按预计承 担的义务确认预计负债，计入当期投资损失。被投资单位以后期间实现净利润的，本集团在收益分享额 弥补未确认的亏损分担额后，恢复确认收益分享额。</w:t>
      </w:r>
    </w:p>
    <w:p>
      <w:pPr>
        <w:spacing w:line="240" w:lineRule="auto" w:before="5"/>
        <w:rPr>
          <w:rFonts w:ascii="宋体" w:hAnsi="宋体" w:cs="宋体" w:eastAsia="宋体" w:hint="default"/>
          <w:sz w:val="24"/>
          <w:szCs w:val="24"/>
        </w:rPr>
      </w:pPr>
    </w:p>
    <w:p>
      <w:pPr>
        <w:spacing w:before="0"/>
        <w:ind w:left="874" w:right="0" w:firstLine="0"/>
        <w:jc w:val="both"/>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w w:val="95"/>
          <w:sz w:val="18"/>
          <w:szCs w:val="18"/>
          <w:u w:val="single" w:color="000000"/>
        </w:rPr>
        <w:t>11.3.3 </w:t>
      </w:r>
      <w:r>
        <w:rPr>
          <w:rFonts w:ascii="Times New Roman" w:hAnsi="Times New Roman" w:cs="Times New Roman" w:eastAsia="Times New Roman" w:hint="default"/>
          <w:i/>
          <w:spacing w:val="22"/>
          <w:w w:val="95"/>
          <w:sz w:val="18"/>
          <w:szCs w:val="18"/>
          <w:u w:val="single" w:color="000000"/>
        </w:rPr>
        <w:t> </w:t>
      </w:r>
      <w:r>
        <w:rPr>
          <w:rFonts w:ascii="宋体" w:hAnsi="宋体" w:cs="宋体" w:eastAsia="宋体" w:hint="default"/>
          <w:i/>
          <w:w w:val="95"/>
          <w:sz w:val="19"/>
          <w:szCs w:val="19"/>
          <w:u w:val="single" w:color="000000"/>
        </w:rPr>
        <w:t>处置长期股权投资</w:t>
      </w:r>
      <w:r>
        <w:rPr>
          <w:rFonts w:ascii="宋体" w:hAnsi="宋体" w:cs="宋体" w:eastAsia="宋体" w:hint="default"/>
          <w:i/>
          <w:w w:val="95"/>
          <w:sz w:val="19"/>
          <w:szCs w:val="19"/>
        </w:rPr>
      </w:r>
      <w:r>
        <w:rPr>
          <w:rFonts w:ascii="宋体" w:hAnsi="宋体" w:cs="宋体" w:eastAsia="宋体" w:hint="default"/>
          <w:sz w:val="19"/>
          <w:szCs w:val="19"/>
        </w:rPr>
      </w:r>
    </w:p>
    <w:p>
      <w:pPr>
        <w:spacing w:line="240" w:lineRule="auto" w:before="4"/>
        <w:rPr>
          <w:rFonts w:ascii="宋体" w:hAnsi="宋体" w:cs="宋体" w:eastAsia="宋体" w:hint="default"/>
          <w:i/>
          <w:sz w:val="25"/>
          <w:szCs w:val="25"/>
        </w:rPr>
      </w:pPr>
    </w:p>
    <w:p>
      <w:pPr>
        <w:pStyle w:val="BodyText"/>
        <w:spacing w:line="316" w:lineRule="auto" w:before="44"/>
        <w:ind w:right="92"/>
        <w:jc w:val="left"/>
      </w:pPr>
      <w:r>
        <w:rPr>
          <w:spacing w:val="-2"/>
        </w:rPr>
        <w:t>长期股权投资处置时，其账面价值与实际取得价款的差额，计入当期损益。采用权益法核算的长期股权投资，在处</w:t>
      </w:r>
      <w:r>
        <w:rPr>
          <w:spacing w:val="-74"/>
        </w:rPr>
        <w:t> </w:t>
      </w:r>
      <w:r>
        <w:rPr>
          <w:spacing w:val="-74"/>
        </w:rPr>
      </w:r>
      <w:r>
        <w:rPr/>
        <w:t>置时将原计入所有者权益的部分按相应的比例转入当期损益。</w:t>
      </w:r>
    </w:p>
    <w:p>
      <w:pPr>
        <w:spacing w:line="240" w:lineRule="auto" w:before="4"/>
        <w:rPr>
          <w:rFonts w:ascii="宋体" w:hAnsi="宋体" w:cs="宋体" w:eastAsia="宋体" w:hint="default"/>
          <w:sz w:val="25"/>
          <w:szCs w:val="25"/>
        </w:rPr>
      </w:pPr>
    </w:p>
    <w:p>
      <w:pPr>
        <w:pStyle w:val="BodyText"/>
        <w:spacing w:line="240" w:lineRule="auto"/>
        <w:ind w:right="5193"/>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11.4</w:t>
      </w:r>
      <w:r>
        <w:rPr>
          <w:u w:val="single" w:color="000000"/>
        </w:rPr>
        <w:t>减值测试方法及减值准备计提方法</w:t>
      </w:r>
      <w:r>
        <w:rPr/>
      </w:r>
    </w:p>
    <w:p>
      <w:pPr>
        <w:spacing w:line="240" w:lineRule="auto" w:before="3"/>
        <w:rPr>
          <w:rFonts w:ascii="宋体" w:hAnsi="宋体" w:cs="宋体" w:eastAsia="宋体" w:hint="default"/>
          <w:sz w:val="25"/>
          <w:szCs w:val="25"/>
        </w:rPr>
      </w:pPr>
    </w:p>
    <w:p>
      <w:pPr>
        <w:pStyle w:val="BodyText"/>
        <w:spacing w:line="316" w:lineRule="auto" w:before="44"/>
        <w:ind w:right="92"/>
        <w:jc w:val="left"/>
      </w:pPr>
      <w:r>
        <w:rPr>
          <w:spacing w:val="-2"/>
        </w:rPr>
        <w:t>本集团在每一个资产负债表日检查长期股权投资是否存在可能发生减值的迹象。如果该资产存在减值迹象，则估计</w:t>
      </w:r>
      <w:r>
        <w:rPr>
          <w:spacing w:val="-72"/>
        </w:rPr>
        <w:t> </w:t>
      </w:r>
      <w:r>
        <w:rPr>
          <w:spacing w:val="-72"/>
        </w:rPr>
      </w:r>
      <w:r>
        <w:rPr/>
        <w:t>其可收回金额。如果资产的可收回金额低于其账面价值，按其差额计提资产减值准备，并计入当期损益。</w:t>
      </w:r>
    </w:p>
    <w:p>
      <w:pPr>
        <w:spacing w:line="240" w:lineRule="auto" w:before="4"/>
        <w:rPr>
          <w:rFonts w:ascii="宋体" w:hAnsi="宋体" w:cs="宋体" w:eastAsia="宋体" w:hint="default"/>
          <w:sz w:val="25"/>
          <w:szCs w:val="25"/>
        </w:rPr>
      </w:pPr>
    </w:p>
    <w:p>
      <w:pPr>
        <w:pStyle w:val="BodyText"/>
        <w:spacing w:line="240" w:lineRule="auto"/>
        <w:ind w:right="92"/>
        <w:jc w:val="left"/>
      </w:pPr>
      <w:r>
        <w:rPr/>
        <w:t>长期股权投资的减值损失一经确认，在以后会计期间不予转回。</w:t>
      </w:r>
    </w:p>
    <w:p>
      <w:pPr>
        <w:spacing w:line="240" w:lineRule="auto" w:before="0"/>
        <w:rPr>
          <w:rFonts w:ascii="宋体" w:hAnsi="宋体" w:cs="宋体" w:eastAsia="宋体" w:hint="default"/>
          <w:sz w:val="18"/>
          <w:szCs w:val="18"/>
        </w:rPr>
      </w:pPr>
    </w:p>
    <w:p>
      <w:pPr>
        <w:pStyle w:val="Heading4"/>
        <w:spacing w:line="240" w:lineRule="auto" w:before="142"/>
        <w:ind w:left="153" w:right="5193"/>
        <w:jc w:val="left"/>
        <w:rPr>
          <w:b w:val="0"/>
          <w:bCs w:val="0"/>
        </w:rPr>
      </w:pPr>
      <w:bookmarkStart w:name="12、固定资产" w:id="89"/>
      <w:bookmarkEnd w:id="89"/>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5193"/>
        <w:jc w:val="left"/>
        <w:rPr>
          <w:b w:val="0"/>
          <w:bCs w:val="0"/>
        </w:rPr>
      </w:pPr>
      <w:bookmarkStart w:name="（1）确认条件" w:id="90"/>
      <w:bookmarkEnd w:id="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18"/>
          <w:szCs w:val="18"/>
        </w:rPr>
      </w:pPr>
    </w:p>
    <w:p>
      <w:pPr>
        <w:pStyle w:val="BodyText"/>
        <w:spacing w:line="321" w:lineRule="auto" w:before="128"/>
        <w:ind w:left="513" w:right="92"/>
        <w:jc w:val="left"/>
      </w:pPr>
      <w:r>
        <w:rPr>
          <w:rFonts w:ascii="Times New Roman" w:hAnsi="Times New Roman" w:cs="Times New Roman" w:eastAsia="Times New Roman" w:hint="default"/>
        </w:rPr>
        <w:t>12.1 </w:t>
      </w:r>
      <w:r>
        <w:rPr/>
        <w:t>固定资产确认条件 </w:t>
      </w:r>
      <w:r>
        <w:rPr>
          <w:spacing w:val="-2"/>
        </w:rPr>
        <w:t>固定资产是指为生产商品、提供劳务、出租或经营管理而持有的，使用寿命超过一个会计年度的有形资产。固定资产仅</w:t>
      </w:r>
      <w:r>
        <w:rPr>
          <w:spacing w:val="-70"/>
        </w:rPr>
        <w:t> </w:t>
      </w:r>
      <w:r>
        <w:rPr>
          <w:spacing w:val="-70"/>
        </w:rPr>
      </w:r>
      <w:r>
        <w:rPr>
          <w:spacing w:val="-2"/>
        </w:rPr>
        <w:t>在与其有关的经济利益很可能流入本集团，且其成本能够可靠地计量时才予以确认。固定资产按成本进行初始计量。与</w:t>
      </w:r>
      <w:r>
        <w:rPr>
          <w:spacing w:val="-70"/>
        </w:rPr>
        <w:t> </w:t>
      </w:r>
      <w:r>
        <w:rPr>
          <w:spacing w:val="-70"/>
        </w:rPr>
      </w:r>
      <w:r>
        <w:rPr>
          <w:spacing w:val="-4"/>
        </w:rPr>
        <w:t>固定资产有关的后续支出，如果与该固定资产有关的经济利益很可能流入且其成本能可靠地计量，则计入固定资产成本，</w:t>
      </w:r>
      <w:r>
        <w:rPr>
          <w:spacing w:val="-52"/>
        </w:rPr>
        <w:t> </w:t>
      </w:r>
      <w:r>
        <w:rPr>
          <w:spacing w:val="-52"/>
        </w:rPr>
      </w:r>
      <w:r>
        <w:rPr/>
        <w:t>并终止确认被替换部分的账面价值。除此以外的其他后续支出，在发生时计入当期损益。</w:t>
      </w:r>
      <w:r>
        <w:rPr>
          <w:spacing w:val="1"/>
        </w:rPr>
        <w:t> </w:t>
      </w:r>
      <w:r>
        <w:rPr/>
        <w:t>固定资产按成本并考虑预计</w:t>
      </w:r>
      <w:r>
        <w:rPr/>
        <w:t> </w:t>
      </w:r>
      <w:r>
        <w:rPr>
          <w:spacing w:val="-4"/>
        </w:rPr>
        <w:t>弃置费用因素的影响进行初始计量。固定资产从达到预定可使用状态的次月起，采用年限平均法在使用寿命内计提折旧。</w:t>
      </w:r>
      <w:r>
        <w:rPr>
          <w:spacing w:val="-51"/>
        </w:rPr>
        <w:t> </w:t>
      </w:r>
      <w:r>
        <w:rPr>
          <w:spacing w:val="-51"/>
        </w:rPr>
      </w:r>
      <w:r>
        <w:rPr/>
        <w:t>各类固定资产的使用寿命、预计净残值和年折旧率如下：</w:t>
      </w:r>
    </w:p>
    <w:p>
      <w:pPr>
        <w:spacing w:after="0" w:line="321" w:lineRule="auto"/>
        <w:jc w:val="left"/>
        <w:sectPr>
          <w:pgSz w:w="11910" w:h="16840"/>
          <w:pgMar w:header="851" w:footer="979" w:top="1320" w:bottom="1160" w:left="980" w:right="940"/>
        </w:sectPr>
      </w:pPr>
    </w:p>
    <w:p>
      <w:pPr>
        <w:pStyle w:val="Heading4"/>
        <w:spacing w:line="240" w:lineRule="auto" w:before="114"/>
        <w:ind w:right="5193"/>
        <w:jc w:val="left"/>
        <w:rPr>
          <w:b w:val="0"/>
          <w:bCs w:val="0"/>
        </w:rPr>
      </w:pPr>
      <w:bookmarkStart w:name="（2）折旧方法" w:id="91"/>
      <w:bookmarkEnd w:id="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0"/>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电子设备、器具及家具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10"/>
        <w:ind w:right="92"/>
        <w:jc w:val="left"/>
      </w:pPr>
      <w:r>
        <w:rPr/>
        <w:t>电子设备、器具及家具中包含折旧年限不确定的艺术品，不折旧，但每年进行减值测试。</w:t>
      </w:r>
    </w:p>
    <w:p>
      <w:pPr>
        <w:spacing w:line="240" w:lineRule="auto" w:before="0"/>
        <w:rPr>
          <w:rFonts w:ascii="宋体" w:hAnsi="宋体" w:cs="宋体" w:eastAsia="宋体" w:hint="default"/>
          <w:sz w:val="18"/>
          <w:szCs w:val="18"/>
        </w:rPr>
      </w:pPr>
    </w:p>
    <w:p>
      <w:pPr>
        <w:pStyle w:val="BodyText"/>
        <w:spacing w:line="316" w:lineRule="auto" w:before="153"/>
        <w:ind w:right="92"/>
        <w:jc w:val="left"/>
      </w:pPr>
      <w:r>
        <w:rPr>
          <w:spacing w:val="-2"/>
        </w:rPr>
        <w:t>预计净残值是指假定固定资产预计使用寿命已满并处于使用寿命终了时的预期状态，本集团目前从该项资产处置中</w:t>
      </w:r>
      <w:r>
        <w:rPr>
          <w:spacing w:val="-72"/>
        </w:rPr>
        <w:t> </w:t>
      </w:r>
      <w:r>
        <w:rPr>
          <w:spacing w:val="-72"/>
        </w:rPr>
      </w:r>
      <w:r>
        <w:rPr/>
        <w:t>获得的扣除预计处置费用后的金额。</w:t>
      </w:r>
    </w:p>
    <w:p>
      <w:pPr>
        <w:spacing w:line="240" w:lineRule="auto" w:before="4"/>
        <w:rPr>
          <w:rFonts w:ascii="宋体" w:hAnsi="宋体" w:cs="宋体" w:eastAsia="宋体" w:hint="default"/>
          <w:sz w:val="25"/>
          <w:szCs w:val="25"/>
        </w:rPr>
      </w:pPr>
    </w:p>
    <w:p>
      <w:pPr>
        <w:pStyle w:val="BodyText"/>
        <w:spacing w:line="314" w:lineRule="auto"/>
        <w:ind w:left="604" w:right="182"/>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12.2</w:t>
      </w:r>
      <w:r>
        <w:rPr>
          <w:u w:val="single" w:color="000000"/>
        </w:rPr>
        <w:t>固定资产的减值测试方法及减值准备计提方法</w:t>
      </w:r>
      <w:r>
        <w:rPr/>
      </w:r>
      <w:r>
        <w:rPr/>
        <w:t> 本集团在每一个资产负债表日检查固定资产是否存在可能发生减值的迹象。如果该资产存在减值迹象，则估计其可收 回金额。估计资产的可收回金额以单项资产为基础，如果难以对单项资产的可收回金额进行估计的，则以该资产所属 的资产组为基础确定资产组的可收回金额。如果资产的可收回金额低于其账面价值，按其差额计提资产减值准备，并 计入当期损益。</w:t>
      </w:r>
    </w:p>
    <w:p>
      <w:pPr>
        <w:spacing w:line="240" w:lineRule="auto" w:before="6"/>
        <w:rPr>
          <w:rFonts w:ascii="宋体" w:hAnsi="宋体" w:cs="宋体" w:eastAsia="宋体" w:hint="default"/>
          <w:sz w:val="25"/>
          <w:szCs w:val="25"/>
        </w:rPr>
      </w:pPr>
    </w:p>
    <w:p>
      <w:pPr>
        <w:pStyle w:val="BodyText"/>
        <w:spacing w:line="240" w:lineRule="auto"/>
        <w:ind w:right="92"/>
        <w:jc w:val="left"/>
      </w:pPr>
      <w:r>
        <w:rPr/>
        <w:t>固定资产减值损失一经确认，在以后会计期间不予转回。</w:t>
      </w:r>
    </w:p>
    <w:p>
      <w:pPr>
        <w:spacing w:line="240" w:lineRule="auto" w:before="0"/>
        <w:rPr>
          <w:rFonts w:ascii="宋体" w:hAnsi="宋体" w:cs="宋体" w:eastAsia="宋体" w:hint="default"/>
          <w:sz w:val="18"/>
          <w:szCs w:val="18"/>
        </w:rPr>
      </w:pPr>
    </w:p>
    <w:p>
      <w:pPr>
        <w:pStyle w:val="BodyText"/>
        <w:spacing w:line="314" w:lineRule="auto" w:before="153"/>
        <w:ind w:left="694" w:right="92"/>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12.3</w:t>
      </w:r>
      <w:r>
        <w:rPr>
          <w:u w:val="single" w:color="000000"/>
        </w:rPr>
        <w:t>其他说明</w:t>
      </w:r>
      <w:r>
        <w:rPr/>
      </w:r>
      <w:r>
        <w:rPr/>
        <w:t> </w:t>
      </w:r>
      <w:r>
        <w:rPr>
          <w:spacing w:val="-2"/>
        </w:rPr>
        <w:t>本集团至少于年度终了对固定资产的使用寿命、预计净残值和折旧方法进行复核，如发生改变则作为会计估计变更处</w:t>
      </w:r>
      <w:r>
        <w:rPr>
          <w:spacing w:val="-70"/>
        </w:rPr>
        <w:t> </w:t>
      </w:r>
      <w:r>
        <w:rPr>
          <w:spacing w:val="-70"/>
        </w:rPr>
      </w:r>
      <w:r>
        <w:rPr/>
        <w:t>理。 </w:t>
      </w:r>
      <w:r>
        <w:rPr>
          <w:spacing w:val="-2"/>
        </w:rPr>
        <w:t>当固定资产处于处置状态或预期通过使用或处置不能产生净利益时，终止确认该固定资产。固定资产出售、转让、报</w:t>
      </w:r>
      <w:r>
        <w:rPr>
          <w:spacing w:val="-72"/>
        </w:rPr>
        <w:t> </w:t>
      </w:r>
      <w:r>
        <w:rPr>
          <w:spacing w:val="-72"/>
        </w:rPr>
      </w:r>
      <w:r>
        <w:rPr/>
        <w:t>废或毁损的处置收入扣除其账面价值和相关税费后的差额计入当期损益。</w:t>
      </w:r>
    </w:p>
    <w:p>
      <w:pPr>
        <w:spacing w:line="240" w:lineRule="auto" w:before="8"/>
        <w:rPr>
          <w:rFonts w:ascii="宋体" w:hAnsi="宋体" w:cs="宋体" w:eastAsia="宋体" w:hint="default"/>
          <w:sz w:val="24"/>
          <w:szCs w:val="24"/>
        </w:rPr>
      </w:pPr>
    </w:p>
    <w:p>
      <w:pPr>
        <w:pStyle w:val="Heading4"/>
        <w:spacing w:line="240" w:lineRule="auto" w:before="0"/>
        <w:ind w:left="153" w:right="5193"/>
        <w:jc w:val="left"/>
        <w:rPr>
          <w:b w:val="0"/>
          <w:bCs w:val="0"/>
        </w:rPr>
      </w:pPr>
      <w:bookmarkStart w:name="13、在建工程" w:id="92"/>
      <w:bookmarkEnd w:id="92"/>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694" w:right="272"/>
        <w:jc w:val="left"/>
      </w:pPr>
      <w:r>
        <w:rPr/>
        <w:t>在建工程成本按实际工程支出确定﹐包括在建期间发生的各项工程支出以及其他相关费用等。在建工程在达到预定 可使用状态后结转为固定资产。</w:t>
      </w:r>
    </w:p>
    <w:p>
      <w:pPr>
        <w:spacing w:line="240" w:lineRule="auto" w:before="4"/>
        <w:rPr>
          <w:rFonts w:ascii="宋体" w:hAnsi="宋体" w:cs="宋体" w:eastAsia="宋体" w:hint="default"/>
          <w:sz w:val="25"/>
          <w:szCs w:val="25"/>
        </w:rPr>
      </w:pPr>
    </w:p>
    <w:p>
      <w:pPr>
        <w:pStyle w:val="BodyText"/>
        <w:spacing w:line="316" w:lineRule="auto"/>
        <w:ind w:left="694" w:right="92"/>
        <w:jc w:val="left"/>
      </w:pPr>
      <w:r>
        <w:rPr/>
        <w:t>本集团在每一个资产负债表日检查在建工程是否存在可能发生减值的迹象。如果该资产存在减值迹象，则估计其可 </w:t>
      </w:r>
      <w:r>
        <w:rPr>
          <w:spacing w:val="-2"/>
        </w:rPr>
        <w:t>收回金额。估计资产的可收回金额以单项资产为基础，如果难以对单项资产的可收回金额进行估计的，则以该资产所</w:t>
      </w:r>
      <w:r>
        <w:rPr>
          <w:spacing w:val="-72"/>
        </w:rPr>
        <w:t> </w:t>
      </w:r>
      <w:r>
        <w:rPr>
          <w:spacing w:val="-72"/>
        </w:rPr>
      </w:r>
      <w:r>
        <w:rPr/>
        <w:t>属的资产组为基础确定资产组的可收回金额。如果资产的可收回金额低于其账面价值，按其差额计提资产减值准备，</w:t>
      </w:r>
      <w:r>
        <w:rPr>
          <w:spacing w:val="-85"/>
        </w:rPr>
        <w:t> </w:t>
      </w:r>
      <w:r>
        <w:rPr>
          <w:spacing w:val="-85"/>
        </w:rPr>
      </w:r>
      <w:r>
        <w:rPr/>
        <w:t>并计入当期损益。</w:t>
      </w:r>
    </w:p>
    <w:p>
      <w:pPr>
        <w:spacing w:line="240" w:lineRule="auto" w:before="4"/>
        <w:rPr>
          <w:rFonts w:ascii="宋体" w:hAnsi="宋体" w:cs="宋体" w:eastAsia="宋体" w:hint="default"/>
          <w:sz w:val="25"/>
          <w:szCs w:val="25"/>
        </w:rPr>
      </w:pPr>
    </w:p>
    <w:p>
      <w:pPr>
        <w:pStyle w:val="BodyText"/>
        <w:spacing w:line="240" w:lineRule="auto"/>
        <w:ind w:right="92"/>
        <w:jc w:val="left"/>
      </w:pPr>
      <w:r>
        <w:rPr/>
        <w:t>在建工程减值损失一经确认，在以后会计期间不予转回。</w:t>
      </w:r>
    </w:p>
    <w:p>
      <w:pPr>
        <w:spacing w:line="240" w:lineRule="auto" w:before="0"/>
        <w:rPr>
          <w:rFonts w:ascii="宋体" w:hAnsi="宋体" w:cs="宋体" w:eastAsia="宋体" w:hint="default"/>
          <w:sz w:val="18"/>
          <w:szCs w:val="18"/>
        </w:rPr>
      </w:pPr>
    </w:p>
    <w:p>
      <w:pPr>
        <w:pStyle w:val="Heading4"/>
        <w:spacing w:line="240" w:lineRule="auto" w:before="142"/>
        <w:ind w:left="153" w:right="5193"/>
        <w:jc w:val="left"/>
        <w:rPr>
          <w:b w:val="0"/>
          <w:bCs w:val="0"/>
        </w:rPr>
      </w:pPr>
      <w:bookmarkStart w:name="14、无形资产" w:id="93"/>
      <w:bookmarkEnd w:id="93"/>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0"/>
        <w:rPr>
          <w:rFonts w:ascii="宋体" w:hAnsi="宋体" w:cs="宋体" w:eastAsia="宋体" w:hint="default"/>
          <w:b/>
          <w:bCs/>
          <w:sz w:val="18"/>
          <w:szCs w:val="18"/>
        </w:rPr>
      </w:pPr>
    </w:p>
    <w:p>
      <w:pPr>
        <w:spacing w:line="590" w:lineRule="auto" w:before="129"/>
        <w:ind w:left="874" w:right="1532" w:hanging="721"/>
        <w:jc w:val="left"/>
        <w:rPr>
          <w:rFonts w:ascii="宋体" w:hAnsi="宋体" w:cs="宋体" w:eastAsia="宋体" w:hint="default"/>
          <w:sz w:val="18"/>
          <w:szCs w:val="18"/>
        </w:rPr>
      </w:pPr>
      <w:bookmarkStart w:name="（1）计价方法、使用寿命、减值测试" w:id="94"/>
      <w:bookmarkEnd w:id="94"/>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）计价方法、使用寿命、减值测试</w:t>
      </w:r>
      <w:r>
        <w:rPr>
          <w:rFonts w:ascii="宋体" w:hAnsi="宋体" w:cs="宋体" w:eastAsia="宋体" w:hint="default"/>
          <w:b/>
          <w:bCs/>
          <w:w w:val="99"/>
          <w:sz w:val="18"/>
          <w:szCs w:val="18"/>
        </w:rPr>
        <w:t> </w:t>
      </w:r>
      <w:r>
        <w:rPr>
          <w:rFonts w:ascii="宋体" w:hAnsi="宋体" w:cs="宋体" w:eastAsia="宋体" w:hint="default"/>
          <w:sz w:val="18"/>
          <w:szCs w:val="18"/>
        </w:rPr>
        <w:t>无形资产是指本集团拥有或者控制的没有实物形态的可辨认非货币性资产，包括土地使用权等。</w:t>
      </w:r>
    </w:p>
    <w:p>
      <w:pPr>
        <w:spacing w:after="0" w:line="590" w:lineRule="auto"/>
        <w:jc w:val="left"/>
        <w:rPr>
          <w:rFonts w:ascii="宋体" w:hAnsi="宋体" w:cs="宋体" w:eastAsia="宋体" w:hint="default"/>
          <w:sz w:val="18"/>
          <w:szCs w:val="18"/>
        </w:rPr>
        <w:sectPr>
          <w:pgSz w:w="11910" w:h="16840"/>
          <w:pgMar w:header="851" w:footer="979" w:top="1320" w:bottom="1160" w:left="980" w:right="940"/>
        </w:sectPr>
      </w:pPr>
    </w:p>
    <w:p>
      <w:pPr>
        <w:pStyle w:val="BodyText"/>
        <w:spacing w:line="316" w:lineRule="auto" w:before="114"/>
        <w:ind w:right="0"/>
        <w:jc w:val="left"/>
      </w:pPr>
      <w:r>
        <w:rPr>
          <w:spacing w:val="-2"/>
        </w:rPr>
        <w:t>无形资产按成本进行初始计量。使用寿命有限的无形资产自可供使用时起，对其原值在其预计使用寿命内采用直线</w:t>
      </w:r>
      <w:r>
        <w:rPr>
          <w:spacing w:val="-72"/>
        </w:rPr>
        <w:t> </w:t>
      </w:r>
      <w:r>
        <w:rPr>
          <w:spacing w:val="-72"/>
        </w:rPr>
      </w:r>
      <w:r>
        <w:rPr/>
        <w:t>法分期平均摊销。使用寿命不确定的无形资产不予摊销。 期末，对使用寿命有限的无形资产的使用寿命和摊销方法进行复核，必要时进行调整。</w:t>
      </w:r>
    </w:p>
    <w:p>
      <w:pPr>
        <w:spacing w:line="240" w:lineRule="auto" w:before="6"/>
        <w:rPr>
          <w:rFonts w:ascii="宋体" w:hAnsi="宋体" w:cs="宋体" w:eastAsia="宋体" w:hint="default"/>
          <w:sz w:val="24"/>
          <w:szCs w:val="24"/>
        </w:rPr>
      </w:pPr>
    </w:p>
    <w:tbl>
      <w:tblPr>
        <w:tblW w:w="0" w:type="auto"/>
        <w:jc w:val="left"/>
        <w:tblInd w:w="867" w:type="dxa"/>
        <w:tblLayout w:type="fixed"/>
        <w:tblCellMar>
          <w:top w:w="0" w:type="dxa"/>
          <w:left w:w="0" w:type="dxa"/>
          <w:bottom w:w="0" w:type="dxa"/>
          <w:right w:w="0" w:type="dxa"/>
        </w:tblCellMar>
        <w:tblLook w:val="01E0"/>
      </w:tblPr>
      <w:tblGrid>
        <w:gridCol w:w="4268"/>
        <w:gridCol w:w="1535"/>
        <w:gridCol w:w="1451"/>
        <w:gridCol w:w="1619"/>
      </w:tblGrid>
      <w:tr>
        <w:trPr>
          <w:trHeight w:val="427" w:hRule="exact"/>
        </w:trPr>
        <w:tc>
          <w:tcPr>
            <w:tcW w:w="426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53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摊销方法</w:t>
            </w:r>
          </w:p>
        </w:tc>
        <w:tc>
          <w:tcPr>
            <w:tcW w:w="145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使用寿命</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r>
      <w:tr>
        <w:trPr>
          <w:trHeight w:val="428" w:hRule="exac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88"/>
              <w:jc w:val="right"/>
              <w:rPr>
                <w:rFonts w:ascii="宋体" w:hAnsi="宋体" w:cs="宋体" w:eastAsia="宋体" w:hint="default"/>
                <w:sz w:val="18"/>
                <w:szCs w:val="18"/>
              </w:rPr>
            </w:pPr>
            <w:r>
              <w:rPr>
                <w:rFonts w:ascii="宋体" w:hAnsi="宋体" w:cs="宋体" w:eastAsia="宋体" w:hint="default"/>
                <w:sz w:val="18"/>
                <w:szCs w:val="18"/>
              </w:rPr>
              <w:t>直线法</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42"/>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直线法</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3-10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4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240" w:lineRule="auto"/>
        <w:ind w:right="0"/>
        <w:jc w:val="left"/>
        <w:rPr>
          <w:b w:val="0"/>
          <w:bCs w:val="0"/>
        </w:rPr>
      </w:pPr>
      <w:bookmarkStart w:name="（2）内部研究开发支出会计政策" w:id="95"/>
      <w:bookmarkEnd w:id="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right="412"/>
        <w:jc w:val="left"/>
      </w:pPr>
      <w:r>
        <w:rPr/>
        <w:t>本集团内部研究开发项目的支出分为研究阶段支出与开发阶段支出。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tabs>
          <w:tab w:pos="1834" w:val="left" w:leader="none"/>
        </w:tabs>
        <w:spacing w:line="240" w:lineRule="auto" w:before="19"/>
        <w:ind w:left="1306" w:right="0"/>
        <w:jc w:val="left"/>
      </w:pPr>
      <w:r>
        <w:rPr>
          <w:rFonts w:ascii="Times New Roman" w:hAnsi="Times New Roman" w:cs="Times New Roman" w:eastAsia="Times New Roman" w:hint="default"/>
        </w:rPr>
        <w:t>(1)</w:t>
        <w:tab/>
      </w:r>
      <w:r>
        <w:rPr/>
        <w:t>完成该无形资产以使其能够使用或出售在技术上具有可行性；</w:t>
      </w:r>
    </w:p>
    <w:p>
      <w:pPr>
        <w:pStyle w:val="BodyText"/>
        <w:tabs>
          <w:tab w:pos="1834" w:val="left" w:leader="none"/>
        </w:tabs>
        <w:spacing w:line="240" w:lineRule="auto" w:before="63"/>
        <w:ind w:left="1306" w:right="0"/>
        <w:jc w:val="left"/>
      </w:pPr>
      <w:r>
        <w:rPr>
          <w:rFonts w:ascii="Times New Roman" w:hAnsi="Times New Roman" w:cs="Times New Roman" w:eastAsia="Times New Roman" w:hint="default"/>
        </w:rPr>
        <w:t>(2)</w:t>
        <w:tab/>
      </w:r>
      <w:r>
        <w:rPr/>
        <w:t>具有完成该无形资产并使用或出售的意图；</w:t>
      </w:r>
    </w:p>
    <w:p>
      <w:pPr>
        <w:pStyle w:val="BodyText"/>
        <w:tabs>
          <w:tab w:pos="1834" w:val="left" w:leader="none"/>
        </w:tabs>
        <w:spacing w:line="300" w:lineRule="auto" w:before="63"/>
        <w:ind w:left="1306" w:right="191"/>
        <w:jc w:val="left"/>
      </w:pPr>
      <w:r>
        <w:rPr>
          <w:rFonts w:ascii="Times New Roman" w:hAnsi="Times New Roman" w:cs="Times New Roman" w:eastAsia="Times New Roman" w:hint="default"/>
        </w:rPr>
        <w:t>(3)</w:t>
        <w:tab/>
      </w:r>
      <w:r>
        <w:rPr/>
        <w:t>无形资产产生经济利益的方式，包括能够证明运用该无形资产生产的产品存在市场或无形资产自身存</w:t>
      </w:r>
      <w:r>
        <w:rPr>
          <w:w w:val="99"/>
        </w:rPr>
        <w:t> </w:t>
      </w:r>
      <w:r>
        <w:rPr/>
        <w:t>在市场，无形资产将在内部使用的，能够证明其有用性；</w:t>
      </w:r>
    </w:p>
    <w:p>
      <w:pPr>
        <w:pStyle w:val="BodyText"/>
        <w:tabs>
          <w:tab w:pos="1834" w:val="left" w:leader="none"/>
        </w:tabs>
        <w:spacing w:line="300" w:lineRule="auto" w:before="31"/>
        <w:ind w:left="1306" w:right="191"/>
        <w:jc w:val="left"/>
      </w:pPr>
      <w:r>
        <w:rPr>
          <w:rFonts w:ascii="Times New Roman" w:hAnsi="Times New Roman" w:cs="Times New Roman" w:eastAsia="Times New Roman" w:hint="default"/>
        </w:rPr>
        <w:t>(4)</w:t>
        <w:tab/>
      </w:r>
      <w:r>
        <w:rPr/>
        <w:t>有足够的技术、财务资源和其他资源支持，以完成该无形资产的开发，并有能力使用或出售该无形资</w:t>
      </w:r>
      <w:r>
        <w:rPr>
          <w:w w:val="99"/>
        </w:rPr>
        <w:t> </w:t>
      </w:r>
      <w:r>
        <w:rPr/>
        <w:t>产；</w:t>
      </w:r>
    </w:p>
    <w:p>
      <w:pPr>
        <w:pStyle w:val="BodyText"/>
        <w:tabs>
          <w:tab w:pos="1834" w:val="left" w:leader="none"/>
        </w:tabs>
        <w:spacing w:line="300" w:lineRule="auto" w:before="31"/>
        <w:ind w:left="768" w:right="2696" w:firstLine="537"/>
        <w:jc w:val="left"/>
      </w:pPr>
      <w:r>
        <w:rPr>
          <w:rFonts w:ascii="Times New Roman" w:hAnsi="Times New Roman" w:cs="Times New Roman" w:eastAsia="Times New Roman" w:hint="default"/>
        </w:rPr>
        <w:t>(5)</w:t>
        <w:tab/>
      </w:r>
      <w:r>
        <w:rPr/>
        <w:t>归属于该无形资产开发阶段的支出能够可靠地计量。</w:t>
      </w:r>
      <w:r>
        <w:rPr>
          <w:w w:val="99"/>
        </w:rPr>
        <w:t> </w:t>
      </w:r>
      <w:r>
        <w:rPr/>
        <w:t>无法区分研究阶段支出和开发阶段支出的，将发生的研发支出全部计入当期损益。</w:t>
      </w:r>
    </w:p>
    <w:p>
      <w:pPr>
        <w:spacing w:line="240" w:lineRule="auto" w:before="3"/>
        <w:rPr>
          <w:rFonts w:ascii="宋体" w:hAnsi="宋体" w:cs="宋体" w:eastAsia="宋体" w:hint="default"/>
          <w:sz w:val="26"/>
          <w:szCs w:val="26"/>
        </w:rPr>
      </w:pPr>
    </w:p>
    <w:p>
      <w:pPr>
        <w:pStyle w:val="BodyText"/>
        <w:spacing w:line="240" w:lineRule="auto"/>
        <w:ind w:left="964" w:right="0"/>
        <w:jc w:val="left"/>
      </w:pPr>
      <w:r>
        <w:rPr/>
      </w:r>
      <w:r>
        <w:rPr>
          <w:u w:val="single" w:color="000000"/>
        </w:rPr>
        <w:t>无形资产的减值测试方法及减值准备计提方法</w:t>
      </w:r>
      <w:r>
        <w:rPr/>
      </w:r>
    </w:p>
    <w:p>
      <w:pPr>
        <w:spacing w:line="240" w:lineRule="auto" w:before="4"/>
        <w:rPr>
          <w:rFonts w:ascii="宋体" w:hAnsi="宋体" w:cs="宋体" w:eastAsia="宋体" w:hint="default"/>
          <w:sz w:val="26"/>
          <w:szCs w:val="26"/>
        </w:rPr>
      </w:pPr>
    </w:p>
    <w:p>
      <w:pPr>
        <w:pStyle w:val="BodyText"/>
        <w:spacing w:line="316" w:lineRule="auto" w:before="44"/>
        <w:ind w:left="784" w:right="142"/>
        <w:jc w:val="left"/>
      </w:pPr>
      <w:r>
        <w:rPr/>
        <w:t>本集团在每一个资产负债表日检查使用寿命确定的无形资产是否存在可能发生减值的迹象。如果该等资产存在减值 迹象，则估计其可收回金额。估计资产的可收回金额以单项资产为基础，如果难以对单项资产的可收回金额进行估 计的，则以该资产所属的资产组为基础确定资产组的可收回金额。如果资产的可收回金额低于其账面价值，按其差 额计提资产减值准备，并计入当期损益。 使用寿命不确定的无形资产和尚未达到可使用状态的无形资产，无论是否存在减值迹象，每年均进行减值测试。 无形资产减值损失一经确认，在以后会计期间不予转回。</w:t>
      </w:r>
    </w:p>
    <w:p>
      <w:pPr>
        <w:spacing w:line="240" w:lineRule="auto" w:before="6"/>
        <w:rPr>
          <w:rFonts w:ascii="宋体" w:hAnsi="宋体" w:cs="宋体" w:eastAsia="宋体" w:hint="default"/>
          <w:sz w:val="24"/>
          <w:szCs w:val="24"/>
        </w:rPr>
      </w:pPr>
    </w:p>
    <w:p>
      <w:pPr>
        <w:pStyle w:val="Heading4"/>
        <w:spacing w:line="240" w:lineRule="auto" w:before="0"/>
        <w:ind w:left="153" w:right="0"/>
        <w:jc w:val="left"/>
        <w:rPr>
          <w:b w:val="0"/>
          <w:bCs w:val="0"/>
        </w:rPr>
      </w:pPr>
      <w:bookmarkStart w:name="15、长期待摊费用" w:id="96"/>
      <w:bookmarkEnd w:id="96"/>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694" w:right="232"/>
        <w:jc w:val="left"/>
      </w:pPr>
      <w:r>
        <w:rPr/>
        <w:t>长期待摊费用为已经发生但应由本年和以后各期负担的分摊期限在一年以上的各项费用。长期待摊费用在预计受益 期间分期平均摊销。</w:t>
      </w:r>
    </w:p>
    <w:p>
      <w:pPr>
        <w:spacing w:line="240" w:lineRule="auto" w:before="6"/>
        <w:rPr>
          <w:rFonts w:ascii="宋体" w:hAnsi="宋体" w:cs="宋体" w:eastAsia="宋体" w:hint="default"/>
          <w:sz w:val="24"/>
          <w:szCs w:val="24"/>
        </w:rPr>
      </w:pPr>
    </w:p>
    <w:p>
      <w:pPr>
        <w:pStyle w:val="Heading4"/>
        <w:spacing w:line="240" w:lineRule="auto" w:before="0"/>
        <w:ind w:right="0"/>
        <w:jc w:val="left"/>
        <w:rPr>
          <w:b w:val="0"/>
          <w:bCs w:val="0"/>
        </w:rPr>
      </w:pPr>
      <w:bookmarkStart w:name="16、职工薪酬" w:id="97"/>
      <w:bookmarkEnd w:id="97"/>
      <w:r>
        <w:rPr>
          <w:b w:val="0"/>
          <w:bCs w:val="0"/>
        </w:rPr>
      </w:r>
      <w:r>
        <w:rPr>
          <w:rFonts w:ascii="Times New Roman" w:hAnsi="Times New Roman" w:cs="Times New Roman" w:eastAsia="Times New Roman" w:hint="default"/>
        </w:rPr>
        <w:t>16</w:t>
      </w:r>
      <w:r>
        <w:rPr/>
        <w:t>、职工薪酬</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短期薪酬的会计处理方法" w:id="98"/>
      <w:bookmarkEnd w:id="9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603" w:right="0"/>
        <w:jc w:val="left"/>
      </w:pPr>
      <w:r>
        <w:rPr/>
        <w:t>本集团在职工为其提供服务的会计期间，将实际发生的短期薪酬确认为负债，并计入当期损益或相关资产成本。本 </w:t>
      </w:r>
      <w:r>
        <w:rPr>
          <w:spacing w:val="-4"/>
        </w:rPr>
        <w:t>集团发生的职工福利费，在实际发生时根据实际发生额计入当期损益或相关资产成本。职工福利费为非货币性福利的，</w:t>
      </w:r>
    </w:p>
    <w:p>
      <w:pPr>
        <w:spacing w:after="0" w:line="316" w:lineRule="auto"/>
        <w:jc w:val="left"/>
        <w:sectPr>
          <w:pgSz w:w="11910" w:h="16840"/>
          <w:pgMar w:header="851" w:footer="979" w:top="1320" w:bottom="1160" w:left="980" w:right="980"/>
        </w:sectPr>
      </w:pPr>
    </w:p>
    <w:p>
      <w:pPr>
        <w:pStyle w:val="BodyText"/>
        <w:spacing w:line="240" w:lineRule="auto" w:before="114"/>
        <w:ind w:left="604" w:right="0"/>
        <w:jc w:val="left"/>
      </w:pPr>
      <w:r>
        <w:rPr/>
        <w:t>按照公允价值计量。</w:t>
      </w:r>
    </w:p>
    <w:p>
      <w:pPr>
        <w:spacing w:line="240" w:lineRule="auto" w:before="0"/>
        <w:rPr>
          <w:rFonts w:ascii="宋体" w:hAnsi="宋体" w:cs="宋体" w:eastAsia="宋体" w:hint="default"/>
          <w:sz w:val="18"/>
          <w:szCs w:val="18"/>
        </w:rPr>
      </w:pPr>
    </w:p>
    <w:p>
      <w:pPr>
        <w:pStyle w:val="BodyText"/>
        <w:spacing w:line="319" w:lineRule="auto" w:before="153"/>
        <w:ind w:left="603" w:right="143"/>
        <w:jc w:val="left"/>
      </w:pPr>
      <w:r>
        <w:rPr/>
        <w:t>本集团为职工缴纳的医疗保险费、工伤保险费、生育保险费等社会保险费和住房公积金，以及本集团按规定提取的 工会经费和职工教育经费，在职工为本集团提供服务的会计期间，根据规定的计提基础和计提比例计算确定相应的职 工薪酬金额，确认相应负债，并计入当期损益或相关资产成本。</w:t>
      </w:r>
    </w:p>
    <w:p>
      <w:pPr>
        <w:spacing w:line="240" w:lineRule="auto" w:before="4"/>
        <w:rPr>
          <w:rFonts w:ascii="宋体" w:hAnsi="宋体" w:cs="宋体" w:eastAsia="宋体" w:hint="default"/>
          <w:sz w:val="24"/>
          <w:szCs w:val="24"/>
        </w:rPr>
      </w:pPr>
    </w:p>
    <w:p>
      <w:pPr>
        <w:pStyle w:val="Heading4"/>
        <w:spacing w:line="240" w:lineRule="auto" w:before="0"/>
        <w:ind w:left="153" w:right="0"/>
        <w:jc w:val="left"/>
        <w:rPr>
          <w:b w:val="0"/>
          <w:bCs w:val="0"/>
        </w:rPr>
      </w:pPr>
      <w:bookmarkStart w:name="（2）离职后福利的会计处理方法" w:id="99"/>
      <w:bookmarkEnd w:id="9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603" w:right="233" w:firstLine="90"/>
        <w:jc w:val="left"/>
      </w:pPr>
      <w:r>
        <w:rPr/>
        <w:t>离职后福利全部为设定提存计划。本集团在职工为其提供服务的会计期间，将根据设定提存计划的应缴存金额确认 为负债，并计入当期损益或相关资本成本。</w:t>
      </w:r>
    </w:p>
    <w:p>
      <w:pPr>
        <w:spacing w:line="240" w:lineRule="auto" w:before="6"/>
        <w:rPr>
          <w:rFonts w:ascii="宋体" w:hAnsi="宋体" w:cs="宋体" w:eastAsia="宋体" w:hint="default"/>
          <w:sz w:val="24"/>
          <w:szCs w:val="24"/>
        </w:rPr>
      </w:pPr>
    </w:p>
    <w:p>
      <w:pPr>
        <w:pStyle w:val="Heading4"/>
        <w:spacing w:line="240" w:lineRule="auto" w:before="0"/>
        <w:ind w:left="153" w:right="0"/>
        <w:jc w:val="left"/>
        <w:rPr>
          <w:b w:val="0"/>
          <w:bCs w:val="0"/>
        </w:rPr>
      </w:pPr>
      <w:bookmarkStart w:name="（3）辞退福利的会计处理方法" w:id="100"/>
      <w:bookmarkEnd w:id="1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603" w:right="323"/>
        <w:jc w:val="left"/>
      </w:pPr>
      <w:r>
        <w:rPr/>
        <w:t>本集团向职工提供辞退福利的，在下列两者孰早日确认辞退福利产生的职工薪酬负债，并计入当期损益： 本集团不能单方面撤回因解除劳动关系计划或裁减建议所提供的辞退福利时；本集团确认与涉及支付辞退福利的重 组相关的成本或费用时。</w:t>
      </w:r>
    </w:p>
    <w:p>
      <w:pPr>
        <w:spacing w:line="240" w:lineRule="auto" w:before="6"/>
        <w:rPr>
          <w:rFonts w:ascii="宋体" w:hAnsi="宋体" w:cs="宋体" w:eastAsia="宋体" w:hint="default"/>
          <w:sz w:val="24"/>
          <w:szCs w:val="24"/>
        </w:rPr>
      </w:pPr>
    </w:p>
    <w:p>
      <w:pPr>
        <w:pStyle w:val="Heading4"/>
        <w:spacing w:line="590" w:lineRule="auto" w:before="0"/>
        <w:ind w:left="604" w:right="6610" w:hanging="450"/>
        <w:jc w:val="left"/>
        <w:rPr>
          <w:rFonts w:ascii="宋体" w:hAnsi="宋体" w:cs="宋体" w:eastAsia="宋体" w:hint="default"/>
          <w:b w:val="0"/>
          <w:bCs w:val="0"/>
        </w:rPr>
      </w:pPr>
      <w:bookmarkStart w:name="（4）其他长期职工福利的会计处理方法" w:id="101"/>
      <w:bookmarkEnd w:id="101"/>
      <w:r>
        <w:rPr>
          <w:b w:val="0"/>
          <w:bCs w:val="0"/>
        </w:rPr>
      </w:r>
      <w:r>
        <w:rPr/>
        <w:t>（</w:t>
      </w:r>
      <w:r>
        <w:rPr>
          <w:rFonts w:ascii="Times New Roman" w:hAnsi="Times New Roman" w:cs="Times New Roman" w:eastAsia="Times New Roman" w:hint="default"/>
        </w:rPr>
        <w:t>4</w:t>
      </w:r>
      <w:r>
        <w:rPr/>
        <w:t>）其他长期职工福利的会计处理方法</w:t>
      </w:r>
      <w:r>
        <w:rPr>
          <w:w w:val="99"/>
        </w:rPr>
        <w:t> </w:t>
      </w:r>
      <w:r>
        <w:rPr>
          <w:rFonts w:ascii="宋体" w:hAnsi="宋体" w:cs="宋体" w:eastAsia="宋体" w:hint="default"/>
          <w:b w:val="0"/>
          <w:bCs w:val="0"/>
        </w:rPr>
        <w:t>无</w:t>
      </w:r>
    </w:p>
    <w:p>
      <w:pPr>
        <w:pStyle w:val="Heading4"/>
        <w:spacing w:line="240" w:lineRule="auto" w:before="113"/>
        <w:ind w:right="0"/>
        <w:jc w:val="left"/>
        <w:rPr>
          <w:b w:val="0"/>
          <w:bCs w:val="0"/>
        </w:rPr>
      </w:pPr>
      <w:bookmarkStart w:name="17、预计负债" w:id="102"/>
      <w:bookmarkEnd w:id="102"/>
      <w:r>
        <w:rPr>
          <w:b w:val="0"/>
          <w:bCs w:val="0"/>
        </w:rPr>
      </w:r>
      <w:r>
        <w:rPr>
          <w:rFonts w:ascii="Times New Roman" w:hAnsi="Times New Roman" w:cs="Times New Roman" w:eastAsia="Times New Roman" w:hint="default"/>
        </w:rPr>
        <w:t>17</w:t>
      </w:r>
      <w:r>
        <w:rPr/>
        <w:t>、预计负债</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514" w:right="150"/>
        <w:jc w:val="both"/>
      </w:pPr>
      <w:r>
        <w:rPr>
          <w:spacing w:val="-2"/>
        </w:rPr>
        <w:t>在职工劳动合同到期之前解除与职工的劳动关系，或为鼓励职工自愿接受裁减而提出给予补偿的建议，如果本集团已经</w:t>
      </w:r>
      <w:r>
        <w:rPr>
          <w:spacing w:val="-68"/>
        </w:rPr>
        <w:t> </w:t>
      </w:r>
      <w:r>
        <w:rPr>
          <w:spacing w:val="-68"/>
        </w:rPr>
      </w:r>
      <w:r>
        <w:rPr>
          <w:spacing w:val="-2"/>
        </w:rPr>
        <w:t>制定正式的解除劳动关系计划或提出自愿裁减建议并即将实施，同时本集团不能单方面撤回解除劳动关系计划或裁减建</w:t>
      </w:r>
      <w:r>
        <w:rPr>
          <w:spacing w:val="-67"/>
        </w:rPr>
        <w:t> </w:t>
      </w:r>
      <w:r>
        <w:rPr>
          <w:spacing w:val="-67"/>
        </w:rPr>
      </w:r>
      <w:r>
        <w:rPr/>
        <w:t>议的，确认因解除与职工劳动关系给予补偿产生的预计负债，并计入当期损益。</w:t>
      </w:r>
    </w:p>
    <w:p>
      <w:pPr>
        <w:spacing w:line="240" w:lineRule="auto" w:before="6"/>
        <w:rPr>
          <w:rFonts w:ascii="宋体" w:hAnsi="宋体" w:cs="宋体" w:eastAsia="宋体" w:hint="default"/>
          <w:sz w:val="24"/>
          <w:szCs w:val="24"/>
        </w:rPr>
      </w:pPr>
    </w:p>
    <w:p>
      <w:pPr>
        <w:pStyle w:val="Heading4"/>
        <w:spacing w:line="240" w:lineRule="auto" w:before="0"/>
        <w:ind w:left="153" w:right="0"/>
        <w:jc w:val="left"/>
        <w:rPr>
          <w:b w:val="0"/>
          <w:bCs w:val="0"/>
        </w:rPr>
      </w:pPr>
      <w:bookmarkStart w:name="18、收入" w:id="103"/>
      <w:bookmarkEnd w:id="103"/>
      <w:r>
        <w:rPr>
          <w:b w:val="0"/>
          <w:bCs w:val="0"/>
        </w:rPr>
      </w:r>
      <w:r>
        <w:rPr>
          <w:rFonts w:ascii="Times New Roman" w:hAnsi="Times New Roman" w:cs="Times New Roman" w:eastAsia="Times New Roman" w:hint="default"/>
        </w:rPr>
        <w:t>18</w:t>
      </w:r>
      <w:r>
        <w:rPr/>
        <w:t>、收入</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18.1</w:t>
      </w:r>
      <w:r>
        <w:rPr>
          <w:u w:val="single" w:color="000000"/>
        </w:rPr>
        <w:t>商品销售收入</w:t>
      </w:r>
      <w:r>
        <w:rPr/>
      </w:r>
    </w:p>
    <w:p>
      <w:pPr>
        <w:spacing w:line="240" w:lineRule="auto" w:before="3"/>
        <w:rPr>
          <w:rFonts w:ascii="宋体" w:hAnsi="宋体" w:cs="宋体" w:eastAsia="宋体" w:hint="default"/>
          <w:sz w:val="25"/>
          <w:szCs w:val="25"/>
        </w:rPr>
      </w:pPr>
    </w:p>
    <w:p>
      <w:pPr>
        <w:pStyle w:val="BodyText"/>
        <w:spacing w:line="316" w:lineRule="auto" w:before="44"/>
        <w:ind w:right="151"/>
        <w:jc w:val="both"/>
      </w:pPr>
      <w:r>
        <w:rPr>
          <w:spacing w:val="-2"/>
        </w:rPr>
        <w:t>在已将商品所有权上的主要风险和报酬转移给买方，既没有保留通常与所有权相联系的继续管理权，也没有对已售</w:t>
      </w:r>
      <w:r>
        <w:rPr>
          <w:spacing w:val="-72"/>
        </w:rPr>
        <w:t> </w:t>
      </w:r>
      <w:r>
        <w:rPr>
          <w:spacing w:val="-72"/>
        </w:rPr>
      </w:r>
      <w:r>
        <w:rPr>
          <w:spacing w:val="-2"/>
        </w:rPr>
        <w:t>商品实施有效控制，收入的金额能够可靠地计量，相关的经济利益很可能流入企业，相关的已发生或将发生的成本</w:t>
      </w:r>
      <w:r>
        <w:rPr>
          <w:spacing w:val="-74"/>
        </w:rPr>
        <w:t> </w:t>
      </w:r>
      <w:r>
        <w:rPr>
          <w:spacing w:val="-74"/>
        </w:rPr>
      </w:r>
      <w:r>
        <w:rPr/>
        <w:t>能够可靠地计量时，确认商品销售收入的实现。</w:t>
      </w:r>
    </w:p>
    <w:p>
      <w:pPr>
        <w:spacing w:line="240" w:lineRule="auto" w:before="4"/>
        <w:rPr>
          <w:rFonts w:ascii="宋体" w:hAnsi="宋体" w:cs="宋体" w:eastAsia="宋体" w:hint="default"/>
          <w:sz w:val="25"/>
          <w:szCs w:val="25"/>
        </w:rPr>
      </w:pPr>
    </w:p>
    <w:p>
      <w:pPr>
        <w:pStyle w:val="BodyText"/>
        <w:spacing w:line="316" w:lineRule="auto"/>
        <w:ind w:right="151"/>
        <w:jc w:val="both"/>
      </w:pPr>
      <w:r>
        <w:rPr>
          <w:spacing w:val="-2"/>
        </w:rPr>
        <w:t>本集团的主要收入来自于通过电视通路、网络通路、外呼通路及其他通路实现的商品销售收入。本集团出售的商品</w:t>
      </w:r>
      <w:r>
        <w:rPr>
          <w:spacing w:val="-74"/>
        </w:rPr>
        <w:t> </w:t>
      </w:r>
      <w:r>
        <w:rPr>
          <w:spacing w:val="-74"/>
        </w:rPr>
      </w:r>
      <w:r>
        <w:rPr>
          <w:spacing w:val="-2"/>
        </w:rPr>
        <w:t>主要由物流公司负责运送至买方。本集团于物流公司将商品运送至买方、由买方签收并已过退货期时确认商品销售</w:t>
      </w:r>
      <w:r>
        <w:rPr>
          <w:spacing w:val="-72"/>
        </w:rPr>
        <w:t> </w:t>
      </w:r>
      <w:r>
        <w:rPr>
          <w:spacing w:val="-72"/>
        </w:rPr>
      </w:r>
      <w:r>
        <w:rPr/>
        <w:t>收入。</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18.2</w:t>
      </w:r>
      <w:r>
        <w:rPr>
          <w:rFonts w:ascii="Times New Roman" w:hAnsi="Times New Roman" w:cs="Times New Roman" w:eastAsia="Times New Roman" w:hint="default"/>
          <w:spacing w:val="26"/>
          <w:u w:val="single" w:color="000000"/>
        </w:rPr>
        <w:t> </w:t>
      </w:r>
      <w:r>
        <w:rPr>
          <w:u w:val="single" w:color="000000"/>
        </w:rPr>
        <w:t>提供劳务收入</w:t>
      </w:r>
      <w:r>
        <w:rPr/>
      </w:r>
    </w:p>
    <w:p>
      <w:pPr>
        <w:spacing w:line="240" w:lineRule="auto" w:before="4"/>
        <w:rPr>
          <w:rFonts w:ascii="宋体" w:hAnsi="宋体" w:cs="宋体" w:eastAsia="宋体" w:hint="default"/>
          <w:sz w:val="25"/>
          <w:szCs w:val="25"/>
        </w:rPr>
      </w:pPr>
    </w:p>
    <w:p>
      <w:pPr>
        <w:pStyle w:val="BodyText"/>
        <w:spacing w:line="240" w:lineRule="auto" w:before="44"/>
        <w:ind w:right="0"/>
        <w:jc w:val="left"/>
      </w:pPr>
      <w:r>
        <w:rPr/>
        <w:t>在提供劳务交易的结果能够可靠估计的情况下，于资产负债表日按照完工百分比法确认提供的劳务收入。</w:t>
      </w:r>
    </w:p>
    <w:p>
      <w:pPr>
        <w:spacing w:line="240" w:lineRule="auto" w:before="0"/>
        <w:rPr>
          <w:rFonts w:ascii="宋体" w:hAnsi="宋体" w:cs="宋体" w:eastAsia="宋体" w:hint="default"/>
          <w:sz w:val="18"/>
          <w:szCs w:val="18"/>
        </w:rPr>
      </w:pPr>
    </w:p>
    <w:p>
      <w:pPr>
        <w:pStyle w:val="BodyText"/>
        <w:spacing w:line="300" w:lineRule="auto" w:before="153"/>
        <w:ind w:right="172"/>
        <w:jc w:val="left"/>
      </w:pPr>
      <w:r>
        <w:rPr/>
        <w:t>提供劳务交易的结果能够可靠估计是指同时满足：</w:t>
      </w:r>
      <w:r>
        <w:rPr>
          <w:rFonts w:ascii="Times New Roman" w:hAnsi="Times New Roman" w:cs="Times New Roman" w:eastAsia="Times New Roman" w:hint="default"/>
        </w:rPr>
        <w:t>(1)</w:t>
      </w:r>
      <w:r>
        <w:rPr/>
        <w:t>收入的金额能够可靠地计量；</w:t>
      </w:r>
      <w:r>
        <w:rPr>
          <w:rFonts w:ascii="Times New Roman" w:hAnsi="Times New Roman" w:cs="Times New Roman" w:eastAsia="Times New Roman" w:hint="default"/>
        </w:rPr>
        <w:t>(2)</w:t>
      </w:r>
      <w:r>
        <w:rPr/>
        <w:t>相关的经济利益很可能流入 企业；</w:t>
      </w:r>
      <w:r>
        <w:rPr>
          <w:rFonts w:ascii="Times New Roman" w:hAnsi="Times New Roman" w:cs="Times New Roman" w:eastAsia="Times New Roman" w:hint="default"/>
        </w:rPr>
        <w:t>(3)</w:t>
      </w:r>
      <w:r>
        <w:rPr/>
        <w:t>交易的完工程度能够可靠地确定；</w:t>
      </w:r>
      <w:r>
        <w:rPr>
          <w:rFonts w:ascii="Times New Roman" w:hAnsi="Times New Roman" w:cs="Times New Roman" w:eastAsia="Times New Roman" w:hint="default"/>
        </w:rPr>
        <w:t>(4)</w:t>
      </w:r>
      <w:r>
        <w:rPr/>
        <w:t>交易中已发生和将发生的成本能够可靠地计量。</w:t>
      </w:r>
    </w:p>
    <w:p>
      <w:pPr>
        <w:spacing w:after="0" w:line="300" w:lineRule="auto"/>
        <w:jc w:val="left"/>
        <w:sectPr>
          <w:pgSz w:w="11910" w:h="16840"/>
          <w:pgMar w:header="851" w:footer="979" w:top="1320" w:bottom="1160" w:left="980" w:right="980"/>
        </w:sectPr>
      </w:pPr>
    </w:p>
    <w:p>
      <w:pPr>
        <w:spacing w:line="240" w:lineRule="auto" w:before="3"/>
        <w:rPr>
          <w:rFonts w:ascii="宋体" w:hAnsi="宋体" w:cs="宋体" w:eastAsia="宋体" w:hint="default"/>
          <w:sz w:val="29"/>
          <w:szCs w:val="29"/>
        </w:rPr>
      </w:pPr>
    </w:p>
    <w:p>
      <w:pPr>
        <w:pStyle w:val="BodyText"/>
        <w:spacing w:line="316" w:lineRule="auto" w:before="44"/>
        <w:ind w:right="0"/>
        <w:jc w:val="left"/>
      </w:pPr>
      <w:r>
        <w:rPr>
          <w:spacing w:val="-2"/>
        </w:rPr>
        <w:t>如果提供劳务交易的结果不能够可靠估计，则按已经发生并预计能够得到补偿的劳务成本金额确认提供的劳务收入，</w:t>
      </w:r>
      <w:r>
        <w:rPr>
          <w:spacing w:val="-70"/>
        </w:rPr>
        <w:t> </w:t>
      </w:r>
      <w:r>
        <w:rPr>
          <w:spacing w:val="-70"/>
        </w:rPr>
      </w:r>
      <w:r>
        <w:rPr/>
        <w:t>并将已发生的劳务成本作为当期费用。已经发生的劳务成本如预计不能得到补偿的，则不确认收入。</w:t>
      </w:r>
    </w:p>
    <w:p>
      <w:pPr>
        <w:spacing w:line="240" w:lineRule="auto" w:before="4"/>
        <w:rPr>
          <w:rFonts w:ascii="宋体" w:hAnsi="宋体" w:cs="宋体" w:eastAsia="宋体" w:hint="default"/>
          <w:sz w:val="25"/>
          <w:szCs w:val="25"/>
        </w:rPr>
      </w:pPr>
    </w:p>
    <w:p>
      <w:pPr>
        <w:pStyle w:val="BodyText"/>
        <w:spacing w:line="316" w:lineRule="auto"/>
        <w:ind w:right="291"/>
        <w:jc w:val="both"/>
      </w:pPr>
      <w:r>
        <w:rPr>
          <w:spacing w:val="-2"/>
        </w:rPr>
        <w:t>对于销售产品或提供劳务同时授予客户奖励积分的业务，在销售产品或提供劳务的同时，本集团将销售取得的货款</w:t>
      </w:r>
      <w:r>
        <w:rPr>
          <w:spacing w:val="-72"/>
        </w:rPr>
        <w:t> </w:t>
      </w:r>
      <w:r>
        <w:rPr>
          <w:spacing w:val="-72"/>
        </w:rPr>
      </w:r>
      <w:r>
        <w:rPr>
          <w:spacing w:val="-2"/>
        </w:rPr>
        <w:t>或应收货款在本次商品销售或劳务提供产生的收入与奖励积分的公允价值之间进行分配，将取得的货款或应收货款</w:t>
      </w:r>
      <w:r>
        <w:rPr>
          <w:spacing w:val="-72"/>
        </w:rPr>
        <w:t> </w:t>
      </w:r>
      <w:r>
        <w:rPr>
          <w:spacing w:val="-72"/>
        </w:rPr>
      </w:r>
      <w:r>
        <w:rPr/>
        <w:t>扣除奖励积分公允价值的部分确认为收入、奖励积分的公允价值确认为递延收益</w:t>
      </w:r>
      <w:r>
        <w:rPr>
          <w:rFonts w:ascii="Times New Roman" w:hAnsi="Times New Roman" w:cs="Times New Roman" w:eastAsia="Times New Roman" w:hint="default"/>
        </w:rPr>
        <w:t>(“</w:t>
      </w:r>
      <w:r>
        <w:rPr/>
        <w:t>其他流动负债</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3"/>
          <w:szCs w:val="23"/>
        </w:rPr>
      </w:pPr>
    </w:p>
    <w:p>
      <w:pPr>
        <w:pStyle w:val="BodyText"/>
        <w:spacing w:line="316" w:lineRule="auto"/>
        <w:ind w:right="291"/>
        <w:jc w:val="both"/>
      </w:pPr>
      <w:r>
        <w:rPr>
          <w:spacing w:val="-2"/>
        </w:rPr>
        <w:t>客户兑换奖励积分时，本集团将原计入递延收益的与所兑换积分相关的部分确认为收入，确认为收入的金额以被兑</w:t>
      </w:r>
      <w:r>
        <w:rPr>
          <w:spacing w:val="-72"/>
        </w:rPr>
        <w:t> </w:t>
      </w:r>
      <w:r>
        <w:rPr>
          <w:spacing w:val="-72"/>
        </w:rPr>
      </w:r>
      <w:r>
        <w:rPr/>
        <w:t>换用于换取奖励的积分数额占预期将兑换用于换取奖励的积分总数的比例为基础计算确定。</w:t>
      </w:r>
    </w:p>
    <w:p>
      <w:pPr>
        <w:spacing w:line="240" w:lineRule="auto" w:before="6"/>
        <w:rPr>
          <w:rFonts w:ascii="宋体" w:hAnsi="宋体" w:cs="宋体" w:eastAsia="宋体" w:hint="default"/>
          <w:sz w:val="24"/>
          <w:szCs w:val="24"/>
        </w:rPr>
      </w:pPr>
    </w:p>
    <w:p>
      <w:pPr>
        <w:pStyle w:val="Heading4"/>
        <w:spacing w:line="240" w:lineRule="auto" w:before="0"/>
        <w:ind w:right="0"/>
        <w:jc w:val="left"/>
        <w:rPr>
          <w:b w:val="0"/>
          <w:bCs w:val="0"/>
        </w:rPr>
      </w:pPr>
      <w:bookmarkStart w:name="19、政府补助" w:id="104"/>
      <w:bookmarkEnd w:id="104"/>
      <w:r>
        <w:rPr>
          <w:b w:val="0"/>
          <w:bCs w:val="0"/>
        </w:rPr>
      </w:r>
      <w:r>
        <w:rPr>
          <w:rFonts w:ascii="Times New Roman" w:hAnsi="Times New Roman" w:cs="Times New Roman" w:eastAsia="Times New Roman" w:hint="default"/>
        </w:rPr>
        <w:t>19</w:t>
      </w:r>
      <w:r>
        <w:rPr/>
        <w:t>、政府补助</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与资产相关的政府补助判断依据及会计处理方法" w:id="105"/>
      <w:bookmarkEnd w:id="1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right="291"/>
        <w:jc w:val="both"/>
      </w:pPr>
      <w:r>
        <w:rPr>
          <w:spacing w:val="-2"/>
        </w:rPr>
        <w:t>政府补助是指本集团从政府无偿取得货币性资产和非货币性资产。政府补助在能够满足政府补助所附条件且能够收</w:t>
      </w:r>
      <w:r>
        <w:rPr>
          <w:spacing w:val="-72"/>
        </w:rPr>
        <w:t> </w:t>
      </w:r>
      <w:r>
        <w:rPr>
          <w:spacing w:val="-72"/>
        </w:rPr>
      </w:r>
      <w:r>
        <w:rPr/>
        <w:t>到时予以确认。政府补助分为与资产相关的政府补助和与收益相关的政府补助。</w:t>
      </w:r>
    </w:p>
    <w:p>
      <w:pPr>
        <w:spacing w:line="240" w:lineRule="auto" w:before="4"/>
        <w:rPr>
          <w:rFonts w:ascii="宋体" w:hAnsi="宋体" w:cs="宋体" w:eastAsia="宋体" w:hint="default"/>
          <w:sz w:val="25"/>
          <w:szCs w:val="25"/>
        </w:rPr>
      </w:pPr>
    </w:p>
    <w:p>
      <w:pPr>
        <w:pStyle w:val="BodyText"/>
        <w:spacing w:line="316" w:lineRule="auto"/>
        <w:ind w:right="291"/>
        <w:jc w:val="both"/>
      </w:pPr>
      <w:r>
        <w:rPr>
          <w:spacing w:val="-2"/>
        </w:rPr>
        <w:t>政府补助为货币性资产的，按照收到或应收的金额计量。政府补助为非货币性资产的，按照公允价值计量；公允价</w:t>
      </w:r>
      <w:r>
        <w:rPr>
          <w:spacing w:val="-74"/>
        </w:rPr>
        <w:t> </w:t>
      </w:r>
      <w:r>
        <w:rPr>
          <w:spacing w:val="-74"/>
        </w:rPr>
      </w:r>
      <w:r>
        <w:rPr>
          <w:spacing w:val="-2"/>
        </w:rPr>
        <w:t>值不能够可靠取得的，按照名义金额计量。按照名义金额计量的政府补助，直接计入当期损益。政府补助根据相关</w:t>
      </w:r>
      <w:r>
        <w:rPr>
          <w:spacing w:val="-74"/>
        </w:rPr>
        <w:t> </w:t>
      </w:r>
      <w:r>
        <w:rPr>
          <w:spacing w:val="-74"/>
        </w:rPr>
      </w:r>
      <w:r>
        <w:rPr/>
        <w:t>政府文件中明确规定的补助对象性质划分为与资产相关的政府补助和与收益相关的政府补助。</w:t>
      </w:r>
    </w:p>
    <w:p>
      <w:pPr>
        <w:spacing w:line="240" w:lineRule="auto" w:before="4"/>
        <w:rPr>
          <w:rFonts w:ascii="宋体" w:hAnsi="宋体" w:cs="宋体" w:eastAsia="宋体" w:hint="default"/>
          <w:sz w:val="25"/>
          <w:szCs w:val="25"/>
        </w:rPr>
      </w:pPr>
    </w:p>
    <w:p>
      <w:pPr>
        <w:pStyle w:val="BodyText"/>
        <w:spacing w:line="316" w:lineRule="auto"/>
        <w:ind w:right="200"/>
        <w:jc w:val="both"/>
      </w:pPr>
      <w:r>
        <w:rPr>
          <w:spacing w:val="-2"/>
        </w:rPr>
        <w:t>与资产相关的政府补助，确认为递延收益，并在相关资产的使用寿命内平均分配计入当期损益。与收益相关的政府</w:t>
      </w:r>
      <w:r>
        <w:rPr>
          <w:spacing w:val="-74"/>
        </w:rPr>
        <w:t> </w:t>
      </w:r>
      <w:r>
        <w:rPr>
          <w:spacing w:val="-74"/>
        </w:rPr>
      </w:r>
      <w:r>
        <w:rPr>
          <w:spacing w:val="-2"/>
        </w:rPr>
        <w:t>补助，用于补偿以后期间的相关费用和损失的，确认为递延收益，并在确认相关费用的期间计入当期损益；用于补</w:t>
      </w:r>
      <w:r>
        <w:rPr>
          <w:spacing w:val="-74"/>
        </w:rPr>
        <w:t> </w:t>
      </w:r>
      <w:r>
        <w:rPr>
          <w:spacing w:val="-74"/>
        </w:rPr>
      </w:r>
      <w:r>
        <w:rPr/>
        <w:t>偿已经发生的相关费用和损失的，直接计入当期损益。</w:t>
      </w:r>
    </w:p>
    <w:p>
      <w:pPr>
        <w:spacing w:line="240" w:lineRule="auto" w:before="4"/>
        <w:rPr>
          <w:rFonts w:ascii="宋体" w:hAnsi="宋体" w:cs="宋体" w:eastAsia="宋体" w:hint="default"/>
          <w:sz w:val="25"/>
          <w:szCs w:val="25"/>
        </w:rPr>
      </w:pPr>
    </w:p>
    <w:p>
      <w:pPr>
        <w:pStyle w:val="BodyText"/>
        <w:spacing w:line="316" w:lineRule="auto"/>
        <w:ind w:right="200"/>
        <w:jc w:val="both"/>
      </w:pPr>
      <w:r>
        <w:rPr/>
        <w:t>已确认的政府补助需要返还时，存在相关递延收益余额的，冲减相关递延收益账面余额，超出部分计入当期损益；</w:t>
      </w:r>
      <w:r>
        <w:rPr>
          <w:spacing w:val="-84"/>
        </w:rPr>
        <w:t> </w:t>
      </w:r>
      <w:r>
        <w:rPr>
          <w:spacing w:val="-84"/>
        </w:rPr>
      </w:r>
      <w:r>
        <w:rPr/>
        <w:t>不存在相关递延收益的，直接计入当期损益。</w:t>
      </w:r>
    </w:p>
    <w:p>
      <w:pPr>
        <w:spacing w:line="240" w:lineRule="auto" w:before="6"/>
        <w:rPr>
          <w:rFonts w:ascii="宋体" w:hAnsi="宋体" w:cs="宋体" w:eastAsia="宋体" w:hint="default"/>
          <w:sz w:val="24"/>
          <w:szCs w:val="24"/>
        </w:rPr>
      </w:pPr>
    </w:p>
    <w:p>
      <w:pPr>
        <w:pStyle w:val="Heading4"/>
        <w:spacing w:line="240" w:lineRule="auto" w:before="0"/>
        <w:ind w:right="0"/>
        <w:jc w:val="left"/>
        <w:rPr>
          <w:b w:val="0"/>
          <w:bCs w:val="0"/>
        </w:rPr>
      </w:pPr>
      <w:bookmarkStart w:name="（2）与收益相关的政府补助判断依据及会计处理方法" w:id="106"/>
      <w:bookmarkEnd w:id="1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153" w:right="288"/>
        <w:jc w:val="left"/>
      </w:pPr>
      <w:r>
        <w:rPr>
          <w:spacing w:val="-5"/>
        </w:rPr>
        <w:t>与收益相关的政府补助，用于补偿以后期间的相关费用和损失的，确认为递延收益，并在确认相关费用的期间计入当期损益；</w:t>
      </w:r>
      <w:r>
        <w:rPr>
          <w:spacing w:val="-79"/>
        </w:rPr>
        <w:t> </w:t>
      </w:r>
      <w:r>
        <w:rPr>
          <w:spacing w:val="-79"/>
        </w:rPr>
      </w:r>
      <w:r>
        <w:rPr/>
        <w:t>用于补偿已经发生的相关费用和损失的，直接计入当期损益。</w:t>
      </w:r>
    </w:p>
    <w:p>
      <w:pPr>
        <w:spacing w:line="612" w:lineRule="exact" w:before="40"/>
        <w:ind w:left="874" w:right="5772" w:hanging="721"/>
        <w:jc w:val="left"/>
        <w:rPr>
          <w:rFonts w:ascii="宋体" w:hAnsi="宋体" w:cs="宋体" w:eastAsia="宋体" w:hint="default"/>
          <w:sz w:val="18"/>
          <w:szCs w:val="18"/>
        </w:rPr>
      </w:pPr>
      <w:bookmarkStart w:name="20、递延所得税资产/递延所得税负债" w:id="107"/>
      <w:bookmarkEnd w:id="107"/>
      <w:r>
        <w:rPr/>
      </w:r>
      <w:r>
        <w:rPr>
          <w:rFonts w:ascii="Times New Roman" w:hAnsi="Times New Roman" w:cs="Times New Roman" w:eastAsia="Times New Roman" w:hint="default"/>
          <w:b/>
          <w:bCs/>
          <w:sz w:val="18"/>
          <w:szCs w:val="18"/>
        </w:rPr>
        <w:t>20</w:t>
      </w:r>
      <w:r>
        <w:rPr>
          <w:rFonts w:ascii="宋体" w:hAnsi="宋体" w:cs="宋体" w:eastAsia="宋体" w:hint="default"/>
          <w:b/>
          <w:bCs/>
          <w:sz w:val="18"/>
          <w:szCs w:val="18"/>
        </w:rPr>
        <w:t>、递延所得税资产</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递延所得税负债</w:t>
      </w:r>
      <w:r>
        <w:rPr>
          <w:rFonts w:ascii="宋体" w:hAnsi="宋体" w:cs="宋体" w:eastAsia="宋体" w:hint="default"/>
          <w:b/>
          <w:bCs/>
          <w:w w:val="99"/>
          <w:sz w:val="18"/>
          <w:szCs w:val="18"/>
        </w:rPr>
        <w:t> </w:t>
      </w:r>
      <w:r>
        <w:rPr>
          <w:rFonts w:ascii="宋体" w:hAnsi="宋体" w:cs="宋体" w:eastAsia="宋体" w:hint="default"/>
          <w:sz w:val="18"/>
          <w:szCs w:val="18"/>
        </w:rPr>
        <w:t>所得税费用包括当期所得税和递延所得税。</w:t>
      </w:r>
    </w:p>
    <w:p>
      <w:pPr>
        <w:pStyle w:val="BodyText"/>
        <w:spacing w:line="229" w:lineRule="exact"/>
        <w:ind w:right="0"/>
        <w:jc w:val="both"/>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20.1.</w:t>
      </w:r>
      <w:r>
        <w:rPr>
          <w:u w:val="single" w:color="000000"/>
        </w:rPr>
        <w:t>当期所得税</w:t>
      </w:r>
      <w:r>
        <w:rPr/>
      </w:r>
    </w:p>
    <w:p>
      <w:pPr>
        <w:pStyle w:val="BodyText"/>
        <w:spacing w:line="300" w:lineRule="auto" w:before="63"/>
        <w:ind w:right="312"/>
        <w:jc w:val="left"/>
      </w:pPr>
      <w:r>
        <w:rPr/>
        <w:t>资产负债表日，对于当期和以前期间形成的当期所得税负债</w:t>
      </w:r>
      <w:r>
        <w:rPr>
          <w:rFonts w:ascii="Times New Roman" w:hAnsi="Times New Roman" w:cs="Times New Roman" w:eastAsia="Times New Roman" w:hint="default"/>
        </w:rPr>
        <w:t>(</w:t>
      </w:r>
      <w:r>
        <w:rPr/>
        <w:t>或资产</w:t>
      </w:r>
      <w:r>
        <w:rPr>
          <w:rFonts w:ascii="Times New Roman" w:hAnsi="Times New Roman" w:cs="Times New Roman" w:eastAsia="Times New Roman" w:hint="default"/>
        </w:rPr>
        <w:t>)</w:t>
      </w:r>
      <w:r>
        <w:rPr/>
        <w:t>，以按照税法规定计算的预期应交纳</w:t>
      </w:r>
      <w:r>
        <w:rPr>
          <w:rFonts w:ascii="Times New Roman" w:hAnsi="Times New Roman" w:cs="Times New Roman" w:eastAsia="Times New Roman" w:hint="default"/>
        </w:rPr>
        <w:t>(</w:t>
      </w:r>
      <w:r>
        <w:rPr/>
        <w:t>或返还</w:t>
      </w:r>
      <w:r>
        <w:rPr>
          <w:rFonts w:ascii="Times New Roman" w:hAnsi="Times New Roman" w:cs="Times New Roman" w:eastAsia="Times New Roman" w:hint="default"/>
        </w:rPr>
        <w:t>) </w:t>
      </w:r>
      <w:r>
        <w:rPr/>
        <w:t>的所得税金额计量。</w:t>
      </w:r>
    </w:p>
    <w:p>
      <w:pPr>
        <w:pStyle w:val="BodyText"/>
        <w:spacing w:line="314" w:lineRule="auto" w:before="32"/>
        <w:ind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20.2.</w:t>
      </w:r>
      <w:r>
        <w:rPr>
          <w:u w:val="single" w:color="000000"/>
        </w:rPr>
        <w:t>递延所得税资产及递延所得税负债</w:t>
      </w:r>
      <w:r>
        <w:rPr/>
      </w:r>
      <w:r>
        <w:rPr/>
        <w:t> </w:t>
      </w:r>
      <w:r>
        <w:rPr>
          <w:spacing w:val="-2"/>
        </w:rPr>
        <w:t>对于某些资产、负债项目的账面价值与其计税基础之间的差额，以及未作为资产和负债确认但按照税法规定可以确</w:t>
      </w:r>
      <w:r>
        <w:rPr>
          <w:spacing w:val="-72"/>
        </w:rPr>
        <w:t> </w:t>
      </w:r>
      <w:r>
        <w:rPr>
          <w:spacing w:val="-72"/>
        </w:rPr>
      </w:r>
      <w:r>
        <w:rPr>
          <w:spacing w:val="-2"/>
        </w:rPr>
        <w:t>定其计税基础的项目的账面价值与计税基础之间的差额产生的暂时性差异，采用资产负债表债务法确认递延所得税</w:t>
      </w:r>
      <w:r>
        <w:rPr>
          <w:spacing w:val="-72"/>
        </w:rPr>
        <w:t> </w:t>
      </w:r>
      <w:r>
        <w:rPr>
          <w:spacing w:val="-72"/>
        </w:rPr>
      </w:r>
      <w:r>
        <w:rPr/>
        <w:t>资产及递延所得税负债。 </w:t>
      </w:r>
      <w:r>
        <w:rPr>
          <w:spacing w:val="-2"/>
        </w:rPr>
        <w:t>一般情况下所有暂时性差异均确认相关的递延所得税。但对于可抵扣暂时性差异，本集团以很可能取得用来抵扣可</w:t>
      </w:r>
    </w:p>
    <w:p>
      <w:pPr>
        <w:spacing w:after="0" w:line="314" w:lineRule="auto"/>
        <w:jc w:val="left"/>
        <w:sectPr>
          <w:footerReference w:type="default" r:id="rId19"/>
          <w:pgSz w:w="11910" w:h="16840"/>
          <w:pgMar w:footer="979" w:header="851" w:top="1320" w:bottom="1160" w:left="980" w:right="840"/>
          <w:pgNumType w:start="71"/>
        </w:sectPr>
      </w:pPr>
    </w:p>
    <w:p>
      <w:pPr>
        <w:pStyle w:val="BodyText"/>
        <w:spacing w:line="316" w:lineRule="auto" w:before="114"/>
        <w:ind w:right="92"/>
        <w:jc w:val="left"/>
      </w:pPr>
      <w:r>
        <w:rPr>
          <w:spacing w:val="-2"/>
        </w:rPr>
        <w:t>抵扣暂时性差异的应纳税所得额为限，确认相关的递延所得税资产。此外，与商誉的初始确认相关的，以及与既不</w:t>
      </w:r>
      <w:r>
        <w:rPr>
          <w:spacing w:val="-74"/>
        </w:rPr>
        <w:t> </w:t>
      </w:r>
      <w:r>
        <w:rPr>
          <w:spacing w:val="-74"/>
        </w:rPr>
      </w:r>
      <w:r>
        <w:rPr>
          <w:spacing w:val="-1"/>
        </w:rPr>
        <w:t>是企业合并、发生时也不影响会计利润和应纳税所得额</w:t>
      </w:r>
      <w:r>
        <w:rPr>
          <w:rFonts w:ascii="Times New Roman" w:hAnsi="Times New Roman" w:cs="Times New Roman" w:eastAsia="Times New Roman" w:hint="default"/>
          <w:spacing w:val="-1"/>
        </w:rPr>
        <w:t>(</w:t>
      </w:r>
      <w:r>
        <w:rPr>
          <w:spacing w:val="-1"/>
        </w:rPr>
        <w:t>或可抵扣亏损</w:t>
      </w:r>
      <w:r>
        <w:rPr>
          <w:rFonts w:ascii="Times New Roman" w:hAnsi="Times New Roman" w:cs="Times New Roman" w:eastAsia="Times New Roman" w:hint="default"/>
          <w:spacing w:val="-1"/>
        </w:rPr>
        <w:t>)</w:t>
      </w:r>
      <w:r>
        <w:rPr>
          <w:spacing w:val="-1"/>
        </w:rPr>
        <w:t>的交易中产生的资产或负债的初始确认有关</w:t>
      </w:r>
      <w:r>
        <w:rPr>
          <w:spacing w:val="-61"/>
        </w:rPr>
        <w:t> </w:t>
      </w:r>
      <w:r>
        <w:rPr/>
        <w:t>的暂时性差异，不予确认有关的递延所得税资产或负债。 </w:t>
      </w:r>
      <w:r>
        <w:rPr>
          <w:spacing w:val="-2"/>
        </w:rPr>
        <w:t>对于能够结转以后年度的可抵扣亏损及税款抵减，以很可能获得用来抵扣可抵扣亏损和税款抵减的未来应纳税所得</w:t>
      </w:r>
      <w:r>
        <w:rPr>
          <w:spacing w:val="-72"/>
        </w:rPr>
        <w:t> </w:t>
      </w:r>
      <w:r>
        <w:rPr>
          <w:spacing w:val="-72"/>
        </w:rPr>
      </w:r>
      <w:r>
        <w:rPr/>
        <w:t>额为限，确认相应的递延所得税资产。 </w:t>
      </w:r>
      <w:r>
        <w:rPr>
          <w:spacing w:val="-2"/>
        </w:rPr>
        <w:t>本集团确认与子公司、联营企业及合营企业投资相关的应纳税暂时性差异产生的递延所得税负债，除非本集团能够</w:t>
      </w:r>
      <w:r>
        <w:rPr>
          <w:spacing w:val="-72"/>
        </w:rPr>
        <w:t> </w:t>
      </w:r>
      <w:r>
        <w:rPr>
          <w:spacing w:val="-72"/>
        </w:rPr>
      </w:r>
      <w:r>
        <w:rPr>
          <w:spacing w:val="-2"/>
        </w:rPr>
        <w:t>控制暂时性差异转回的时间，而且该暂时性差异在可预见的未来很可能不会转回。对于与子公司、联营企业及合营</w:t>
      </w:r>
      <w:r>
        <w:rPr>
          <w:spacing w:val="-74"/>
        </w:rPr>
        <w:t> </w:t>
      </w:r>
      <w:r>
        <w:rPr>
          <w:spacing w:val="-74"/>
        </w:rPr>
      </w:r>
      <w:r>
        <w:rPr>
          <w:spacing w:val="-2"/>
        </w:rPr>
        <w:t>企业投资相关的可抵扣暂时性差异，只有当暂时性差异在可预见的未来很可能转回，且未来很可能获得用来抵扣可</w:t>
      </w:r>
      <w:r>
        <w:rPr>
          <w:spacing w:val="-72"/>
        </w:rPr>
        <w:t> </w:t>
      </w:r>
      <w:r>
        <w:rPr>
          <w:spacing w:val="-72"/>
        </w:rPr>
      </w:r>
      <w:r>
        <w:rPr/>
        <w:t>抵扣暂时性差异的应纳税所得额时，本集团才确认递延所得税资产。 </w:t>
      </w:r>
      <w:r>
        <w:rPr>
          <w:spacing w:val="-2"/>
        </w:rPr>
        <w:t>资产负债表日，对于递延所得税资产和递延所得税负债，根据税法规定，按照预期收回相关资产或清偿相关负债期</w:t>
      </w:r>
      <w:r>
        <w:rPr>
          <w:spacing w:val="-74"/>
        </w:rPr>
        <w:t> </w:t>
      </w:r>
      <w:r>
        <w:rPr>
          <w:spacing w:val="-74"/>
        </w:rPr>
      </w:r>
      <w:r>
        <w:rPr/>
        <w:t>间的适用税率计量。 除与直接计入其他综合收益或股东权益的交易和事项相关的当期所得税和递延所得税计入其他综合收益或股东权 </w:t>
      </w:r>
      <w:r>
        <w:rPr>
          <w:spacing w:val="-2"/>
        </w:rPr>
        <w:t>益，以及企业合并产生的递延所得税调整商誉的账面价值外，其余当期所得税和递延所得税费用或收益计入当期损</w:t>
      </w:r>
      <w:r>
        <w:rPr>
          <w:spacing w:val="-72"/>
        </w:rPr>
        <w:t> </w:t>
      </w:r>
      <w:r>
        <w:rPr>
          <w:spacing w:val="-72"/>
        </w:rPr>
      </w:r>
      <w:r>
        <w:rPr/>
        <w:t>益。 </w:t>
      </w:r>
      <w:r>
        <w:rPr>
          <w:spacing w:val="-2"/>
        </w:rPr>
        <w:t>资产负债表日，对递延所得税资产的账面价值进行复核，如果未来很可能无法获得足够的应纳税所得额用以抵扣递</w:t>
      </w:r>
      <w:r>
        <w:rPr>
          <w:spacing w:val="-72"/>
        </w:rPr>
        <w:t> </w:t>
      </w:r>
      <w:r>
        <w:rPr>
          <w:spacing w:val="-72"/>
        </w:rPr>
      </w:r>
      <w:r>
        <w:rPr>
          <w:spacing w:val="-2"/>
        </w:rPr>
        <w:t>延所得税资产的利益，则减记递延所得税资产的账面价值。在很可能获得足够的应纳税所得额时，减记的金额予以</w:t>
      </w:r>
      <w:r>
        <w:rPr>
          <w:spacing w:val="-74"/>
        </w:rPr>
        <w:t> </w:t>
      </w:r>
      <w:r>
        <w:rPr>
          <w:spacing w:val="-74"/>
        </w:rPr>
      </w:r>
      <w:r>
        <w:rPr/>
        <w:t>转回。 </w:t>
      </w:r>
      <w:r>
        <w:rPr>
          <w:spacing w:val="-2"/>
        </w:rPr>
        <w:t>当拥有以净额结算的法定权利，且意图以净额结算或取得资产、清偿负债同时进行时，本集团当期所得税资产及当</w:t>
      </w:r>
      <w:r>
        <w:rPr>
          <w:spacing w:val="-74"/>
        </w:rPr>
        <w:t> </w:t>
      </w:r>
      <w:r>
        <w:rPr>
          <w:spacing w:val="-74"/>
        </w:rPr>
      </w:r>
      <w:r>
        <w:rPr/>
        <w:t>期所得税负债以抵消后的净额列报。 </w:t>
      </w:r>
      <w:r>
        <w:rPr>
          <w:spacing w:val="-2"/>
        </w:rPr>
        <w:t>当拥有以净额结算当期所得税资产及当期所得税负债的法定权利，且递延所得税资产及递延所得税负债是与同一税</w:t>
      </w:r>
      <w:r>
        <w:rPr>
          <w:spacing w:val="-72"/>
        </w:rPr>
        <w:t> </w:t>
      </w:r>
      <w:r>
        <w:rPr>
          <w:spacing w:val="-72"/>
        </w:rPr>
      </w:r>
      <w:r>
        <w:rPr>
          <w:spacing w:val="-2"/>
        </w:rPr>
        <w:t>收征管部门对同一纳税主体征收的所得税相关或者是对不同的纳税主体相关，但在未来每一具有重要性的递延所得</w:t>
      </w:r>
      <w:r>
        <w:rPr>
          <w:spacing w:val="-72"/>
        </w:rPr>
        <w:t> </w:t>
      </w:r>
      <w:r>
        <w:rPr>
          <w:spacing w:val="-72"/>
        </w:rPr>
      </w:r>
      <w:r>
        <w:rPr>
          <w:spacing w:val="-2"/>
        </w:rPr>
        <w:t>税资产及负债转回的期间内，涉及的纳税主体意图以净额结算当期所得税资产和负债或是同时取得资产、清偿负债</w:t>
      </w:r>
      <w:r>
        <w:rPr>
          <w:spacing w:val="-72"/>
        </w:rPr>
        <w:t> </w:t>
      </w:r>
      <w:r>
        <w:rPr>
          <w:spacing w:val="-72"/>
        </w:rPr>
      </w:r>
      <w:r>
        <w:rPr/>
        <w:t>时，本集团递延所得税资产及递延所得税负债以抵销后的净额列报。</w:t>
      </w:r>
    </w:p>
    <w:p>
      <w:pPr>
        <w:spacing w:line="240" w:lineRule="auto" w:before="6"/>
        <w:rPr>
          <w:rFonts w:ascii="宋体" w:hAnsi="宋体" w:cs="宋体" w:eastAsia="宋体" w:hint="default"/>
          <w:sz w:val="24"/>
          <w:szCs w:val="24"/>
        </w:rPr>
      </w:pPr>
    </w:p>
    <w:p>
      <w:pPr>
        <w:pStyle w:val="Heading4"/>
        <w:spacing w:line="240" w:lineRule="auto" w:before="0"/>
        <w:ind w:left="153" w:right="5193"/>
        <w:jc w:val="left"/>
        <w:rPr>
          <w:b w:val="0"/>
          <w:bCs w:val="0"/>
        </w:rPr>
      </w:pPr>
      <w:bookmarkStart w:name="21、租赁" w:id="108"/>
      <w:bookmarkEnd w:id="108"/>
      <w:r>
        <w:rPr>
          <w:b w:val="0"/>
          <w:bCs w:val="0"/>
        </w:rPr>
      </w:r>
      <w:r>
        <w:rPr>
          <w:rFonts w:ascii="Times New Roman" w:hAnsi="Times New Roman" w:cs="Times New Roman" w:eastAsia="Times New Roman" w:hint="default"/>
        </w:rPr>
        <w:t>21</w:t>
      </w:r>
      <w:r>
        <w:rPr/>
        <w:t>、租赁</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5193"/>
        <w:jc w:val="left"/>
        <w:rPr>
          <w:b w:val="0"/>
          <w:bCs w:val="0"/>
        </w:rPr>
      </w:pPr>
      <w:bookmarkStart w:name="（1）经营租赁的会计处理方法" w:id="109"/>
      <w:bookmarkEnd w:id="1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right="92"/>
        <w:jc w:val="left"/>
      </w:pPr>
      <w:r>
        <w:rPr/>
        <w:t>实质上转移了与资产所有权有关的全部风险和报酬的租赁为融资租赁。融资租赁以外的其他租赁为经营租赁。 </w:t>
      </w:r>
      <w:r>
        <w:rPr>
          <w:u w:val="single" w:color="000000"/>
        </w:rPr>
        <w:t>本集团作为承租人记录经营租赁业务</w:t>
      </w:r>
      <w:r>
        <w:rPr/>
      </w:r>
      <w:r>
        <w:rPr/>
        <w:t> 经营租赁的租金支出在租赁期内的各个期间按直线法计入相关资产成本或当期损益。初始直接费用计入当期损益。</w:t>
      </w:r>
      <w:r>
        <w:rPr>
          <w:spacing w:val="-85"/>
        </w:rPr>
        <w:t> </w:t>
      </w:r>
      <w:r>
        <w:rPr>
          <w:spacing w:val="-85"/>
        </w:rPr>
      </w:r>
      <w:r>
        <w:rPr/>
        <w:t>或有租金于实际发生时计入当期损益。</w:t>
      </w:r>
    </w:p>
    <w:p>
      <w:pPr>
        <w:spacing w:line="240" w:lineRule="auto" w:before="6"/>
        <w:rPr>
          <w:rFonts w:ascii="宋体" w:hAnsi="宋体" w:cs="宋体" w:eastAsia="宋体" w:hint="default"/>
          <w:sz w:val="24"/>
          <w:szCs w:val="24"/>
        </w:rPr>
      </w:pPr>
    </w:p>
    <w:p>
      <w:pPr>
        <w:spacing w:line="607" w:lineRule="auto" w:before="0"/>
        <w:ind w:left="153" w:right="1173" w:firstLine="0"/>
        <w:jc w:val="left"/>
        <w:rPr>
          <w:rFonts w:ascii="宋体" w:hAnsi="宋体" w:cs="宋体" w:eastAsia="宋体" w:hint="default"/>
          <w:sz w:val="18"/>
          <w:szCs w:val="18"/>
        </w:rPr>
      </w:pPr>
      <w:bookmarkStart w:name="（2）融资租赁的会计处理方法" w:id="110"/>
      <w:bookmarkEnd w:id="110"/>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）融资租赁的会计处理方法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实质上转移了与资产所有权有关的全部风险和报酬的租赁为融资租赁。融资租赁以外的其他租赁为经营租赁。 </w:t>
      </w:r>
      <w:bookmarkStart w:name="22、其他重要的会计政策和会计估计" w:id="111"/>
      <w:bookmarkEnd w:id="111"/>
      <w:r>
        <w:rPr>
          <w:rFonts w:ascii="宋体" w:hAnsi="宋体" w:cs="宋体" w:eastAsia="宋体" w:hint="default"/>
          <w:sz w:val="18"/>
          <w:szCs w:val="18"/>
        </w:rPr>
      </w:r>
      <w:r>
        <w:rPr>
          <w:rFonts w:ascii="Times New Roman" w:hAnsi="Times New Roman" w:cs="Times New Roman" w:eastAsia="Times New Roman" w:hint="default"/>
          <w:b/>
          <w:bCs/>
          <w:sz w:val="18"/>
          <w:szCs w:val="18"/>
        </w:rPr>
        <w:t>22</w:t>
      </w:r>
      <w:r>
        <w:rPr>
          <w:rFonts w:ascii="宋体" w:hAnsi="宋体" w:cs="宋体" w:eastAsia="宋体" w:hint="default"/>
          <w:b/>
          <w:bCs/>
          <w:sz w:val="18"/>
          <w:szCs w:val="18"/>
        </w:rPr>
        <w:t>、其他重要的会计政策和会计估计</w:t>
      </w:r>
      <w:r>
        <w:rPr>
          <w:rFonts w:ascii="宋体" w:hAnsi="宋体" w:cs="宋体" w:eastAsia="宋体" w:hint="default"/>
          <w:sz w:val="18"/>
          <w:szCs w:val="18"/>
        </w:rPr>
      </w:r>
    </w:p>
    <w:p>
      <w:pPr>
        <w:pStyle w:val="BodyText"/>
        <w:spacing w:line="319" w:lineRule="auto" w:before="58"/>
        <w:ind w:right="191"/>
        <w:jc w:val="both"/>
      </w:pPr>
      <w:r>
        <w:rPr>
          <w:spacing w:val="-2"/>
        </w:rPr>
        <w:t>本集团在运用以上描述的会计政策过程中，由于经营活动内在的不确定性，本集团需要对无法准确计量的报表项目</w:t>
      </w:r>
      <w:r>
        <w:rPr>
          <w:spacing w:val="-72"/>
        </w:rPr>
        <w:t> </w:t>
      </w:r>
      <w:r>
        <w:rPr>
          <w:spacing w:val="-72"/>
        </w:rPr>
      </w:r>
      <w:r>
        <w:rPr>
          <w:spacing w:val="-2"/>
        </w:rPr>
        <w:t>的账面价值进行判断、估计和假设。这些判断、估计和假设是基于本集团管理层过去的历史经验，并在考虑其他相</w:t>
      </w:r>
      <w:r>
        <w:rPr>
          <w:spacing w:val="-74"/>
        </w:rPr>
        <w:t> </w:t>
      </w:r>
      <w:r>
        <w:rPr>
          <w:spacing w:val="-74"/>
        </w:rPr>
      </w:r>
      <w:r>
        <w:rPr/>
        <w:t>关因素的基础上作出的。实际的结果可能与本集团的估计存在差异。</w:t>
      </w:r>
    </w:p>
    <w:p>
      <w:pPr>
        <w:spacing w:line="240" w:lineRule="auto" w:before="2"/>
        <w:rPr>
          <w:rFonts w:ascii="宋体" w:hAnsi="宋体" w:cs="宋体" w:eastAsia="宋体" w:hint="default"/>
          <w:sz w:val="25"/>
          <w:szCs w:val="25"/>
        </w:rPr>
      </w:pPr>
    </w:p>
    <w:p>
      <w:pPr>
        <w:pStyle w:val="BodyText"/>
        <w:spacing w:line="316" w:lineRule="auto"/>
        <w:ind w:right="92"/>
        <w:jc w:val="left"/>
      </w:pPr>
      <w:r>
        <w:rPr>
          <w:spacing w:val="-2"/>
        </w:rPr>
        <w:t>本集团对前述判断、估计和假设在持续经营的基础上进行定期复核，会计估计的变更仅影响变更当期的，其影响数</w:t>
      </w:r>
      <w:r>
        <w:rPr>
          <w:spacing w:val="-74"/>
        </w:rPr>
        <w:t> </w:t>
      </w:r>
      <w:r>
        <w:rPr>
          <w:spacing w:val="-74"/>
        </w:rPr>
      </w:r>
      <w:r>
        <w:rPr/>
        <w:t>在变更当期予以确认；既影响变更当期又影响未来期间的，其影响数在变更当期和未来期间予以确认。</w:t>
      </w:r>
    </w:p>
    <w:p>
      <w:pPr>
        <w:spacing w:after="0" w:line="316" w:lineRule="auto"/>
        <w:jc w:val="left"/>
        <w:sectPr>
          <w:footerReference w:type="default" r:id="rId20"/>
          <w:pgSz w:w="11910" w:h="16840"/>
          <w:pgMar w:footer="979" w:header="851" w:top="1320" w:bottom="1160" w:left="980" w:right="940"/>
          <w:pgNumType w:start="72"/>
        </w:sectPr>
      </w:pPr>
    </w:p>
    <w:p>
      <w:pPr>
        <w:spacing w:line="240" w:lineRule="auto" w:before="3"/>
        <w:rPr>
          <w:rFonts w:ascii="宋体" w:hAnsi="宋体" w:cs="宋体" w:eastAsia="宋体" w:hint="default"/>
          <w:sz w:val="29"/>
          <w:szCs w:val="29"/>
        </w:rPr>
      </w:pPr>
    </w:p>
    <w:p>
      <w:pPr>
        <w:pStyle w:val="BodyText"/>
        <w:spacing w:line="316" w:lineRule="auto" w:before="44"/>
        <w:ind w:right="92"/>
        <w:jc w:val="left"/>
      </w:pPr>
      <w:r>
        <w:rPr/>
        <w:t>会计估计所采用的关键假设和不确定因素 资产负债表日，会计估计中很可能导致未来期间资产、负债账面价值作出重大调整的关键假设和不确定性主要有：</w:t>
      </w:r>
      <w:r>
        <w:rPr>
          <w:spacing w:val="-85"/>
        </w:rPr>
        <w:t> </w:t>
      </w:r>
      <w:r>
        <w:rPr>
          <w:spacing w:val="-85"/>
        </w:rPr>
      </w:r>
      <w:r>
        <w:rPr>
          <w:u w:val="single" w:color="000000"/>
        </w:rPr>
        <w:t>客户奖励积分</w:t>
      </w:r>
      <w:r>
        <w:rPr/>
      </w:r>
      <w:r>
        <w:rPr/>
        <w:t> </w:t>
      </w:r>
      <w:r>
        <w:rPr>
          <w:spacing w:val="-2"/>
        </w:rPr>
        <w:t>在对客户奖励积分进行会计处理时，需要对奖励积分的公允价值和未来使用时间及可能性进行预计。客户奖励积分</w:t>
      </w:r>
      <w:r>
        <w:rPr>
          <w:spacing w:val="-72"/>
        </w:rPr>
        <w:t> </w:t>
      </w:r>
      <w:r>
        <w:rPr>
          <w:spacing w:val="-72"/>
        </w:rPr>
      </w:r>
      <w:r>
        <w:rPr>
          <w:spacing w:val="-2"/>
        </w:rPr>
        <w:t>的计提需要运用判断和估计。如重新估计结果与现有估计存在差异，该差异将会影响估计改变期间的其他流动负债</w:t>
      </w:r>
      <w:r>
        <w:rPr>
          <w:spacing w:val="-72"/>
        </w:rPr>
        <w:t> </w:t>
      </w:r>
      <w:r>
        <w:rPr>
          <w:spacing w:val="-72"/>
        </w:rPr>
      </w:r>
      <w:r>
        <w:rPr/>
        <w:t>账面价值。</w:t>
      </w:r>
    </w:p>
    <w:p>
      <w:pPr>
        <w:pStyle w:val="BodyText"/>
        <w:spacing w:line="312" w:lineRule="auto" w:before="19"/>
        <w:ind w:right="92"/>
        <w:jc w:val="left"/>
      </w:pPr>
      <w:r>
        <w:rPr/>
      </w:r>
      <w:r>
        <w:rPr>
          <w:u w:val="single" w:color="000000"/>
        </w:rPr>
        <w:t>湖南时尚频道入网合作费</w:t>
      </w:r>
      <w:r>
        <w:rPr/>
      </w:r>
      <w:r>
        <w:rPr/>
        <w:t> </w:t>
      </w:r>
      <w:r>
        <w:rPr>
          <w:spacing w:val="-2"/>
        </w:rPr>
        <w:t>对公司和湖南广播电视台约定的为期</w:t>
      </w:r>
      <w:r>
        <w:rPr>
          <w:rFonts w:ascii="Times New Roman" w:hAnsi="Times New Roman" w:cs="Times New Roman" w:eastAsia="Times New Roman" w:hint="default"/>
          <w:spacing w:val="-2"/>
        </w:rPr>
        <w:t>10</w:t>
      </w:r>
      <w:r>
        <w:rPr>
          <w:spacing w:val="-2"/>
        </w:rPr>
        <w:t>年的湖南时尚频道合作的按年支付的入网合作费用，需要对合同期间覆盖户</w:t>
      </w:r>
      <w:r>
        <w:rPr>
          <w:spacing w:val="-70"/>
        </w:rPr>
        <w:t> </w:t>
      </w:r>
      <w:r>
        <w:rPr>
          <w:spacing w:val="-70"/>
        </w:rPr>
      </w:r>
      <w:r>
        <w:rPr>
          <w:spacing w:val="-2"/>
        </w:rPr>
        <w:t>数未来增长情况等因素进行预计。本集团将在每个报告期进行重估，如重估结果与现有估计存在差异，该差异将会</w:t>
      </w:r>
      <w:r>
        <w:rPr>
          <w:spacing w:val="-74"/>
        </w:rPr>
        <w:t> </w:t>
      </w:r>
      <w:r>
        <w:rPr>
          <w:spacing w:val="-74"/>
        </w:rPr>
      </w:r>
      <w:r>
        <w:rPr/>
        <w:t>影响估计改变期间的计入当期损益的入网合作费。</w:t>
      </w:r>
    </w:p>
    <w:p>
      <w:pPr>
        <w:pStyle w:val="BodyText"/>
        <w:spacing w:line="316" w:lineRule="auto" w:before="22"/>
        <w:ind w:right="92"/>
        <w:jc w:val="left"/>
      </w:pPr>
      <w:r>
        <w:rPr/>
      </w:r>
      <w:r>
        <w:rPr>
          <w:u w:val="single" w:color="000000"/>
        </w:rPr>
        <w:t>固定资产预计可使用年限和预计残值</w:t>
      </w:r>
      <w:r>
        <w:rPr/>
      </w:r>
      <w:r>
        <w:rPr/>
        <w:t> </w:t>
      </w:r>
      <w:r>
        <w:rPr>
          <w:spacing w:val="-2"/>
        </w:rPr>
        <w:t>本集团就固定资产厘定可使用年限和残值。该估计是根据对类似性质及功能的固定资产以实际可使用年限和残值的</w:t>
      </w:r>
      <w:r>
        <w:rPr>
          <w:spacing w:val="-72"/>
        </w:rPr>
        <w:t> </w:t>
      </w:r>
      <w:r>
        <w:rPr>
          <w:spacing w:val="-72"/>
        </w:rPr>
      </w:r>
      <w:r>
        <w:rPr>
          <w:spacing w:val="-2"/>
        </w:rPr>
        <w:t>历史经验为基础，并可能因技术革新等原因而有重大改变。当固定资产预计可使用年限和残值少于先前估计，本集</w:t>
      </w:r>
      <w:r>
        <w:rPr>
          <w:spacing w:val="-74"/>
        </w:rPr>
        <w:t> </w:t>
      </w:r>
      <w:r>
        <w:rPr>
          <w:spacing w:val="-74"/>
        </w:rPr>
      </w:r>
      <w:r>
        <w:rPr/>
        <w:t>团将变更预计可使用年限和残值率。</w:t>
      </w:r>
    </w:p>
    <w:p>
      <w:pPr>
        <w:pStyle w:val="BodyText"/>
        <w:spacing w:line="240" w:lineRule="auto" w:before="19"/>
        <w:ind w:right="5193"/>
        <w:jc w:val="left"/>
      </w:pPr>
      <w:r>
        <w:rPr/>
      </w:r>
      <w:r>
        <w:rPr>
          <w:u w:val="single" w:color="000000"/>
        </w:rPr>
        <w:t>递延所得税资产的确认</w:t>
      </w:r>
      <w:r>
        <w:rPr/>
      </w:r>
    </w:p>
    <w:p>
      <w:pPr>
        <w:pStyle w:val="BodyText"/>
        <w:spacing w:line="304" w:lineRule="auto" w:before="76"/>
        <w:ind w:right="190"/>
        <w:jc w:val="both"/>
      </w:pPr>
      <w:r>
        <w:rPr/>
        <w:t>于</w:t>
      </w:r>
      <w:r>
        <w:rPr>
          <w:spacing w:val="-7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spacing w:val="10"/>
        </w:rPr>
        <w:t>日及</w:t>
      </w:r>
      <w:r>
        <w:rPr>
          <w:spacing w:val="-7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5"/>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spacing w:val="19"/>
        </w:rPr>
        <w:t>日，本集团已确认递延所得税资产分别为人民币</w:t>
      </w:r>
      <w:r>
        <w:rPr>
          <w:spacing w:val="-69"/>
        </w:rPr>
        <w:t> </w:t>
      </w:r>
      <w:r>
        <w:rPr>
          <w:rFonts w:ascii="Times New Roman" w:hAnsi="Times New Roman" w:cs="Times New Roman" w:eastAsia="Times New Roman" w:hint="default"/>
        </w:rPr>
        <w:t>2,585,095.46</w:t>
      </w:r>
      <w:r>
        <w:rPr>
          <w:rFonts w:ascii="Times New Roman" w:hAnsi="Times New Roman" w:cs="Times New Roman" w:eastAsia="Times New Roman" w:hint="default"/>
          <w:spacing w:val="-24"/>
        </w:rPr>
        <w:t> </w:t>
      </w:r>
      <w:r>
        <w:rPr>
          <w:spacing w:val="14"/>
        </w:rPr>
        <w:t>和人民币</w:t>
      </w:r>
      <w:r>
        <w:rPr/>
        <w:t> </w:t>
      </w:r>
      <w:r>
        <w:rPr>
          <w:rFonts w:ascii="Times New Roman" w:hAnsi="Times New Roman" w:cs="Times New Roman" w:eastAsia="Times New Roman" w:hint="default"/>
        </w:rPr>
        <w:t>1,590,626.31</w:t>
      </w:r>
      <w:r>
        <w:rPr/>
        <w:t>元。递延所得税资产的实现主要取决于未来的实际盈利及暂时性差异在未来使用年度的实际税率。如</w:t>
      </w:r>
      <w:r>
        <w:rPr>
          <w:spacing w:val="-50"/>
        </w:rPr>
        <w:t> </w:t>
      </w:r>
      <w:r>
        <w:rPr>
          <w:spacing w:val="-50"/>
        </w:rPr>
      </w:r>
      <w:r>
        <w:rPr>
          <w:spacing w:val="-2"/>
        </w:rPr>
        <w:t>未来实际产生的盈利少于预期，或实际税率低于预期，确认的递延所得税资产将被转回，并确认在转回产生期间的</w:t>
      </w:r>
      <w:r>
        <w:rPr>
          <w:spacing w:val="-74"/>
        </w:rPr>
        <w:t> </w:t>
      </w:r>
      <w:r>
        <w:rPr>
          <w:spacing w:val="-74"/>
        </w:rPr>
      </w:r>
      <w:r>
        <w:rPr>
          <w:spacing w:val="-2"/>
        </w:rPr>
        <w:t>合并利润表中。此外于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日及</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日，由于部分子公司未来是否很可能获得足够的应纳税所得</w:t>
      </w:r>
      <w:r>
        <w:rPr>
          <w:spacing w:val="-56"/>
        </w:rPr>
        <w:t> </w:t>
      </w:r>
      <w:r>
        <w:rPr>
          <w:spacing w:val="-56"/>
        </w:rPr>
      </w:r>
      <w:r>
        <w:rPr/>
        <w:t>税额具有不确定性，部分可抵扣亏损未确认递延所得税资产。</w:t>
      </w:r>
    </w:p>
    <w:p>
      <w:pPr>
        <w:pStyle w:val="Heading4"/>
        <w:spacing w:line="240" w:lineRule="auto" w:before="28"/>
        <w:ind w:left="153" w:right="5193"/>
        <w:jc w:val="left"/>
        <w:rPr>
          <w:b w:val="0"/>
          <w:bCs w:val="0"/>
        </w:rPr>
      </w:pPr>
      <w:r>
        <w:rPr>
          <w:rFonts w:ascii="Times New Roman" w:hAnsi="Times New Roman" w:cs="Times New Roman" w:eastAsia="Times New Roman" w:hint="default"/>
        </w:rPr>
        <w:t>24</w:t>
      </w:r>
      <w:r>
        <w:rPr/>
        <w:t>、重要会计政策和会计估计变更</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39"/>
        <w:ind w:right="189"/>
        <w:jc w:val="both"/>
      </w:pPr>
      <w:r>
        <w:rPr>
          <w:spacing w:val="-2"/>
        </w:rPr>
        <w:t>本集团于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日开始采用财政部于</w:t>
      </w:r>
      <w:r>
        <w:rPr>
          <w:rFonts w:ascii="Times New Roman" w:hAnsi="Times New Roman" w:cs="Times New Roman" w:eastAsia="Times New Roman" w:hint="default"/>
          <w:spacing w:val="-2"/>
        </w:rPr>
        <w:t>2014</w:t>
      </w:r>
      <w:r>
        <w:rPr>
          <w:spacing w:val="-2"/>
        </w:rPr>
        <w:t>年新颁布的《企业会计准则第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公允价值计量》、《企业会计准</w:t>
      </w:r>
      <w:r>
        <w:rPr>
          <w:spacing w:val="-62"/>
        </w:rPr>
        <w:t> </w:t>
      </w:r>
      <w:r>
        <w:rPr>
          <w:spacing w:val="-62"/>
        </w:rPr>
      </w:r>
      <w:r>
        <w:rPr/>
        <w:t>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在其他主体中权益的披露》和经修订的《企业会计准则第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长期股权投资》、《企业会计准则第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w:t>
      </w:r>
      <w:r>
        <w:rPr>
          <w:spacing w:val="-83"/>
        </w:rPr>
        <w:t> </w:t>
      </w:r>
      <w:r>
        <w:rPr>
          <w:spacing w:val="-83"/>
        </w:rPr>
      </w:r>
      <w:r>
        <w:rPr>
          <w:spacing w:val="-2"/>
        </w:rPr>
        <w:t>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合并财务报表》，同时在</w:t>
      </w:r>
      <w:r>
        <w:rPr>
          <w:rFonts w:ascii="Times New Roman" w:hAnsi="Times New Roman" w:cs="Times New Roman" w:eastAsia="Times New Roman" w:hint="default"/>
          <w:spacing w:val="-2"/>
        </w:rPr>
        <w:t>2014</w:t>
      </w:r>
      <w:r>
        <w:rPr>
          <w:spacing w:val="-2"/>
        </w:rPr>
        <w:t>年度财务报表中开始采用财政部于</w:t>
      </w:r>
      <w:r>
        <w:rPr>
          <w:rFonts w:ascii="Times New Roman" w:hAnsi="Times New Roman" w:cs="Times New Roman" w:eastAsia="Times New Roman" w:hint="default"/>
          <w:spacing w:val="-2"/>
        </w:rPr>
        <w:t>2014</w:t>
      </w:r>
      <w:r>
        <w:rPr>
          <w:spacing w:val="-2"/>
        </w:rPr>
        <w:t>年修订的《企业会计准则第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8"/>
        </w:rPr>
        <w:t> </w:t>
      </w:r>
      <w:r>
        <w:rPr/>
        <w:t>金融工具列报》。</w:t>
      </w:r>
    </w:p>
    <w:p>
      <w:pPr>
        <w:spacing w:line="240" w:lineRule="auto" w:before="3"/>
        <w:rPr>
          <w:rFonts w:ascii="宋体" w:hAnsi="宋体" w:cs="宋体" w:eastAsia="宋体" w:hint="default"/>
          <w:sz w:val="26"/>
          <w:szCs w:val="26"/>
        </w:rPr>
      </w:pPr>
    </w:p>
    <w:p>
      <w:pPr>
        <w:pStyle w:val="BodyText"/>
        <w:spacing w:line="312" w:lineRule="auto"/>
        <w:ind w:right="182"/>
        <w:jc w:val="left"/>
      </w:pPr>
      <w:r>
        <w:rPr/>
      </w:r>
      <w:r>
        <w:rPr>
          <w:u w:val="single" w:color="000000"/>
        </w:rPr>
        <w:t>长期股权投资</w:t>
      </w:r>
      <w:r>
        <w:rPr/>
      </w:r>
      <w:r>
        <w:rPr/>
        <w:t> </w:t>
      </w:r>
      <w:r>
        <w:rPr>
          <w:spacing w:val="-3"/>
        </w:rPr>
        <w:t>执行《企业会计准则第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spacing w:val="-3"/>
        </w:rPr>
        <w:t>长期股权投资》</w:t>
      </w:r>
      <w:r>
        <w:rPr>
          <w:rFonts w:ascii="Times New Roman" w:hAnsi="Times New Roman" w:cs="Times New Roman" w:eastAsia="Times New Roman" w:hint="default"/>
          <w:spacing w:val="-3"/>
        </w:rPr>
        <w:t>(</w:t>
      </w:r>
      <w:r>
        <w:rPr>
          <w:spacing w:val="-3"/>
        </w:rPr>
        <w:t>修订</w:t>
      </w:r>
      <w:r>
        <w:rPr>
          <w:rFonts w:ascii="Times New Roman" w:hAnsi="Times New Roman" w:cs="Times New Roman" w:eastAsia="Times New Roman" w:hint="default"/>
          <w:spacing w:val="-3"/>
        </w:rPr>
        <w:t>)</w:t>
      </w:r>
      <w:r>
        <w:rPr>
          <w:spacing w:val="-3"/>
        </w:rPr>
        <w:t>之前，本集团对被投资单位不具有控制、共同控制或重大影响，</w:t>
      </w:r>
      <w:r>
        <w:rPr>
          <w:spacing w:val="-48"/>
        </w:rPr>
        <w:t> </w:t>
      </w:r>
      <w:r>
        <w:rPr>
          <w:spacing w:val="-48"/>
        </w:rPr>
      </w:r>
      <w:r>
        <w:rPr/>
        <w:t>并且在活跃市场中没有报价、公允价值不能可靠计量的股权投资，作为长期股权投资并采用成本法进行核算。 执</w:t>
      </w:r>
      <w:r>
        <w:rPr>
          <w:spacing w:val="-83"/>
        </w:rPr>
        <w:t> </w:t>
      </w:r>
      <w:r>
        <w:rPr>
          <w:spacing w:val="-83"/>
        </w:rPr>
      </w:r>
      <w:r>
        <w:rPr/>
        <w:t>行《企业会计准则</w:t>
      </w:r>
      <w:r>
        <w:rPr>
          <w:rFonts w:ascii="Times New Roman" w:hAnsi="Times New Roman" w:cs="Times New Roman" w:eastAsia="Times New Roman" w:hint="default"/>
        </w:rPr>
        <w:t>—</w:t>
      </w:r>
      <w:r>
        <w:rPr/>
        <w:t>第</w:t>
      </w:r>
      <w:r>
        <w:rPr>
          <w:rFonts w:ascii="Times New Roman" w:hAnsi="Times New Roman" w:cs="Times New Roman" w:eastAsia="Times New Roman" w:hint="default"/>
        </w:rPr>
        <w:t>2</w:t>
      </w:r>
      <w:r>
        <w:rPr/>
        <w:t>号长期股权投资》</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w:t>
      </w:r>
      <w:r>
        <w:rPr/>
        <w:t>后，本集团将对被投资单位不具有控制、共同控制或重大影响，</w:t>
      </w:r>
      <w:r>
        <w:rPr>
          <w:spacing w:val="-32"/>
        </w:rPr>
        <w:t> </w:t>
      </w:r>
      <w:r>
        <w:rPr>
          <w:spacing w:val="-32"/>
        </w:rPr>
      </w:r>
      <w:r>
        <w:rPr>
          <w:spacing w:val="-2"/>
        </w:rPr>
        <w:t>并且在活跃市场中没有报价、公允价值不能可靠计量的股权投资作为可供出售金融资产核算。本集团管理层认为该</w:t>
      </w:r>
      <w:r>
        <w:rPr>
          <w:spacing w:val="-72"/>
        </w:rPr>
        <w:t> </w:t>
      </w:r>
      <w:r>
        <w:rPr>
          <w:spacing w:val="-72"/>
        </w:rPr>
      </w:r>
      <w:r>
        <w:rPr/>
        <w:t>准则的采用未对本集团财务报表产生影响。</w:t>
      </w:r>
    </w:p>
    <w:p>
      <w:pPr>
        <w:spacing w:line="240" w:lineRule="auto" w:before="7"/>
        <w:rPr>
          <w:rFonts w:ascii="宋体" w:hAnsi="宋体" w:cs="宋体" w:eastAsia="宋体" w:hint="default"/>
          <w:sz w:val="25"/>
          <w:szCs w:val="25"/>
        </w:rPr>
      </w:pPr>
    </w:p>
    <w:p>
      <w:pPr>
        <w:pStyle w:val="BodyText"/>
        <w:spacing w:line="240" w:lineRule="auto"/>
        <w:ind w:right="5193"/>
        <w:jc w:val="left"/>
      </w:pPr>
      <w:r>
        <w:rPr/>
      </w:r>
      <w:r>
        <w:rPr>
          <w:u w:val="single" w:color="000000"/>
        </w:rPr>
        <w:t>职工薪酬</w:t>
      </w:r>
      <w:r>
        <w:rPr/>
      </w:r>
    </w:p>
    <w:p>
      <w:pPr>
        <w:pStyle w:val="BodyText"/>
        <w:spacing w:line="309" w:lineRule="auto" w:before="76"/>
        <w:ind w:right="192"/>
        <w:jc w:val="both"/>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w:t>
      </w:r>
      <w:r>
        <w:rPr/>
        <w:t>，新增了短期薪酬、带薪缺勤、累计带薪缺勤、利润分享计划、离职后</w:t>
      </w:r>
      <w:r>
        <w:rPr>
          <w:spacing w:val="-33"/>
        </w:rPr>
        <w:t> </w:t>
      </w:r>
      <w:r>
        <w:rPr>
          <w:spacing w:val="-33"/>
        </w:rPr>
      </w:r>
      <w:r>
        <w:rPr>
          <w:spacing w:val="-6"/>
        </w:rPr>
        <w:t>福利、辞退福利、其他长期职工福利的定义及分类，明确了离职后福利中设定提存计划和设定受益计划的会计处理。</w:t>
      </w:r>
      <w:r>
        <w:rPr>
          <w:spacing w:val="-48"/>
        </w:rPr>
        <w:t> </w:t>
      </w:r>
      <w:r>
        <w:rPr>
          <w:spacing w:val="-48"/>
        </w:rPr>
      </w:r>
      <w:r>
        <w:rPr/>
        <w:t>本集团管理层认为该准则的采用未对本集团财务报表产生重大影响。</w:t>
      </w:r>
    </w:p>
    <w:p>
      <w:pPr>
        <w:spacing w:line="240" w:lineRule="auto" w:before="10"/>
        <w:rPr>
          <w:rFonts w:ascii="宋体" w:hAnsi="宋体" w:cs="宋体" w:eastAsia="宋体" w:hint="default"/>
          <w:sz w:val="25"/>
          <w:szCs w:val="25"/>
        </w:rPr>
      </w:pPr>
    </w:p>
    <w:p>
      <w:pPr>
        <w:pStyle w:val="BodyText"/>
        <w:spacing w:line="240" w:lineRule="auto"/>
        <w:ind w:right="5193"/>
        <w:jc w:val="left"/>
      </w:pPr>
      <w:r>
        <w:rPr/>
      </w:r>
      <w:r>
        <w:rPr>
          <w:u w:val="single" w:color="000000"/>
        </w:rPr>
        <w:t>合营安排</w:t>
      </w:r>
      <w:r>
        <w:rPr/>
      </w:r>
    </w:p>
    <w:p>
      <w:pPr>
        <w:pStyle w:val="BodyText"/>
        <w:spacing w:line="300" w:lineRule="auto" w:before="76"/>
        <w:ind w:right="92"/>
        <w:jc w:val="left"/>
      </w:pPr>
      <w:r>
        <w:rPr>
          <w:spacing w:val="-2"/>
        </w:rPr>
        <w:t>《企业会计准则第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合营安排》将合营安排分为共同经营和合营企业，该分类根据合营方在合营安排中享有的</w:t>
      </w:r>
      <w:r>
        <w:rPr>
          <w:spacing w:val="-70"/>
        </w:rPr>
        <w:t> </w:t>
      </w:r>
      <w:r>
        <w:rPr>
          <w:spacing w:val="-70"/>
        </w:rPr>
      </w:r>
      <w:r>
        <w:rPr/>
        <w:t>权利和承担的义务确定，对权利和义务进行评价时考虑该安排的结构、法律形式以及合同条款等因素。共同经营，</w:t>
      </w:r>
    </w:p>
    <w:p>
      <w:pPr>
        <w:spacing w:after="0" w:line="300" w:lineRule="auto"/>
        <w:jc w:val="left"/>
        <w:sectPr>
          <w:pgSz w:w="11910" w:h="16840"/>
          <w:pgMar w:header="851" w:footer="979" w:top="1320" w:bottom="1160" w:left="980" w:right="940"/>
        </w:sectPr>
      </w:pPr>
    </w:p>
    <w:p>
      <w:pPr>
        <w:pStyle w:val="BodyText"/>
        <w:spacing w:line="316" w:lineRule="auto" w:before="114"/>
        <w:ind w:right="92"/>
        <w:jc w:val="left"/>
      </w:pPr>
      <w:r>
        <w:rPr>
          <w:spacing w:val="-2"/>
        </w:rPr>
        <w:t>是指合营方享有该安排相关资产且承担该安排相关负债的合营安排。合营企业是指合营方仅对该安排的净资产享有</w:t>
      </w:r>
      <w:r>
        <w:rPr>
          <w:spacing w:val="-72"/>
        </w:rPr>
        <w:t> </w:t>
      </w:r>
      <w:r>
        <w:rPr>
          <w:spacing w:val="-72"/>
        </w:rPr>
      </w:r>
      <w:r>
        <w:rPr/>
        <w:t>权利的合营安排。本集团管理层认为该准则的采用未对本集团财务报表产生重大影响。</w:t>
      </w:r>
    </w:p>
    <w:p>
      <w:pPr>
        <w:spacing w:line="240" w:lineRule="auto" w:before="4"/>
        <w:rPr>
          <w:rFonts w:ascii="宋体" w:hAnsi="宋体" w:cs="宋体" w:eastAsia="宋体" w:hint="default"/>
          <w:sz w:val="25"/>
          <w:szCs w:val="25"/>
        </w:rPr>
      </w:pPr>
    </w:p>
    <w:p>
      <w:pPr>
        <w:pStyle w:val="BodyText"/>
        <w:spacing w:line="240" w:lineRule="auto"/>
        <w:ind w:right="5193"/>
        <w:jc w:val="left"/>
      </w:pPr>
      <w:r>
        <w:rPr/>
      </w:r>
      <w:r>
        <w:rPr>
          <w:u w:val="single" w:color="000000"/>
        </w:rPr>
        <w:t>合并财务报表</w:t>
      </w:r>
      <w:r>
        <w:rPr/>
      </w:r>
    </w:p>
    <w:p>
      <w:pPr>
        <w:pStyle w:val="BodyText"/>
        <w:spacing w:line="307" w:lineRule="auto" w:before="77"/>
        <w:ind w:right="92"/>
        <w:jc w:val="left"/>
      </w:pPr>
      <w:r>
        <w:rPr>
          <w:spacing w:val="-4"/>
          <w:w w:val="100"/>
        </w:rPr>
        <w:t>《企业会计准则第</w:t>
      </w:r>
      <w:r>
        <w:rPr>
          <w:rFonts w:ascii="Times New Roman" w:hAnsi="Times New Roman" w:cs="Times New Roman" w:eastAsia="Times New Roman" w:hint="default"/>
          <w:spacing w:val="-4"/>
          <w:w w:val="100"/>
        </w:rPr>
        <w:t>33</w:t>
      </w:r>
      <w:r>
        <w:rPr>
          <w:spacing w:val="-4"/>
          <w:w w:val="100"/>
        </w:rPr>
        <w:t>号</w:t>
      </w:r>
      <w:r>
        <w:rPr>
          <w:rFonts w:ascii="Times New Roman" w:hAnsi="Times New Roman" w:cs="Times New Roman" w:eastAsia="Times New Roman" w:hint="default"/>
          <w:spacing w:val="-4"/>
          <w:w w:val="100"/>
        </w:rPr>
        <w:t>—</w:t>
      </w:r>
      <w:r>
        <w:rPr>
          <w:spacing w:val="-4"/>
          <w:w w:val="100"/>
        </w:rPr>
        <w:t>合并财务报表》</w:t>
      </w:r>
      <w:r>
        <w:rPr>
          <w:rFonts w:ascii="Times New Roman" w:hAnsi="Times New Roman" w:cs="Times New Roman" w:eastAsia="Times New Roman" w:hint="default"/>
          <w:spacing w:val="-4"/>
          <w:w w:val="100"/>
        </w:rPr>
        <w:t>(</w:t>
      </w:r>
      <w:r>
        <w:rPr>
          <w:spacing w:val="-4"/>
          <w:w w:val="100"/>
        </w:rPr>
        <w:t>修订</w:t>
      </w:r>
      <w:r>
        <w:rPr>
          <w:rFonts w:ascii="Times New Roman" w:hAnsi="Times New Roman" w:cs="Times New Roman" w:eastAsia="Times New Roman" w:hint="default"/>
          <w:spacing w:val="-4"/>
          <w:w w:val="100"/>
        </w:rPr>
        <w:t>)</w:t>
      </w:r>
      <w:r>
        <w:rPr>
          <w:spacing w:val="-4"/>
          <w:w w:val="100"/>
        </w:rPr>
        <w:t>修订了控制的定义，将</w:t>
      </w:r>
      <w:r>
        <w:rPr>
          <w:rFonts w:ascii="Times New Roman" w:hAnsi="Times New Roman" w:cs="Times New Roman" w:eastAsia="Times New Roman" w:hint="default"/>
          <w:spacing w:val="-4"/>
          <w:w w:val="100"/>
        </w:rPr>
        <w:t>“</w:t>
      </w:r>
      <w:r>
        <w:rPr>
          <w:spacing w:val="-4"/>
          <w:w w:val="100"/>
        </w:rPr>
        <w:t>控制</w:t>
      </w:r>
      <w:r>
        <w:rPr>
          <w:rFonts w:ascii="Times New Roman" w:hAnsi="Times New Roman" w:cs="Times New Roman" w:eastAsia="Times New Roman" w:hint="default"/>
          <w:spacing w:val="-4"/>
          <w:w w:val="100"/>
        </w:rPr>
        <w:t>”</w:t>
      </w:r>
      <w:r>
        <w:rPr>
          <w:spacing w:val="-4"/>
          <w:w w:val="100"/>
        </w:rPr>
        <w:t>定义为</w:t>
      </w:r>
      <w:r>
        <w:rPr>
          <w:rFonts w:ascii="Times New Roman" w:hAnsi="Times New Roman" w:cs="Times New Roman" w:eastAsia="Times New Roman" w:hint="default"/>
          <w:spacing w:val="-4"/>
          <w:w w:val="100"/>
        </w:rPr>
        <w:t>“</w:t>
      </w:r>
      <w:r>
        <w:rPr>
          <w:spacing w:val="-4"/>
          <w:w w:val="100"/>
        </w:rPr>
        <w:t>投资方拥有对被投资方的权力，</w:t>
      </w:r>
      <w:r>
        <w:rPr>
          <w:spacing w:val="-46"/>
          <w:w w:val="100"/>
        </w:rPr>
        <w:t> </w:t>
      </w:r>
      <w:r>
        <w:rPr/>
        <w:t>通过参与被投资方的相关活动而享有可变回报，并且有能力运用对被投资方的权力影响其回报金额</w:t>
      </w:r>
      <w:r>
        <w:rPr>
          <w:rFonts w:ascii="Times New Roman" w:hAnsi="Times New Roman" w:cs="Times New Roman" w:eastAsia="Times New Roman" w:hint="default"/>
        </w:rPr>
        <w:t>”</w:t>
      </w:r>
      <w:r>
        <w:rPr/>
        <w:t>，并对特殊交</w:t>
      </w:r>
      <w:r>
        <w:rPr>
          <w:spacing w:val="-73"/>
        </w:rPr>
        <w:t> </w:t>
      </w:r>
      <w:r>
        <w:rPr>
          <w:spacing w:val="-73"/>
        </w:rPr>
      </w:r>
      <w:r>
        <w:rPr>
          <w:spacing w:val="-2"/>
        </w:rPr>
        <w:t>易的会计处理及编制合并财务报表的部分事项作出了明确规定。本集团采用追溯调整法对上述会计政策变更进行会</w:t>
      </w:r>
      <w:r>
        <w:rPr>
          <w:spacing w:val="-72"/>
        </w:rPr>
        <w:t> </w:t>
      </w:r>
      <w:r>
        <w:rPr>
          <w:spacing w:val="-72"/>
        </w:rPr>
      </w:r>
      <w:r>
        <w:rPr/>
        <w:t>计处理，本集团管理层认为该准则的采用未对本集团财务报表产生重大影响。</w:t>
      </w:r>
    </w:p>
    <w:p>
      <w:pPr>
        <w:spacing w:line="240" w:lineRule="auto" w:before="11"/>
        <w:rPr>
          <w:rFonts w:ascii="宋体" w:hAnsi="宋体" w:cs="宋体" w:eastAsia="宋体" w:hint="default"/>
          <w:sz w:val="25"/>
          <w:szCs w:val="25"/>
        </w:rPr>
      </w:pPr>
    </w:p>
    <w:p>
      <w:pPr>
        <w:pStyle w:val="BodyText"/>
        <w:spacing w:line="240" w:lineRule="auto"/>
        <w:ind w:right="5193"/>
        <w:jc w:val="left"/>
      </w:pPr>
      <w:r>
        <w:rPr/>
      </w:r>
      <w:r>
        <w:rPr>
          <w:u w:val="single" w:color="000000"/>
        </w:rPr>
        <w:t>金融工具列报</w:t>
      </w:r>
      <w:r>
        <w:rPr/>
      </w:r>
    </w:p>
    <w:p>
      <w:pPr>
        <w:pStyle w:val="BodyText"/>
        <w:spacing w:line="300" w:lineRule="auto" w:before="76"/>
        <w:ind w:right="92"/>
        <w:jc w:val="left"/>
      </w:pPr>
      <w:r>
        <w:rPr>
          <w:spacing w:val="-1"/>
        </w:rPr>
        <w:t>《企业会计准则第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w:t>
      </w:r>
      <w:r>
        <w:rPr>
          <w:spacing w:val="-1"/>
        </w:rPr>
        <w:t>修订</w:t>
      </w:r>
      <w:r>
        <w:rPr>
          <w:rFonts w:ascii="Times New Roman" w:hAnsi="Times New Roman" w:cs="Times New Roman" w:eastAsia="Times New Roman" w:hint="default"/>
          <w:spacing w:val="-1"/>
        </w:rPr>
        <w:t>)</w:t>
      </w:r>
      <w:r>
        <w:rPr>
          <w:spacing w:val="-1"/>
        </w:rPr>
        <w:t>增加了有关抵销的规定和披露要求，增加了金融资产转移的披露要</w:t>
      </w:r>
      <w:r>
        <w:rPr>
          <w:spacing w:val="-60"/>
        </w:rPr>
        <w:t> </w:t>
      </w:r>
      <w:r>
        <w:rPr>
          <w:spacing w:val="-60"/>
        </w:rPr>
      </w:r>
      <w:r>
        <w:rPr/>
        <w:t>求，修改了金融资产和金融负债到期期限分析的披露要求。本财务报表已按该准则进行列报和披露。</w:t>
      </w:r>
    </w:p>
    <w:p>
      <w:pPr>
        <w:spacing w:line="240" w:lineRule="auto" w:before="3"/>
        <w:rPr>
          <w:rFonts w:ascii="宋体" w:hAnsi="宋体" w:cs="宋体" w:eastAsia="宋体" w:hint="default"/>
          <w:sz w:val="26"/>
          <w:szCs w:val="26"/>
        </w:rPr>
      </w:pPr>
    </w:p>
    <w:p>
      <w:pPr>
        <w:pStyle w:val="BodyText"/>
        <w:spacing w:line="240" w:lineRule="auto"/>
        <w:ind w:right="5193"/>
        <w:jc w:val="left"/>
      </w:pPr>
      <w:r>
        <w:rPr/>
      </w:r>
      <w:r>
        <w:rPr>
          <w:u w:val="single" w:color="000000"/>
        </w:rPr>
        <w:t>财务报表列报</w:t>
      </w:r>
      <w:r>
        <w:rPr/>
      </w:r>
    </w:p>
    <w:p>
      <w:pPr>
        <w:pStyle w:val="BodyText"/>
        <w:spacing w:line="300" w:lineRule="auto" w:before="76"/>
        <w:ind w:right="192"/>
        <w:jc w:val="both"/>
      </w:pPr>
      <w:r>
        <w:rPr>
          <w:spacing w:val="-1"/>
        </w:rPr>
        <w:t>《企业会计准则第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w:t>
      </w:r>
      <w:r>
        <w:rPr>
          <w:rFonts w:ascii="Times New Roman" w:hAnsi="Times New Roman" w:cs="Times New Roman" w:eastAsia="Times New Roman" w:hint="default"/>
          <w:spacing w:val="-1"/>
        </w:rPr>
        <w:t>(</w:t>
      </w:r>
      <w:r>
        <w:rPr>
          <w:spacing w:val="-1"/>
        </w:rPr>
        <w:t>修订</w:t>
      </w:r>
      <w:r>
        <w:rPr>
          <w:rFonts w:ascii="Times New Roman" w:hAnsi="Times New Roman" w:cs="Times New Roman" w:eastAsia="Times New Roman" w:hint="default"/>
          <w:spacing w:val="-1"/>
        </w:rPr>
        <w:t>)</w:t>
      </w:r>
      <w:r>
        <w:rPr>
          <w:spacing w:val="-1"/>
        </w:rPr>
        <w:t>将其他综合收益划分为两类：</w:t>
      </w:r>
      <w:r>
        <w:rPr>
          <w:rFonts w:ascii="Times New Roman" w:hAnsi="Times New Roman" w:cs="Times New Roman" w:eastAsia="Times New Roman" w:hint="default"/>
          <w:spacing w:val="-1"/>
        </w:rPr>
        <w:t>(1)</w:t>
      </w:r>
      <w:r>
        <w:rPr>
          <w:spacing w:val="-1"/>
        </w:rPr>
        <w:t>以后会计期间不能重分类进损益的</w:t>
      </w:r>
      <w:r>
        <w:rPr/>
        <w:t> 其他综合收益项目；</w:t>
      </w:r>
      <w:r>
        <w:rPr>
          <w:rFonts w:ascii="Times New Roman" w:hAnsi="Times New Roman" w:cs="Times New Roman" w:eastAsia="Times New Roman" w:hint="default"/>
        </w:rPr>
        <w:t>(2)</w:t>
      </w:r>
      <w:r>
        <w:rPr/>
        <w:t>以后会计期间在满足特定条件时将重分类进损益的其他综合收益项目，同时规范了持有待</w:t>
      </w:r>
      <w:r>
        <w:rPr>
          <w:spacing w:val="-34"/>
        </w:rPr>
        <w:t> </w:t>
      </w:r>
      <w:r>
        <w:rPr>
          <w:spacing w:val="-34"/>
        </w:rPr>
      </w:r>
      <w:r>
        <w:rPr/>
        <w:t>售等项目的列报。本集团管理层认为该准则的采用未对本集团财务报表产生重大影响。</w:t>
      </w:r>
    </w:p>
    <w:p>
      <w:pPr>
        <w:spacing w:line="240" w:lineRule="auto" w:before="3"/>
        <w:rPr>
          <w:rFonts w:ascii="宋体" w:hAnsi="宋体" w:cs="宋体" w:eastAsia="宋体" w:hint="default"/>
          <w:sz w:val="26"/>
          <w:szCs w:val="26"/>
        </w:rPr>
      </w:pPr>
    </w:p>
    <w:p>
      <w:pPr>
        <w:pStyle w:val="BodyText"/>
        <w:spacing w:line="240" w:lineRule="auto"/>
        <w:ind w:right="5193"/>
        <w:jc w:val="left"/>
      </w:pPr>
      <w:r>
        <w:rPr/>
      </w:r>
      <w:r>
        <w:rPr>
          <w:u w:val="single" w:color="000000"/>
        </w:rPr>
        <w:t>公允价值计量</w:t>
      </w:r>
      <w:r>
        <w:rPr/>
      </w:r>
    </w:p>
    <w:p>
      <w:pPr>
        <w:pStyle w:val="BodyText"/>
        <w:spacing w:line="309" w:lineRule="auto" w:before="76"/>
        <w:ind w:right="92"/>
        <w:jc w:val="left"/>
      </w:pPr>
      <w:r>
        <w:rPr>
          <w:spacing w:val="-2"/>
        </w:rPr>
        <w:t>《企业会计准则第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公允价值计量》规范了公允价值的计量和披露。采用《企业会计准则第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w:t>
      </w:r>
      <w:r>
        <w:rPr>
          <w:spacing w:val="-70"/>
        </w:rPr>
        <w:t> </w:t>
      </w:r>
      <w:r>
        <w:rPr>
          <w:spacing w:val="-4"/>
        </w:rPr>
        <w:t>量》未对财务报表项目的计量产生重大影响，但将导致本集团在财务报表附注中就公允价值信息作出更广泛的披露。</w:t>
      </w:r>
      <w:r>
        <w:rPr>
          <w:spacing w:val="-60"/>
        </w:rPr>
        <w:t> </w:t>
      </w:r>
      <w:r>
        <w:rPr>
          <w:spacing w:val="-60"/>
        </w:rPr>
      </w:r>
      <w:r>
        <w:rPr/>
        <w:t>本财务报表已按该准则的规定进行披露。</w:t>
      </w:r>
    </w:p>
    <w:p>
      <w:pPr>
        <w:spacing w:line="240" w:lineRule="auto" w:before="10"/>
        <w:rPr>
          <w:rFonts w:ascii="宋体" w:hAnsi="宋体" w:cs="宋体" w:eastAsia="宋体" w:hint="default"/>
          <w:sz w:val="25"/>
          <w:szCs w:val="25"/>
        </w:rPr>
      </w:pPr>
    </w:p>
    <w:p>
      <w:pPr>
        <w:pStyle w:val="BodyText"/>
        <w:spacing w:line="240" w:lineRule="auto"/>
        <w:ind w:right="5193"/>
        <w:jc w:val="left"/>
      </w:pPr>
      <w:r>
        <w:rPr/>
      </w:r>
      <w:r>
        <w:rPr>
          <w:u w:val="single" w:color="000000"/>
        </w:rPr>
        <w:t>在其他主体中权益的披露</w:t>
      </w:r>
      <w:r>
        <w:rPr/>
      </w:r>
    </w:p>
    <w:p>
      <w:pPr>
        <w:pStyle w:val="BodyText"/>
        <w:spacing w:line="300" w:lineRule="auto" w:before="76"/>
        <w:ind w:right="192"/>
        <w:jc w:val="both"/>
      </w:pPr>
      <w:r>
        <w:rPr>
          <w:spacing w:val="-2"/>
        </w:rPr>
        <w:t>《企业会计准则第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在其他主体中权益的披露》适用于企业在子公司、合营安排、联营和未纳入合并财务报表</w:t>
      </w:r>
      <w:r>
        <w:rPr>
          <w:spacing w:val="-72"/>
        </w:rPr>
        <w:t> </w:t>
      </w:r>
      <w:r>
        <w:rPr>
          <w:spacing w:val="-72"/>
        </w:rPr>
      </w:r>
      <w:r>
        <w:rPr>
          <w:spacing w:val="-2"/>
        </w:rPr>
        <w:t>范围的结构化主体中权益的披露。采用《企业会计准则第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在其他主体中权益的披露》将导致本集团在财务报</w:t>
      </w:r>
      <w:r>
        <w:rPr>
          <w:spacing w:val="-72"/>
        </w:rPr>
        <w:t> </w:t>
      </w:r>
      <w:r>
        <w:rPr>
          <w:spacing w:val="-72"/>
        </w:rPr>
      </w:r>
      <w:r>
        <w:rPr/>
        <w:t>表附注中作出更广泛的披露。本财务报表已按该准则的规定进行披露。</w:t>
      </w:r>
    </w:p>
    <w:p>
      <w:pPr>
        <w:spacing w:line="240" w:lineRule="auto" w:before="6"/>
        <w:rPr>
          <w:rFonts w:ascii="宋体" w:hAnsi="宋体" w:cs="宋体" w:eastAsia="宋体" w:hint="default"/>
          <w:sz w:val="25"/>
          <w:szCs w:val="25"/>
        </w:rPr>
      </w:pPr>
    </w:p>
    <w:p>
      <w:pPr>
        <w:pStyle w:val="Heading4"/>
        <w:spacing w:line="240" w:lineRule="auto" w:before="0"/>
        <w:ind w:left="153" w:right="5193"/>
        <w:jc w:val="left"/>
        <w:rPr>
          <w:b w:val="0"/>
          <w:bCs w:val="0"/>
        </w:rPr>
      </w:pPr>
      <w:bookmarkStart w:name="六、税项" w:id="112"/>
      <w:bookmarkEnd w:id="112"/>
      <w:r>
        <w:rPr>
          <w:b w:val="0"/>
          <w:bCs w:val="0"/>
        </w:rPr>
      </w:r>
      <w:r>
        <w:rPr/>
        <w:t>六、税项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53" w:right="5193"/>
        <w:jc w:val="left"/>
        <w:rPr>
          <w:b w:val="0"/>
          <w:bCs w:val="0"/>
        </w:rPr>
      </w:pPr>
      <w:bookmarkStart w:name="1、主要税种及税率" w:id="113"/>
      <w:bookmarkEnd w:id="1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根据相关税法规定计算的销售额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根据相关税法规定计算的计税销售额或 销售数量</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根据相关税法规定计算的计税销售额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流转税的应缴额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根据相关税法规定计算的应纳税所得额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除公司享受下述免税税收优惠外，子公 司均为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93"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5193"/>
        <w:jc w:val="left"/>
      </w:pPr>
      <w:r>
        <w:rPr/>
        <w:t>存在不同企业所得税税率纳税主体的，披露情况说明：无</w:t>
      </w:r>
    </w:p>
    <w:p>
      <w:pPr>
        <w:spacing w:after="0" w:line="240" w:lineRule="auto"/>
        <w:jc w:val="left"/>
        <w:sectPr>
          <w:pgSz w:w="11910" w:h="16840"/>
          <w:pgMar w:header="851" w:footer="979" w:top="1320" w:bottom="1160" w:left="980" w:right="940"/>
        </w:sectPr>
      </w:pPr>
    </w:p>
    <w:p>
      <w:pPr>
        <w:pStyle w:val="Heading4"/>
        <w:spacing w:line="240" w:lineRule="auto" w:before="114"/>
        <w:ind w:right="5193"/>
        <w:jc w:val="left"/>
        <w:rPr>
          <w:b w:val="0"/>
          <w:bCs w:val="0"/>
        </w:rPr>
      </w:pPr>
      <w:bookmarkStart w:name="2、税收优惠" w:id="114"/>
      <w:bookmarkEnd w:id="1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18"/>
          <w:szCs w:val="18"/>
        </w:rPr>
      </w:pPr>
    </w:p>
    <w:p>
      <w:pPr>
        <w:pStyle w:val="BodyText"/>
        <w:spacing w:line="307" w:lineRule="auto" w:before="128"/>
        <w:ind w:right="189"/>
        <w:jc w:val="both"/>
      </w:pPr>
      <w:r>
        <w:rPr>
          <w:spacing w:val="-2"/>
        </w:rPr>
        <w:t>本公司系位于文化体制改革试点地区的文化体制改革试点企业，根据《财政部、海关总署、国家税务总局关于文化</w:t>
      </w:r>
      <w:r>
        <w:rPr>
          <w:spacing w:val="-74"/>
        </w:rPr>
        <w:t> </w:t>
      </w:r>
      <w:r>
        <w:rPr>
          <w:spacing w:val="-74"/>
        </w:rPr>
      </w:r>
      <w:r>
        <w:rPr/>
        <w:t>体制改革试点中支持文化产业发展若干税收政策问题的通知》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[2005]2</w:t>
      </w:r>
      <w:r>
        <w:rPr/>
        <w:t>号</w:t>
      </w:r>
      <w:r>
        <w:rPr>
          <w:rFonts w:ascii="Times New Roman" w:hAnsi="Times New Roman" w:cs="Times New Roman" w:eastAsia="Times New Roman" w:hint="default"/>
        </w:rPr>
        <w:t>)</w:t>
      </w:r>
      <w:r>
        <w:rPr/>
        <w:t>，经长沙市开福区国家税务局</w:t>
      </w:r>
      <w:r>
        <w:rPr>
          <w:rFonts w:ascii="Times New Roman" w:hAnsi="Times New Roman" w:cs="Times New Roman" w:eastAsia="Times New Roman" w:hint="default"/>
        </w:rPr>
        <w:t>“</w:t>
      </w:r>
      <w:r>
        <w:rPr/>
        <w:t>开福</w:t>
      </w:r>
      <w:r>
        <w:rPr>
          <w:spacing w:val="-50"/>
        </w:rPr>
        <w:t> </w:t>
      </w:r>
      <w:r>
        <w:rPr>
          <w:spacing w:val="-3"/>
        </w:rPr>
        <w:t>国税登字</w:t>
      </w:r>
      <w:r>
        <w:rPr>
          <w:rFonts w:ascii="Times New Roman" w:hAnsi="Times New Roman" w:cs="Times New Roman" w:eastAsia="Times New Roman" w:hint="default"/>
          <w:spacing w:val="-3"/>
        </w:rPr>
        <w:t>(2007)</w:t>
      </w:r>
      <w:r>
        <w:rPr>
          <w:spacing w:val="-3"/>
        </w:rPr>
        <w:t>第</w:t>
      </w:r>
      <w:r>
        <w:rPr>
          <w:rFonts w:ascii="Times New Roman" w:hAnsi="Times New Roman" w:cs="Times New Roman" w:eastAsia="Times New Roman" w:hint="default"/>
          <w:spacing w:val="-3"/>
        </w:rPr>
        <w:t>0041</w:t>
      </w:r>
      <w:r>
        <w:rPr>
          <w:spacing w:val="-3"/>
        </w:rPr>
        <w:t>号</w:t>
      </w:r>
      <w:r>
        <w:rPr>
          <w:rFonts w:ascii="Times New Roman" w:hAnsi="Times New Roman" w:cs="Times New Roman" w:eastAsia="Times New Roman" w:hint="default"/>
          <w:spacing w:val="-3"/>
        </w:rPr>
        <w:t>”</w:t>
      </w:r>
      <w:r>
        <w:rPr>
          <w:spacing w:val="-3"/>
        </w:rPr>
        <w:t>文批准，本公司自</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日减征企业所得税，减征幅度为</w:t>
      </w:r>
      <w:r>
        <w:rPr>
          <w:rFonts w:ascii="Times New Roman" w:hAnsi="Times New Roman" w:cs="Times New Roman" w:eastAsia="Times New Roman" w:hint="default"/>
          <w:spacing w:val="-3"/>
        </w:rPr>
        <w:t>100%</w:t>
      </w:r>
      <w:r>
        <w:rPr>
          <w:spacing w:val="-3"/>
        </w:rPr>
        <w:t>。</w:t>
      </w:r>
      <w:r>
        <w:rPr>
          <w:spacing w:val="-58"/>
        </w:rPr>
        <w:t> </w:t>
      </w:r>
      <w:r>
        <w:rPr/>
        <w:t>根据《转发财政部国家税务总局和中宣部关于转制文化企业名单及认定问题的通知》</w:t>
      </w:r>
      <w:r>
        <w:rPr>
          <w:rFonts w:ascii="Times New Roman" w:hAnsi="Times New Roman" w:cs="Times New Roman" w:eastAsia="Times New Roman" w:hint="default"/>
        </w:rPr>
        <w:t>(</w:t>
      </w:r>
      <w:r>
        <w:rPr/>
        <w:t>湘财税</w:t>
      </w:r>
      <w:r>
        <w:rPr>
          <w:rFonts w:ascii="Times New Roman" w:hAnsi="Times New Roman" w:cs="Times New Roman" w:eastAsia="Times New Roman" w:hint="default"/>
        </w:rPr>
        <w:t>[2009]69</w:t>
      </w:r>
      <w:r>
        <w:rPr/>
        <w:t>号</w:t>
      </w:r>
      <w:r>
        <w:rPr>
          <w:rFonts w:ascii="Times New Roman" w:hAnsi="Times New Roman" w:cs="Times New Roman" w:eastAsia="Times New Roman" w:hint="default"/>
        </w:rPr>
        <w:t>)</w:t>
      </w:r>
      <w:r>
        <w:rPr/>
        <w:t>，原已享</w:t>
      </w:r>
      <w:r>
        <w:rPr>
          <w:spacing w:val="-57"/>
        </w:rPr>
        <w:t> </w:t>
      </w:r>
      <w:r>
        <w:rPr>
          <w:spacing w:val="-2"/>
        </w:rPr>
        <w:t>受财税优惠政策的文化企业，相关所得税税收政策按照《财政部、国家税务总局关于文化体制改革中经营性文化事</w:t>
      </w:r>
      <w:r>
        <w:rPr>
          <w:spacing w:val="-74"/>
        </w:rPr>
        <w:t> </w:t>
      </w:r>
      <w:r>
        <w:rPr>
          <w:spacing w:val="-74"/>
        </w:rPr>
      </w:r>
      <w:r>
        <w:rPr/>
        <w:t>业单位转制为企业的若干税收优惠政策的通知》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[2009]34</w:t>
      </w:r>
      <w:r>
        <w:rPr/>
        <w:t>号</w:t>
      </w:r>
      <w:r>
        <w:rPr>
          <w:rFonts w:ascii="Times New Roman" w:hAnsi="Times New Roman" w:cs="Times New Roman" w:eastAsia="Times New Roman" w:hint="default"/>
        </w:rPr>
        <w:t>)</w:t>
      </w:r>
      <w:r>
        <w:rPr/>
        <w:t>文件的规定执行，即在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rFonts w:ascii="Times New Roman" w:hAnsi="Times New Roman" w:cs="Times New Roman" w:eastAsia="Times New Roman" w:hint="default"/>
        </w:rPr>
        <w:t>31</w:t>
      </w:r>
      <w:r>
        <w:rPr/>
        <w:t>日期间免征企业所得税。因此本公司在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日期间免缴企业所得税。</w:t>
      </w:r>
    </w:p>
    <w:p>
      <w:pPr>
        <w:spacing w:line="240" w:lineRule="auto" w:before="5"/>
        <w:rPr>
          <w:rFonts w:ascii="宋体" w:hAnsi="宋体" w:cs="宋体" w:eastAsia="宋体" w:hint="default"/>
          <w:sz w:val="24"/>
          <w:szCs w:val="24"/>
        </w:rPr>
      </w:pPr>
    </w:p>
    <w:p>
      <w:pPr>
        <w:pStyle w:val="BodyText"/>
        <w:spacing w:line="302" w:lineRule="auto"/>
        <w:ind w:right="9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月，国务院办公厅发布《关于印发文化体制改革中经营性文化事业单位转制为企业和进一步支持文化企业</w:t>
      </w:r>
      <w:r>
        <w:rPr>
          <w:spacing w:val="-83"/>
        </w:rPr>
        <w:t> </w:t>
      </w:r>
      <w:r>
        <w:rPr>
          <w:spacing w:val="-83"/>
        </w:rPr>
      </w:r>
      <w:r>
        <w:rPr/>
        <w:t>发展两个规定的通知》（国办发</w:t>
      </w:r>
      <w:r>
        <w:rPr>
          <w:rFonts w:ascii="Times New Roman" w:hAnsi="Times New Roman" w:cs="Times New Roman" w:eastAsia="Times New Roman" w:hint="default"/>
        </w:rPr>
        <w:t>[2014]15</w:t>
      </w:r>
      <w:r>
        <w:rPr/>
        <w:t>号），执行期限为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日，保留和延续原有给予 </w:t>
      </w:r>
      <w:r>
        <w:rPr>
          <w:spacing w:val="-2"/>
        </w:rPr>
        <w:t>转制企业的财政支持、税收减免等多方面优惠政策。</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日，根据财政部、国家税务总局及中宣部联合发</w:t>
      </w:r>
      <w:r>
        <w:rPr>
          <w:spacing w:val="-66"/>
        </w:rPr>
        <w:t> </w:t>
      </w:r>
      <w:r>
        <w:rPr>
          <w:spacing w:val="-66"/>
        </w:rPr>
      </w:r>
      <w:r>
        <w:rPr>
          <w:spacing w:val="-5"/>
        </w:rPr>
        <w:t>布的《关于继续实施文化体制改革中经营性文化事业单位转制为企业若干税收政策的通知》（财税〔</w:t>
      </w:r>
      <w:r>
        <w:rPr>
          <w:rFonts w:ascii="Times New Roman" w:hAnsi="Times New Roman" w:cs="Times New Roman" w:eastAsia="Times New Roman" w:hint="default"/>
          <w:spacing w:val="-5"/>
        </w:rPr>
        <w:t>2014</w:t>
      </w:r>
      <w:r>
        <w:rPr>
          <w:spacing w:val="-5"/>
        </w:rPr>
        <w:t>〕</w:t>
      </w:r>
      <w:r>
        <w:rPr>
          <w:rFonts w:ascii="Times New Roman" w:hAnsi="Times New Roman" w:cs="Times New Roman" w:eastAsia="Times New Roman" w:hint="default"/>
          <w:spacing w:val="-5"/>
        </w:rPr>
        <w:t>84</w:t>
      </w:r>
      <w:r>
        <w:rPr>
          <w:spacing w:val="-5"/>
        </w:rPr>
        <w:t>号），</w:t>
      </w:r>
      <w:r>
        <w:rPr>
          <w:spacing w:val="-85"/>
        </w:rPr>
        <w:t> </w:t>
      </w:r>
      <w:r>
        <w:rPr>
          <w:spacing w:val="-85"/>
        </w:rPr>
      </w:r>
      <w:r>
        <w:rPr>
          <w:spacing w:val="-2"/>
        </w:rPr>
        <w:t>为贯彻落实上述《国务院办公厅关于印发文化体制改革中经营性文化事业单位转制为企业和进一步支持文化企业发</w:t>
      </w:r>
      <w:r>
        <w:rPr>
          <w:spacing w:val="-72"/>
        </w:rPr>
        <w:t> </w:t>
      </w:r>
      <w:r>
        <w:rPr>
          <w:spacing w:val="-72"/>
        </w:rPr>
      </w:r>
      <w:r>
        <w:rPr/>
        <w:t>展两个规定的通知》（国办发〔</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15</w:t>
      </w:r>
      <w:r>
        <w:rPr/>
        <w:t>号）的有关规定，该通知下发之前已经审核认定享受《财政部 国家税务</w:t>
      </w:r>
      <w:r>
        <w:rPr>
          <w:spacing w:val="-84"/>
        </w:rPr>
        <w:t> </w:t>
      </w:r>
      <w:r>
        <w:rPr>
          <w:spacing w:val="-84"/>
        </w:rPr>
      </w:r>
      <w:r>
        <w:rPr/>
        <w:t>总局关于文化体制改革中经营性文化事业单位转制为企业的若干税收优惠政策问题的通知》（财税〔</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34</w:t>
      </w:r>
      <w:r>
        <w:rPr/>
        <w:t>号）</w:t>
      </w:r>
      <w:r>
        <w:rPr>
          <w:spacing w:val="-82"/>
        </w:rPr>
        <w:t> </w:t>
      </w:r>
      <w:r>
        <w:rPr/>
        <w:t>税收政策的转制文化企业，可继续享受免征企业所得税的税收优惠政策。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before="0"/>
        <w:ind w:left="153" w:right="5193"/>
        <w:jc w:val="left"/>
        <w:rPr>
          <w:b w:val="0"/>
          <w:bCs w:val="0"/>
        </w:rPr>
      </w:pPr>
      <w:bookmarkStart w:name="七、合并财务报表项目注释" w:id="115"/>
      <w:bookmarkEnd w:id="115"/>
      <w:r>
        <w:rPr>
          <w:b w:val="0"/>
          <w:bCs w:val="0"/>
        </w:rPr>
      </w:r>
      <w:r>
        <w:rPr/>
        <w:t>七、合并财务报表项目注释</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53" w:right="5193"/>
        <w:jc w:val="left"/>
        <w:rPr>
          <w:b w:val="0"/>
          <w:bCs w:val="0"/>
        </w:rPr>
      </w:pPr>
      <w:bookmarkStart w:name="1、货币资金" w:id="116"/>
      <w:bookmarkEnd w:id="11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449,103.09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393,256.14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996,056,190.98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1,020,561,383.27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996,505,294.07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1,020,954,639.41</w:t>
            </w:r>
          </w:p>
        </w:tc>
      </w:tr>
    </w:tbl>
    <w:p>
      <w:pPr>
        <w:pStyle w:val="BodyText"/>
        <w:spacing w:line="357" w:lineRule="auto" w:before="51"/>
        <w:ind w:left="153" w:right="92"/>
        <w:jc w:val="left"/>
      </w:pPr>
      <w:r>
        <w:rPr/>
        <w:t>其他说明 </w:t>
      </w:r>
      <w:r>
        <w:rPr>
          <w:spacing w:val="-2"/>
        </w:rPr>
        <w:t>货币资金年末余额中不存在存放在境外的货币资金，也不存在因抵押、质押或冻结等对使用有限制或有潜在回收风险的款项</w:t>
      </w:r>
    </w:p>
    <w:p>
      <w:pPr>
        <w:spacing w:line="240" w:lineRule="auto" w:before="2"/>
        <w:rPr>
          <w:rFonts w:ascii="宋体" w:hAnsi="宋体" w:cs="宋体" w:eastAsia="宋体" w:hint="default"/>
          <w:sz w:val="22"/>
          <w:szCs w:val="22"/>
        </w:rPr>
      </w:pPr>
    </w:p>
    <w:p>
      <w:pPr>
        <w:pStyle w:val="Heading4"/>
        <w:spacing w:line="240" w:lineRule="auto" w:before="0"/>
        <w:ind w:right="5193"/>
        <w:jc w:val="left"/>
        <w:rPr>
          <w:b w:val="0"/>
          <w:bCs w:val="0"/>
        </w:rPr>
      </w:pPr>
      <w:bookmarkStart w:name="2、应收票据" w:id="117"/>
      <w:bookmarkEnd w:id="117"/>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5193"/>
        <w:jc w:val="left"/>
        <w:rPr>
          <w:b w:val="0"/>
          <w:bCs w:val="0"/>
        </w:rPr>
      </w:pPr>
      <w:bookmarkStart w:name="（1）应收票据分类列示" w:id="118"/>
      <w:bookmarkEnd w:id="11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86,877,816.55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73,830,537.67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86,877,816.55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73,830,537.67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40"/>
        </w:sectPr>
      </w:pPr>
    </w:p>
    <w:p>
      <w:pPr>
        <w:pStyle w:val="Heading4"/>
        <w:spacing w:line="240" w:lineRule="auto" w:before="116"/>
        <w:ind w:right="0"/>
        <w:jc w:val="left"/>
        <w:rPr>
          <w:b w:val="0"/>
          <w:bCs w:val="0"/>
        </w:rPr>
      </w:pPr>
      <w:bookmarkStart w:name="（2）期末公司已质押的应收票据：无" w:id="119"/>
      <w:bookmarkEnd w:id="119"/>
      <w:r>
        <w:rPr>
          <w:b w:val="0"/>
          <w:bCs w:val="0"/>
        </w:rPr>
      </w:r>
      <w:r>
        <w:rPr/>
        <w:t>（</w:t>
      </w:r>
      <w:r>
        <w:rPr>
          <w:rFonts w:ascii="Times New Roman" w:hAnsi="Times New Roman" w:cs="Times New Roman" w:eastAsia="Times New Roman" w:hint="default"/>
        </w:rPr>
        <w:t>2</w:t>
      </w:r>
      <w:r>
        <w:rPr/>
        <w:t>）期末公司已质押的应收票据：无</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53" w:right="0"/>
        <w:jc w:val="left"/>
        <w:rPr>
          <w:b w:val="0"/>
          <w:bCs w:val="0"/>
        </w:rPr>
      </w:pPr>
      <w:bookmarkStart w:name="（3）期末公司已背书或贴现且在资产负债表日尚未到期的应收票据" w:id="120"/>
      <w:bookmarkEnd w:id="120"/>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62,866,200.00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62,866,200.00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590" w:lineRule="auto"/>
        <w:ind w:left="153" w:right="4985"/>
        <w:jc w:val="left"/>
        <w:rPr>
          <w:rFonts w:ascii="宋体" w:hAnsi="宋体" w:cs="宋体" w:eastAsia="宋体" w:hint="default"/>
          <w:b w:val="0"/>
          <w:bCs w:val="0"/>
        </w:rPr>
      </w:pPr>
      <w:bookmarkStart w:name="（4）期末公司因出票人未履约而将其转应收账款的票据：无" w:id="121"/>
      <w:bookmarkEnd w:id="121"/>
      <w:r>
        <w:rPr>
          <w:b w:val="0"/>
          <w:bCs w:val="0"/>
        </w:rPr>
      </w:r>
      <w:r>
        <w:rPr/>
        <w:t>（</w:t>
      </w:r>
      <w:r>
        <w:rPr>
          <w:rFonts w:ascii="Times New Roman" w:hAnsi="Times New Roman" w:cs="Times New Roman" w:eastAsia="Times New Roman" w:hint="default"/>
        </w:rPr>
        <w:t>4</w:t>
      </w:r>
      <w:r>
        <w:rPr/>
        <w:t>）期末公司因出票人未履约而将其转应收账款的票据：无</w:t>
      </w:r>
      <w:r>
        <w:rPr>
          <w:spacing w:val="1"/>
          <w:w w:val="99"/>
        </w:rPr>
        <w:t> </w:t>
      </w:r>
      <w:r>
        <w:rPr>
          <w:rFonts w:ascii="宋体" w:hAnsi="宋体" w:cs="宋体" w:eastAsia="宋体" w:hint="default"/>
          <w:b w:val="0"/>
          <w:bCs w:val="0"/>
        </w:rPr>
        <w:t>其他说明：无</w:t>
      </w:r>
    </w:p>
    <w:p>
      <w:pPr>
        <w:pStyle w:val="Heading4"/>
        <w:spacing w:line="240" w:lineRule="auto" w:before="112"/>
        <w:ind w:left="153" w:right="0"/>
        <w:jc w:val="left"/>
        <w:rPr>
          <w:b w:val="0"/>
          <w:bCs w:val="0"/>
        </w:rPr>
      </w:pPr>
      <w:bookmarkStart w:name="3、应收账款" w:id="122"/>
      <w:bookmarkEnd w:id="12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应收账款分类披露" w:id="123"/>
      <w:bookmarkEnd w:id="1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21,213,7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47.43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21,213,74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17,252,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531.88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81.64%</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17,252,531.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5,001,63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5,001,63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3,880,6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26,215,3</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78.53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5,001,63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FFFF00" w:color="auto" w:val="clear"/>
              </w:rPr>
              <w:t>19.08%</w:t>
            </w:r>
            <w:r>
              <w:rPr>
                <w:rFonts w:ascii="Times New Roman"/>
                <w:sz w:val="18"/>
              </w:rPr>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21,213,74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7.43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21,133,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182.98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17,252,531.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40" w:lineRule="auto" w:before="116"/>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32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8"/>
        <w:gridCol w:w="2392"/>
        <w:gridCol w:w="2380"/>
      </w:tblGrid>
      <w:tr>
        <w:trPr>
          <w:trHeight w:val="206"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1"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19" w:right="0"/>
              <w:jc w:val="left"/>
              <w:rPr>
                <w:rFonts w:ascii="Times New Roman" w:hAnsi="Times New Roman" w:cs="Times New Roman" w:eastAsia="Times New Roman" w:hint="default"/>
                <w:sz w:val="18"/>
                <w:szCs w:val="18"/>
              </w:rPr>
            </w:pPr>
            <w:r>
              <w:rPr>
                <w:rFonts w:ascii="Times New Roman"/>
                <w:sz w:val="18"/>
              </w:rPr>
              <w:t>21,213,747.43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1,120,980.00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1,120,980.00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3,880,651.10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3,880,651.10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60" w:lineRule="auto" w:before="51"/>
        <w:ind w:left="154" w:right="5452"/>
        <w:jc w:val="left"/>
      </w:pPr>
      <w:r>
        <w:rPr/>
        <w:t>确定该组合依据的说明： 组合中，采用余额百分比法计提坏账准备的应收账款：</w:t>
      </w:r>
    </w:p>
    <w:p>
      <w:pPr>
        <w:pStyle w:val="BodyText"/>
        <w:spacing w:line="340" w:lineRule="auto" w:before="26"/>
        <w:ind w:left="153"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2"/>
          <w:szCs w:val="22"/>
        </w:rPr>
      </w:pPr>
    </w:p>
    <w:p>
      <w:pPr>
        <w:pStyle w:val="Heading4"/>
        <w:spacing w:line="240" w:lineRule="auto" w:before="0"/>
        <w:ind w:left="153" w:right="0"/>
        <w:jc w:val="left"/>
        <w:rPr>
          <w:b w:val="0"/>
          <w:bCs w:val="0"/>
        </w:rPr>
      </w:pPr>
      <w:bookmarkStart w:name="（2）本期计提、收回或转回的坏账准备情况" w:id="124"/>
      <w:bookmarkEnd w:id="1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left="153" w:right="0"/>
        <w:jc w:val="left"/>
      </w:pPr>
      <w:r>
        <w:rPr/>
        <w:t>本期计提坏账准备金额</w:t>
      </w:r>
      <w:r>
        <w:rPr>
          <w:spacing w:val="-47"/>
        </w:rPr>
        <w:t> </w:t>
      </w:r>
      <w:r>
        <w:rPr>
          <w:rFonts w:ascii="Times New Roman" w:hAnsi="Times New Roman" w:cs="Times New Roman" w:eastAsia="Times New Roman" w:hint="default"/>
        </w:rPr>
        <w:t>1,120,980.00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592" w:lineRule="auto" w:before="126"/>
        <w:ind w:left="153" w:right="6611" w:firstLine="0"/>
        <w:jc w:val="left"/>
        <w:rPr>
          <w:rFonts w:ascii="宋体" w:hAnsi="宋体" w:cs="宋体" w:eastAsia="宋体" w:hint="default"/>
          <w:sz w:val="18"/>
          <w:szCs w:val="18"/>
        </w:rPr>
      </w:pPr>
      <w:bookmarkStart w:name="（3）本期实际核销的应收账款情况：无" w:id="125"/>
      <w:bookmarkEnd w:id="125"/>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）本期实际核销的应收账款情况：无</w:t>
      </w:r>
      <w:r>
        <w:rPr>
          <w:rFonts w:ascii="宋体" w:hAnsi="宋体" w:cs="宋体" w:eastAsia="宋体" w:hint="default"/>
          <w:b/>
          <w:bCs/>
          <w:spacing w:val="1"/>
          <w:w w:val="99"/>
          <w:sz w:val="18"/>
          <w:szCs w:val="18"/>
        </w:rPr>
        <w:t> </w:t>
      </w:r>
      <w:r>
        <w:rPr>
          <w:rFonts w:ascii="宋体" w:hAnsi="宋体" w:cs="宋体" w:eastAsia="宋体" w:hint="default"/>
          <w:sz w:val="18"/>
          <w:szCs w:val="18"/>
        </w:rPr>
        <w:t>应收账款核销说明：无</w:t>
      </w:r>
    </w:p>
    <w:p>
      <w:pPr>
        <w:pStyle w:val="Heading4"/>
        <w:spacing w:line="240" w:lineRule="auto" w:before="110"/>
        <w:ind w:right="0"/>
        <w:jc w:val="left"/>
        <w:rPr>
          <w:b w:val="0"/>
          <w:bCs w:val="0"/>
        </w:rPr>
      </w:pPr>
      <w:bookmarkStart w:name="（4）按欠款方归集的期末余额前五吊的应收账款情况" w:id="126"/>
      <w:bookmarkEnd w:id="12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7"/>
          <w:szCs w:val="27"/>
        </w:rPr>
      </w:pPr>
    </w:p>
    <w:tbl>
      <w:tblPr>
        <w:tblW w:w="0" w:type="auto"/>
        <w:jc w:val="left"/>
        <w:tblInd w:w="137" w:type="dxa"/>
        <w:tblLayout w:type="fixed"/>
        <w:tblCellMar>
          <w:top w:w="0" w:type="dxa"/>
          <w:left w:w="0" w:type="dxa"/>
          <w:bottom w:w="0" w:type="dxa"/>
          <w:right w:w="0" w:type="dxa"/>
        </w:tblCellMar>
        <w:tblLook w:val="01E0"/>
      </w:tblPr>
      <w:tblGrid>
        <w:gridCol w:w="2997"/>
        <w:gridCol w:w="1643"/>
        <w:gridCol w:w="1500"/>
        <w:gridCol w:w="1242"/>
        <w:gridCol w:w="2268"/>
      </w:tblGrid>
      <w:tr>
        <w:trPr>
          <w:trHeight w:val="653" w:hRule="exact"/>
        </w:trPr>
        <w:tc>
          <w:tcPr>
            <w:tcW w:w="299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26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16"/>
              <w:ind w:left="721" w:right="497"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p>
        </w:tc>
      </w:tr>
      <w:tr>
        <w:trPr>
          <w:trHeight w:val="347" w:hRule="exact"/>
        </w:trPr>
        <w:tc>
          <w:tcPr>
            <w:tcW w:w="2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湖南省邮政速递物流有限公司</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8,272,413.94</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一个月内</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 w:right="0"/>
              <w:jc w:val="center"/>
              <w:rPr>
                <w:rFonts w:ascii="Times New Roman" w:hAnsi="Times New Roman" w:cs="Times New Roman" w:eastAsia="Times New Roman" w:hint="default"/>
                <w:sz w:val="18"/>
                <w:szCs w:val="18"/>
              </w:rPr>
            </w:pPr>
            <w:r>
              <w:rPr>
                <w:rFonts w:ascii="Times New Roman"/>
                <w:sz w:val="18"/>
              </w:rPr>
              <w:t>31.56</w:t>
            </w:r>
          </w:p>
        </w:tc>
      </w:tr>
      <w:tr>
        <w:trPr>
          <w:trHeight w:val="347" w:hRule="exact"/>
        </w:trPr>
        <w:tc>
          <w:tcPr>
            <w:tcW w:w="2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广州市莱仕化妆品有限公司</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4,460,000.00</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 w:right="0"/>
              <w:jc w:val="center"/>
              <w:rPr>
                <w:rFonts w:ascii="Times New Roman" w:hAnsi="Times New Roman" w:cs="Times New Roman" w:eastAsia="Times New Roman" w:hint="default"/>
                <w:sz w:val="18"/>
                <w:szCs w:val="18"/>
              </w:rPr>
            </w:pPr>
            <w:r>
              <w:rPr>
                <w:rFonts w:ascii="Times New Roman"/>
                <w:sz w:val="18"/>
              </w:rPr>
              <w:t>17.01</w:t>
            </w:r>
          </w:p>
        </w:tc>
      </w:tr>
      <w:tr>
        <w:trPr>
          <w:trHeight w:val="348" w:hRule="exact"/>
        </w:trPr>
        <w:tc>
          <w:tcPr>
            <w:tcW w:w="2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北京星晨急便速递有限公司</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3,880,651.10</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两至三年</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 w:right="0"/>
              <w:jc w:val="center"/>
              <w:rPr>
                <w:rFonts w:ascii="Times New Roman" w:hAnsi="Times New Roman" w:cs="Times New Roman" w:eastAsia="Times New Roman" w:hint="default"/>
                <w:sz w:val="18"/>
                <w:szCs w:val="18"/>
              </w:rPr>
            </w:pPr>
            <w:r>
              <w:rPr>
                <w:rFonts w:ascii="Times New Roman"/>
                <w:sz w:val="18"/>
              </w:rPr>
              <w:t>14.80</w:t>
            </w:r>
          </w:p>
        </w:tc>
      </w:tr>
      <w:tr>
        <w:trPr>
          <w:trHeight w:val="347" w:hRule="exact"/>
        </w:trPr>
        <w:tc>
          <w:tcPr>
            <w:tcW w:w="2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河北顺丰速运有限公司</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2,469,151.00</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一个月内</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2" w:right="0"/>
              <w:jc w:val="center"/>
              <w:rPr>
                <w:rFonts w:ascii="Times New Roman" w:hAnsi="Times New Roman" w:cs="Times New Roman" w:eastAsia="Times New Roman" w:hint="default"/>
                <w:sz w:val="18"/>
                <w:szCs w:val="18"/>
              </w:rPr>
            </w:pPr>
            <w:r>
              <w:rPr>
                <w:rFonts w:ascii="Times New Roman"/>
                <w:sz w:val="18"/>
              </w:rPr>
              <w:t>9.42</w:t>
            </w:r>
          </w:p>
        </w:tc>
      </w:tr>
      <w:tr>
        <w:trPr>
          <w:trHeight w:val="347" w:hRule="exact"/>
        </w:trPr>
        <w:tc>
          <w:tcPr>
            <w:tcW w:w="2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深圳财付通科技有限公司</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1,642,045.48</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一个月内</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2" w:right="0"/>
              <w:jc w:val="center"/>
              <w:rPr>
                <w:rFonts w:ascii="Times New Roman" w:hAnsi="Times New Roman" w:cs="Times New Roman" w:eastAsia="Times New Roman" w:hint="default"/>
                <w:sz w:val="18"/>
                <w:szCs w:val="18"/>
              </w:rPr>
            </w:pPr>
            <w:r>
              <w:rPr>
                <w:rFonts w:ascii="Times New Roman"/>
                <w:sz w:val="18"/>
              </w:rPr>
              <w:t>6.26</w:t>
            </w:r>
          </w:p>
        </w:tc>
      </w:tr>
      <w:tr>
        <w:trPr>
          <w:trHeight w:val="348" w:hRule="exact"/>
        </w:trPr>
        <w:tc>
          <w:tcPr>
            <w:tcW w:w="2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3"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20,724,261.52</w:t>
            </w:r>
          </w:p>
        </w:tc>
        <w:tc>
          <w:tcPr>
            <w:tcW w:w="1242"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 w:right="0"/>
              <w:jc w:val="center"/>
              <w:rPr>
                <w:rFonts w:ascii="Times New Roman" w:hAnsi="Times New Roman" w:cs="Times New Roman" w:eastAsia="Times New Roman" w:hint="default"/>
                <w:sz w:val="18"/>
                <w:szCs w:val="18"/>
              </w:rPr>
            </w:pPr>
            <w:r>
              <w:rPr>
                <w:rFonts w:ascii="Times New Roman"/>
                <w:sz w:val="18"/>
              </w:rPr>
              <w:t>79.05</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Heading4"/>
        <w:spacing w:line="240" w:lineRule="auto"/>
        <w:ind w:right="0"/>
        <w:jc w:val="left"/>
        <w:rPr>
          <w:b w:val="0"/>
          <w:bCs w:val="0"/>
        </w:rPr>
      </w:pPr>
      <w:bookmarkStart w:name="（5）因金融资产转移而终止确认的应收账款：无" w:id="127"/>
      <w:bookmarkEnd w:id="127"/>
      <w:r>
        <w:rPr>
          <w:b w:val="0"/>
          <w:bCs w:val="0"/>
        </w:rPr>
      </w:r>
      <w:r>
        <w:rPr/>
        <w:t>（</w:t>
      </w:r>
      <w:r>
        <w:rPr>
          <w:rFonts w:ascii="Times New Roman" w:hAnsi="Times New Roman" w:cs="Times New Roman" w:eastAsia="Times New Roman" w:hint="default"/>
        </w:rPr>
        <w:t>5</w:t>
      </w:r>
      <w:r>
        <w:rPr/>
        <w:t>）因金融资产转移而终止确认的应收账款：无</w:t>
      </w:r>
      <w:r>
        <w:rPr>
          <w:b w:val="0"/>
          <w:bCs w:val="0"/>
        </w:rPr>
      </w:r>
    </w:p>
    <w:p>
      <w:pPr>
        <w:spacing w:line="240" w:lineRule="auto" w:before="0"/>
        <w:rPr>
          <w:rFonts w:ascii="宋体" w:hAnsi="宋体" w:cs="宋体" w:eastAsia="宋体" w:hint="default"/>
          <w:b/>
          <w:bCs/>
          <w:sz w:val="18"/>
          <w:szCs w:val="18"/>
        </w:rPr>
      </w:pPr>
    </w:p>
    <w:p>
      <w:pPr>
        <w:pStyle w:val="Heading4"/>
        <w:spacing w:line="590" w:lineRule="auto" w:before="128"/>
        <w:ind w:left="153" w:right="5165"/>
        <w:jc w:val="left"/>
        <w:rPr>
          <w:rFonts w:ascii="宋体" w:hAnsi="宋体" w:cs="宋体" w:eastAsia="宋体" w:hint="default"/>
          <w:b w:val="0"/>
          <w:bCs w:val="0"/>
        </w:rPr>
      </w:pPr>
      <w:bookmarkStart w:name="（6）转移应收账款且继续涉入形成的资产、负债金额：无" w:id="128"/>
      <w:bookmarkEnd w:id="128"/>
      <w:r>
        <w:rPr>
          <w:b w:val="0"/>
          <w:bCs w:val="0"/>
        </w:rPr>
      </w:r>
      <w:r>
        <w:rPr/>
        <w:t>（</w:t>
      </w:r>
      <w:r>
        <w:rPr>
          <w:rFonts w:ascii="Times New Roman" w:hAnsi="Times New Roman" w:cs="Times New Roman" w:eastAsia="Times New Roman" w:hint="default"/>
        </w:rPr>
        <w:t>6</w:t>
      </w:r>
      <w:r>
        <w:rPr/>
        <w:t>）转移应收账款且继续涉入形成的资产、负债金额：无</w:t>
      </w:r>
      <w:r>
        <w:rPr>
          <w:w w:val="99"/>
        </w:rPr>
        <w:t> </w:t>
      </w:r>
      <w:r>
        <w:rPr>
          <w:rFonts w:ascii="宋体" w:hAnsi="宋体" w:cs="宋体" w:eastAsia="宋体" w:hint="default"/>
          <w:b w:val="0"/>
          <w:bCs w:val="0"/>
        </w:rPr>
        <w:t>其他说明：无</w:t>
      </w:r>
    </w:p>
    <w:p>
      <w:pPr>
        <w:pStyle w:val="Heading4"/>
        <w:spacing w:line="240" w:lineRule="auto" w:before="112"/>
        <w:ind w:left="153" w:right="0"/>
        <w:jc w:val="left"/>
        <w:rPr>
          <w:b w:val="0"/>
          <w:bCs w:val="0"/>
        </w:rPr>
      </w:pPr>
      <w:bookmarkStart w:name="4、预付款项" w:id="129"/>
      <w:bookmarkEnd w:id="129"/>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130"/>
      <w:bookmarkEnd w:id="130"/>
      <w:r>
        <w:rPr>
          <w:b w:val="0"/>
          <w:bCs w:val="0"/>
        </w:rPr>
      </w:r>
      <w:r>
        <w:rPr/>
        <w:t>（</w:t>
      </w:r>
      <w:r>
        <w:rPr>
          <w:rFonts w:ascii="Times New Roman" w:hAnsi="Times New Roman" w:cs="Times New Roman" w:eastAsia="Times New Roman" w:hint="default"/>
        </w:rPr>
        <w:t>1</w:t>
      </w:r>
      <w:r>
        <w:rPr/>
        <w:t>）预付款项按账龄列示</w:t>
      </w:r>
      <w:r>
        <w:rPr>
          <w:b w:val="0"/>
          <w:bCs w:val="0"/>
        </w:rPr>
      </w:r>
    </w:p>
    <w:p>
      <w:pPr>
        <w:pStyle w:val="BodyText"/>
        <w:spacing w:line="240" w:lineRule="auto" w:before="63"/>
        <w:ind w:left="0" w:right="519"/>
        <w:jc w:val="right"/>
      </w:pPr>
      <w:bookmarkStart w:name="单位： 元" w:id="131"/>
      <w:bookmarkEnd w:id="131"/>
      <w:r>
        <w:rPr/>
      </w:r>
      <w:r>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73,752,171.77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48,679,516.00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73,752,171.77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48,679,516.00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6"/>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978"/>
        <w:gridCol w:w="1216"/>
      </w:tblGrid>
      <w:tr>
        <w:trPr>
          <w:trHeight w:val="1575" w:hRule="exact"/>
        </w:trPr>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bookmarkStart w:name="（2）按预付对象归集的期末余额前五吊的预付款情况" w:id="132"/>
            <w:bookmarkEnd w:id="132"/>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）按预付对象归集的期末余额前五名的预付款情况</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、苏州海尔信息科技有限公司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76"/>
              <w:jc w:val="right"/>
              <w:rPr>
                <w:rFonts w:ascii="Times New Roman" w:hAnsi="Times New Roman" w:cs="Times New Roman" w:eastAsia="Times New Roman" w:hint="default"/>
                <w:sz w:val="18"/>
                <w:szCs w:val="18"/>
              </w:rPr>
            </w:pPr>
            <w:r>
              <w:rPr>
                <w:rFonts w:ascii="Times New Roman"/>
                <w:spacing w:val="-1"/>
                <w:sz w:val="18"/>
              </w:rPr>
              <w:t>46,284,000.00</w:t>
            </w:r>
          </w:p>
        </w:tc>
      </w:tr>
      <w:tr>
        <w:trPr>
          <w:trHeight w:val="312" w:hRule="exact"/>
        </w:trPr>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、四川长虹电器股份有限公司长沙销售分公司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7"/>
              <w:jc w:val="right"/>
              <w:rPr>
                <w:rFonts w:ascii="Times New Roman" w:hAnsi="Times New Roman" w:cs="Times New Roman" w:eastAsia="Times New Roman" w:hint="default"/>
                <w:sz w:val="18"/>
                <w:szCs w:val="18"/>
              </w:rPr>
            </w:pPr>
            <w:r>
              <w:rPr>
                <w:rFonts w:ascii="Times New Roman"/>
                <w:spacing w:val="-1"/>
                <w:sz w:val="18"/>
              </w:rPr>
              <w:t>10,152,925.08</w:t>
            </w:r>
          </w:p>
        </w:tc>
      </w:tr>
      <w:tr>
        <w:trPr>
          <w:trHeight w:val="312" w:hRule="exact"/>
        </w:trPr>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、南京国策酒业有限公司</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2"/>
              <w:jc w:val="right"/>
              <w:rPr>
                <w:rFonts w:ascii="Times New Roman" w:hAnsi="Times New Roman" w:cs="Times New Roman" w:eastAsia="Times New Roman" w:hint="default"/>
                <w:sz w:val="18"/>
                <w:szCs w:val="18"/>
              </w:rPr>
            </w:pPr>
            <w:r>
              <w:rPr>
                <w:rFonts w:ascii="Times New Roman"/>
                <w:spacing w:val="-1"/>
                <w:sz w:val="18"/>
              </w:rPr>
              <w:t>6,680,403.96</w:t>
            </w:r>
          </w:p>
        </w:tc>
      </w:tr>
      <w:tr>
        <w:trPr>
          <w:trHeight w:val="312" w:hRule="exact"/>
        </w:trPr>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、浙江绍兴苏泊尔生活电器有限公司（</w:t>
            </w:r>
            <w:r>
              <w:rPr>
                <w:rFonts w:ascii="Times New Roman" w:hAnsi="Times New Roman" w:cs="Times New Roman" w:eastAsia="Times New Roman" w:hint="default"/>
                <w:sz w:val="18"/>
                <w:szCs w:val="18"/>
              </w:rPr>
              <w:t>88</w:t>
            </w:r>
            <w:r>
              <w:rPr>
                <w:rFonts w:ascii="宋体" w:hAnsi="宋体" w:cs="宋体" w:eastAsia="宋体" w:hint="default"/>
                <w:sz w:val="18"/>
                <w:szCs w:val="18"/>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8"/>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32" w:hRule="exact"/>
        </w:trPr>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、湖南湘龙达贸易有限公司（</w:t>
            </w:r>
            <w:r>
              <w:rPr>
                <w:rFonts w:ascii="Times New Roman" w:hAnsi="Times New Roman" w:cs="Times New Roman" w:eastAsia="Times New Roman" w:hint="default"/>
                <w:sz w:val="18"/>
                <w:szCs w:val="18"/>
              </w:rPr>
              <w:t>SM</w:t>
            </w:r>
            <w:r>
              <w:rPr>
                <w:rFonts w:ascii="宋体" w:hAnsi="宋体" w:cs="宋体" w:eastAsia="宋体" w:hint="default"/>
                <w:sz w:val="18"/>
                <w:szCs w:val="18"/>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1,182,000.00</w:t>
            </w:r>
          </w:p>
        </w:tc>
      </w:tr>
      <w:tr>
        <w:trPr>
          <w:trHeight w:val="477" w:hRule="exact"/>
        </w:trPr>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其他说明：无</w:t>
            </w:r>
          </w:p>
        </w:tc>
        <w:tc>
          <w:tcPr>
            <w:tcW w:w="1216" w:type="dxa"/>
            <w:tcBorders>
              <w:top w:val="nil" w:sz="6" w:space="0" w:color="auto"/>
              <w:left w:val="nil" w:sz="6" w:space="0" w:color="auto"/>
              <w:bottom w:val="nil" w:sz="6" w:space="0" w:color="auto"/>
              <w:right w:val="nil" w:sz="6" w:space="0" w:color="auto"/>
            </w:tcBorders>
          </w:tcPr>
          <w:p>
            <w:pPr/>
          </w:p>
        </w:tc>
      </w:tr>
      <w:tr>
        <w:trPr>
          <w:trHeight w:val="617" w:hRule="exact"/>
        </w:trPr>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宋体" w:hAnsi="宋体" w:cs="宋体" w:eastAsia="宋体" w:hint="default"/>
                <w:sz w:val="18"/>
                <w:szCs w:val="18"/>
              </w:rPr>
            </w:pPr>
            <w:bookmarkStart w:name="5、应收利息" w:id="133"/>
            <w:bookmarkEnd w:id="133"/>
            <w:r>
              <w:rPr/>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、应收利息</w:t>
            </w:r>
            <w:r>
              <w:rPr>
                <w:rFonts w:ascii="宋体" w:hAnsi="宋体" w:cs="宋体" w:eastAsia="宋体" w:hint="default"/>
                <w:sz w:val="18"/>
                <w:szCs w:val="18"/>
              </w:rPr>
            </w:r>
          </w:p>
        </w:tc>
        <w:tc>
          <w:tcPr>
            <w:tcW w:w="1216" w:type="dxa"/>
            <w:tcBorders>
              <w:top w:val="nil" w:sz="6" w:space="0" w:color="auto"/>
              <w:left w:val="nil" w:sz="6" w:space="0" w:color="auto"/>
              <w:bottom w:val="nil" w:sz="6" w:space="0" w:color="auto"/>
              <w:right w:val="nil" w:sz="6" w:space="0" w:color="auto"/>
            </w:tcBorders>
          </w:tcPr>
          <w:p>
            <w:pPr/>
          </w:p>
        </w:tc>
      </w:tr>
      <w:tr>
        <w:trPr>
          <w:trHeight w:val="501" w:hRule="exact"/>
        </w:trPr>
        <w:tc>
          <w:tcPr>
            <w:tcW w:w="497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5" w:right="0"/>
              <w:jc w:val="left"/>
              <w:rPr>
                <w:rFonts w:ascii="宋体" w:hAnsi="宋体" w:cs="宋体" w:eastAsia="宋体" w:hint="default"/>
                <w:sz w:val="18"/>
                <w:szCs w:val="18"/>
              </w:rPr>
            </w:pPr>
            <w:bookmarkStart w:name="（1）应收利息分类" w:id="134"/>
            <w:bookmarkEnd w:id="134"/>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）应收利息分类</w:t>
            </w:r>
            <w:r>
              <w:rPr>
                <w:rFonts w:ascii="宋体" w:hAnsi="宋体" w:cs="宋体" w:eastAsia="宋体" w:hint="default"/>
                <w:sz w:val="18"/>
                <w:szCs w:val="18"/>
              </w:rPr>
            </w:r>
          </w:p>
        </w:tc>
        <w:tc>
          <w:tcPr>
            <w:tcW w:w="1216"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
        <w:ind w:left="0" w:right="24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3,910,404.32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2,005,008.22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3,910,404.32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2,005,008.22</w:t>
            </w:r>
          </w:p>
        </w:tc>
      </w:tr>
    </w:tbl>
    <w:p>
      <w:pPr>
        <w:spacing w:line="240" w:lineRule="auto" w:before="6"/>
        <w:rPr>
          <w:rFonts w:ascii="宋体" w:hAnsi="宋体" w:cs="宋体" w:eastAsia="宋体" w:hint="default"/>
          <w:sz w:val="20"/>
          <w:szCs w:val="20"/>
        </w:rPr>
      </w:pPr>
    </w:p>
    <w:p>
      <w:pPr>
        <w:spacing w:line="607" w:lineRule="auto" w:before="44"/>
        <w:ind w:left="153" w:right="7876" w:firstLine="0"/>
        <w:jc w:val="left"/>
        <w:rPr>
          <w:rFonts w:ascii="宋体" w:hAnsi="宋体" w:cs="宋体" w:eastAsia="宋体" w:hint="default"/>
          <w:sz w:val="18"/>
          <w:szCs w:val="18"/>
        </w:rPr>
      </w:pPr>
      <w:bookmarkStart w:name="（2）重要逾期利息：无" w:id="135"/>
      <w:bookmarkEnd w:id="135"/>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）重要逾期利息：无</w:t>
      </w:r>
      <w:r>
        <w:rPr>
          <w:rFonts w:ascii="宋体" w:hAnsi="宋体" w:cs="宋体" w:eastAsia="宋体" w:hint="default"/>
          <w:b/>
          <w:bCs/>
          <w:w w:val="99"/>
          <w:sz w:val="18"/>
          <w:szCs w:val="18"/>
        </w:rPr>
        <w:t> </w:t>
      </w:r>
      <w:r>
        <w:rPr>
          <w:rFonts w:ascii="宋体" w:hAnsi="宋体" w:cs="宋体" w:eastAsia="宋体" w:hint="default"/>
          <w:sz w:val="18"/>
          <w:szCs w:val="18"/>
        </w:rPr>
        <w:t>其他说明：无 </w:t>
      </w:r>
      <w:bookmarkStart w:name="6、其他应收款" w:id="136"/>
      <w:bookmarkEnd w:id="136"/>
      <w:r>
        <w:rPr>
          <w:rFonts w:ascii="宋体" w:hAnsi="宋体" w:cs="宋体" w:eastAsia="宋体" w:hint="default"/>
          <w:sz w:val="18"/>
          <w:szCs w:val="18"/>
        </w:rPr>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、其他应收款</w:t>
      </w:r>
      <w:r>
        <w:rPr>
          <w:rFonts w:ascii="宋体" w:hAnsi="宋体" w:cs="宋体" w:eastAsia="宋体" w:hint="default"/>
          <w:sz w:val="18"/>
          <w:szCs w:val="18"/>
        </w:rPr>
      </w:r>
    </w:p>
    <w:p>
      <w:pPr>
        <w:pStyle w:val="Heading4"/>
        <w:spacing w:line="240" w:lineRule="auto" w:before="59"/>
        <w:ind w:right="0"/>
        <w:jc w:val="left"/>
        <w:rPr>
          <w:b w:val="0"/>
          <w:bCs w:val="0"/>
        </w:rPr>
      </w:pPr>
      <w:bookmarkStart w:name="（1）其他应收款分类披露" w:id="137"/>
      <w:bookmarkEnd w:id="137"/>
      <w:r>
        <w:rPr>
          <w:b w:val="0"/>
          <w:bCs w:val="0"/>
        </w:rPr>
      </w:r>
      <w:r>
        <w:rPr/>
        <w:t>（</w:t>
      </w:r>
      <w:r>
        <w:rPr>
          <w:rFonts w:ascii="Times New Roman" w:hAnsi="Times New Roman" w:cs="Times New Roman" w:eastAsia="Times New Roman" w:hint="default"/>
        </w:rPr>
        <w:t>1</w:t>
      </w:r>
      <w:r>
        <w:rPr/>
        <w:t>）其他应收款分类披露</w:t>
      </w:r>
      <w:r>
        <w:rPr>
          <w:b w:val="0"/>
          <w:bCs w:val="0"/>
        </w:rPr>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3,141,2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34.83%</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3,141,274.0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13,072,6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59.30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13,072,65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5,460,4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59.89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60.55%</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5,460,459.8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416,499</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416,499.2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13,072,6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13,072,65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9,018,2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416,499.2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8,601,733.8</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59.30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9.30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Times New Roman" w:hAnsi="Times New Roman" w:cs="Times New Roman" w:eastAsia="Times New Roman" w:hint="default"/>
                <w:sz w:val="18"/>
                <w:szCs w:val="18"/>
              </w:rPr>
            </w:pPr>
            <w:r>
              <w:rPr>
                <w:rFonts w:ascii="Times New Roman"/>
                <w:sz w:val="18"/>
              </w:rPr>
              <w:t>33.09</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320" w:bottom="116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8,286,965.95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3,809,117.66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368,071.42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608,504.27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left="154" w:right="5272"/>
        <w:jc w:val="left"/>
      </w:pPr>
      <w:r>
        <w:rPr/>
        <w:t>确定该组合依据的说明： 组合中，采用余额百分比法计提坏账准备的其他应收款：</w:t>
      </w:r>
    </w:p>
    <w:p>
      <w:pPr>
        <w:pStyle w:val="BodyText"/>
        <w:spacing w:line="340" w:lineRule="auto" w:before="26"/>
        <w:ind w:left="153"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left="153" w:right="0"/>
        <w:jc w:val="left"/>
        <w:rPr>
          <w:b w:val="0"/>
          <w:bCs w:val="0"/>
        </w:rPr>
      </w:pPr>
      <w:bookmarkStart w:name="（2）本期计提、收回或转回的坏账准备情况：无" w:id="138"/>
      <w:bookmarkEnd w:id="138"/>
      <w:r>
        <w:rPr>
          <w:b w:val="0"/>
          <w:bCs w:val="0"/>
        </w:rPr>
      </w:r>
      <w:r>
        <w:rPr/>
        <w:t>（</w:t>
      </w:r>
      <w:r>
        <w:rPr>
          <w:rFonts w:ascii="Times New Roman" w:hAnsi="Times New Roman" w:cs="Times New Roman" w:eastAsia="Times New Roman" w:hint="default"/>
        </w:rPr>
        <w:t>2</w:t>
      </w:r>
      <w:r>
        <w:rPr/>
        <w:t>）本期计提、收回或转回的坏账准备情况：无</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153" w:right="0"/>
        <w:jc w:val="left"/>
      </w:pPr>
      <w:r>
        <w:rPr>
          <w:rFonts w:ascii="Times New Roman" w:hAnsi="Times New Roman" w:cs="Times New Roman" w:eastAsia="Times New Roman" w:hint="default"/>
        </w:rPr>
        <w:t>2014</w:t>
      </w:r>
      <w:r>
        <w:rPr/>
        <w:t>年度本集团无坏账准备收回及转回情况</w:t>
      </w:r>
    </w:p>
    <w:p>
      <w:pPr>
        <w:spacing w:line="240" w:lineRule="auto" w:before="0"/>
        <w:rPr>
          <w:rFonts w:ascii="宋体" w:hAnsi="宋体" w:cs="宋体" w:eastAsia="宋体" w:hint="default"/>
          <w:sz w:val="18"/>
          <w:szCs w:val="18"/>
        </w:rPr>
      </w:pPr>
    </w:p>
    <w:p>
      <w:pPr>
        <w:pStyle w:val="Heading4"/>
        <w:spacing w:line="240" w:lineRule="auto" w:before="128"/>
        <w:ind w:left="153" w:right="0"/>
        <w:jc w:val="left"/>
        <w:rPr>
          <w:b w:val="0"/>
          <w:bCs w:val="0"/>
        </w:rPr>
      </w:pPr>
      <w:bookmarkStart w:name="（3）本期实际核销的其他应收款情况" w:id="139"/>
      <w:bookmarkEnd w:id="13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416,499.20</w:t>
            </w:r>
          </w:p>
        </w:tc>
      </w:tr>
    </w:tbl>
    <w:p>
      <w:pPr>
        <w:pStyle w:val="BodyText"/>
        <w:spacing w:line="240" w:lineRule="auto" w:before="51"/>
        <w:ind w:left="154" w:right="0"/>
        <w:jc w:val="left"/>
      </w:pPr>
      <w:r>
        <w:rPr/>
        <w:t>其中重要的其他应收款核销情况：无</w:t>
      </w:r>
    </w:p>
    <w:p>
      <w:pPr>
        <w:spacing w:line="240" w:lineRule="auto" w:before="0"/>
        <w:rPr>
          <w:rFonts w:ascii="宋体" w:hAnsi="宋体" w:cs="宋体" w:eastAsia="宋体" w:hint="default"/>
          <w:sz w:val="18"/>
          <w:szCs w:val="18"/>
        </w:rPr>
      </w:pPr>
    </w:p>
    <w:p>
      <w:pPr>
        <w:pStyle w:val="Heading4"/>
        <w:spacing w:line="240" w:lineRule="auto" w:before="139"/>
        <w:ind w:left="153" w:right="0"/>
        <w:jc w:val="left"/>
        <w:rPr>
          <w:b w:val="0"/>
          <w:bCs w:val="0"/>
        </w:rPr>
      </w:pPr>
      <w:bookmarkStart w:name="（4）其他应收款按款项性质分类情况" w:id="140"/>
      <w:bookmarkEnd w:id="14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13,072,659.30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9,018,233.09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13,072,659.30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9,018,233.09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20" w:bottom="1160" w:left="980" w:right="980"/>
        </w:sectPr>
      </w:pPr>
    </w:p>
    <w:p>
      <w:pPr>
        <w:pStyle w:val="Heading4"/>
        <w:spacing w:line="240" w:lineRule="auto" w:before="116"/>
        <w:ind w:right="0"/>
        <w:jc w:val="left"/>
        <w:rPr>
          <w:b w:val="0"/>
          <w:bCs w:val="0"/>
        </w:rPr>
      </w:pPr>
      <w:bookmarkStart w:name="（5）按欠款方归集的期末余额前五吊的其他应收款情况" w:id="141"/>
      <w:bookmarkEnd w:id="14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上海达令文化传媒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2,917,394.71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两年以内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深圳全程物流服务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2,619,207.60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一至两年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上海先达房地产发 展有限公司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739,181.23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北京东亿国际传媒 产业园</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670,601.10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江苏时进供应链管 理有限公司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7,296,384.64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6）涉及政府补助的应收款项" w:id="142"/>
      <w:bookmarkEnd w:id="14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6"/>
        <w:rPr>
          <w:rFonts w:ascii="宋体" w:hAnsi="宋体" w:cs="宋体" w:eastAsia="宋体" w:hint="default"/>
          <w:sz w:val="20"/>
          <w:szCs w:val="20"/>
        </w:rPr>
      </w:pPr>
    </w:p>
    <w:p>
      <w:pPr>
        <w:pStyle w:val="Heading4"/>
        <w:spacing w:line="592" w:lineRule="auto"/>
        <w:ind w:left="153" w:right="6069"/>
        <w:jc w:val="left"/>
        <w:rPr>
          <w:rFonts w:ascii="宋体" w:hAnsi="宋体" w:cs="宋体" w:eastAsia="宋体" w:hint="default"/>
          <w:b w:val="0"/>
          <w:bCs w:val="0"/>
        </w:rPr>
      </w:pPr>
      <w:bookmarkStart w:name="（7）因金融资产转移而终止确认的其他应收款" w:id="143"/>
      <w:bookmarkEnd w:id="143"/>
      <w:r>
        <w:rPr>
          <w:b w:val="0"/>
          <w:bCs w:val="0"/>
        </w:rPr>
      </w:r>
      <w:r>
        <w:rPr/>
        <w:t>（</w:t>
      </w: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4"/>
        <w:spacing w:line="592" w:lineRule="auto" w:before="110"/>
        <w:ind w:left="153" w:right="5346"/>
        <w:jc w:val="left"/>
        <w:rPr>
          <w:rFonts w:ascii="宋体" w:hAnsi="宋体" w:cs="宋体" w:eastAsia="宋体" w:hint="default"/>
          <w:b w:val="0"/>
          <w:bCs w:val="0"/>
        </w:rPr>
      </w:pPr>
      <w:bookmarkStart w:name="（8）转移其他应收款且继续涉入形成的资产、负债金额" w:id="144"/>
      <w:bookmarkEnd w:id="144"/>
      <w:r>
        <w:rPr>
          <w:b w:val="0"/>
          <w:bCs w:val="0"/>
        </w:rPr>
      </w: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其他说明：无</w:t>
      </w:r>
    </w:p>
    <w:p>
      <w:pPr>
        <w:pStyle w:val="Heading4"/>
        <w:spacing w:line="240" w:lineRule="auto" w:before="110"/>
        <w:ind w:left="153" w:right="0"/>
        <w:jc w:val="left"/>
        <w:rPr>
          <w:b w:val="0"/>
          <w:bCs w:val="0"/>
        </w:rPr>
      </w:pPr>
      <w:bookmarkStart w:name="7、存货" w:id="145"/>
      <w:bookmarkEnd w:id="145"/>
      <w:r>
        <w:rPr>
          <w:b w:val="0"/>
          <w:bCs w:val="0"/>
        </w:rPr>
      </w:r>
      <w:r>
        <w:rPr>
          <w:rFonts w:ascii="Times New Roman" w:hAnsi="Times New Roman" w:cs="Times New Roman" w:eastAsia="Times New Roman" w:hint="default"/>
        </w:rPr>
        <w:t>7</w:t>
      </w:r>
      <w:r>
        <w:rPr/>
        <w:t>、存货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存货分类" w:id="146"/>
      <w:bookmarkEnd w:id="14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16,497,202.36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4" w:right="0"/>
              <w:jc w:val="lef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16,492,228.00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5,045,770.87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4" w:right="0"/>
              <w:jc w:val="lef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5,040,796.51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41,181,485.10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41,181,485.10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56,824,486.31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56,824,486.31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57,678,687.46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4" w:right="0"/>
              <w:jc w:val="lef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57,673,713.10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61,870,257.18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4" w:right="0"/>
              <w:jc w:val="lef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61,865,282.82</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存货跌价准备" w:id="147"/>
      <w:bookmarkEnd w:id="14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4,974.36</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3）存货期末余额含有借款费用资本化金额的说明" w:id="148"/>
      <w:bookmarkEnd w:id="14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0"/>
        <w:rPr>
          <w:rFonts w:ascii="宋体" w:hAnsi="宋体" w:cs="宋体" w:eastAsia="宋体" w:hint="default"/>
          <w:b/>
          <w:bCs/>
          <w:sz w:val="18"/>
          <w:szCs w:val="18"/>
        </w:rPr>
      </w:pPr>
    </w:p>
    <w:p>
      <w:pPr>
        <w:pStyle w:val="Heading4"/>
        <w:spacing w:line="590" w:lineRule="auto" w:before="128"/>
        <w:ind w:left="153" w:right="5527"/>
        <w:jc w:val="left"/>
        <w:rPr>
          <w:rFonts w:ascii="宋体" w:hAnsi="宋体" w:cs="宋体" w:eastAsia="宋体" w:hint="default"/>
          <w:b w:val="0"/>
          <w:bCs w:val="0"/>
        </w:rPr>
      </w:pPr>
      <w:bookmarkStart w:name="（4）期末建造合同形成的已完工未结算资产情况：无" w:id="149"/>
      <w:bookmarkEnd w:id="149"/>
      <w:r>
        <w:rPr>
          <w:b w:val="0"/>
          <w:bCs w:val="0"/>
        </w:rPr>
      </w:r>
      <w:r>
        <w:rPr/>
        <w:t>（</w:t>
      </w:r>
      <w:r>
        <w:rPr>
          <w:rFonts w:ascii="Times New Roman" w:hAnsi="Times New Roman" w:cs="Times New Roman" w:eastAsia="Times New Roman" w:hint="default"/>
        </w:rPr>
        <w:t>4</w:t>
      </w:r>
      <w:r>
        <w:rPr/>
        <w:t>）期末建造合同形成的已完工未结算资产情况：无</w:t>
      </w:r>
      <w:r>
        <w:rPr>
          <w:spacing w:val="1"/>
          <w:w w:val="99"/>
        </w:rPr>
        <w:t> </w:t>
      </w:r>
      <w:r>
        <w:rPr>
          <w:rFonts w:ascii="宋体" w:hAnsi="宋体" w:cs="宋体" w:eastAsia="宋体" w:hint="default"/>
          <w:b w:val="0"/>
          <w:bCs w:val="0"/>
        </w:rPr>
        <w:t>其他说明：无</w:t>
      </w:r>
    </w:p>
    <w:p>
      <w:pPr>
        <w:pStyle w:val="Heading4"/>
        <w:spacing w:line="240" w:lineRule="auto" w:before="113"/>
        <w:ind w:left="153" w:right="0"/>
        <w:jc w:val="left"/>
        <w:rPr>
          <w:b w:val="0"/>
          <w:bCs w:val="0"/>
        </w:rPr>
      </w:pPr>
      <w:bookmarkStart w:name="8、其他流动资产" w:id="150"/>
      <w:bookmarkEnd w:id="15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预付入网合作费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46,252,749.27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54,154,333.80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11,105,897.45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6,239,520.53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57,358,646.72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60,393,854.33</w:t>
            </w:r>
          </w:p>
        </w:tc>
      </w:tr>
    </w:tbl>
    <w:p>
      <w:pPr>
        <w:pStyle w:val="BodyText"/>
        <w:spacing w:line="240" w:lineRule="auto" w:before="51"/>
        <w:ind w:left="154" w:right="0"/>
        <w:jc w:val="left"/>
      </w:pPr>
      <w:r>
        <w:rPr/>
        <w:t>其他说明：无</w:t>
      </w:r>
    </w:p>
    <w:p>
      <w:pPr>
        <w:spacing w:line="240" w:lineRule="auto" w:before="0"/>
        <w:rPr>
          <w:rFonts w:ascii="宋体" w:hAnsi="宋体" w:cs="宋体" w:eastAsia="宋体" w:hint="default"/>
          <w:sz w:val="18"/>
          <w:szCs w:val="18"/>
        </w:rPr>
      </w:pPr>
    </w:p>
    <w:p>
      <w:pPr>
        <w:pStyle w:val="Heading4"/>
        <w:spacing w:line="240" w:lineRule="auto" w:before="141"/>
        <w:ind w:left="153" w:right="0"/>
        <w:jc w:val="left"/>
        <w:rPr>
          <w:b w:val="0"/>
          <w:bCs w:val="0"/>
        </w:rPr>
      </w:pPr>
      <w:bookmarkStart w:name="9、固定资产" w:id="151"/>
      <w:bookmarkEnd w:id="151"/>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固定资产情况" w:id="152"/>
      <w:bookmarkEnd w:id="15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19,101,937.59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88,281,024.98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11,841,509.54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119,224,472.11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14,781,089.05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2,307.73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15,152,200.14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14,793,225.78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358,974.36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358,974.36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408,299.43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488,999.43</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19,031,066.59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103,012,788.96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11,843,817.27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133,887,672.82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14,800,353.98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50,418,443.65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7,391,724.48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72,610,522.11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1,734,759.38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9,053,421.76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1,156,661.34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11,944,842.48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384,339.93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461,811.93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16,457,641.36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59,087,525.48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8,548,385.82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84,093,552.66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2,573,425.23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43,925,263.48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3,295,431.45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49,794,120.16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4,301,583.61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37,862,581.33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4,449,785.06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46,613,950.00</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暂时闲置的固定资产情况：无" w:id="153"/>
      <w:bookmarkEnd w:id="153"/>
      <w:r>
        <w:rPr>
          <w:b w:val="0"/>
          <w:bCs w:val="0"/>
        </w:rPr>
      </w:r>
      <w:r>
        <w:rPr/>
        <w:t>（</w:t>
      </w:r>
      <w:r>
        <w:rPr>
          <w:rFonts w:ascii="Times New Roman" w:hAnsi="Times New Roman" w:cs="Times New Roman" w:eastAsia="Times New Roman" w:hint="default"/>
        </w:rPr>
        <w:t>2</w:t>
      </w:r>
      <w:r>
        <w:rPr/>
        <w:t>）暂时闲置的固定资产情况：无</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53" w:right="0"/>
        <w:jc w:val="left"/>
        <w:rPr>
          <w:b w:val="0"/>
          <w:bCs w:val="0"/>
        </w:rPr>
      </w:pPr>
      <w:bookmarkStart w:name="（3）通过融资租赁租入的固定资产情况：无" w:id="154"/>
      <w:bookmarkEnd w:id="154"/>
      <w:r>
        <w:rPr>
          <w:b w:val="0"/>
          <w:bCs w:val="0"/>
        </w:rPr>
      </w:r>
      <w:r>
        <w:rPr/>
        <w:t>（</w:t>
      </w:r>
      <w:r>
        <w:rPr>
          <w:rFonts w:ascii="Times New Roman" w:hAnsi="Times New Roman" w:cs="Times New Roman" w:eastAsia="Times New Roman" w:hint="default"/>
        </w:rPr>
        <w:t>3</w:t>
      </w:r>
      <w:r>
        <w:rPr/>
        <w:t>）通过融资租赁租入的固定资产情况：无</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53" w:right="0"/>
        <w:jc w:val="left"/>
        <w:rPr>
          <w:b w:val="0"/>
          <w:bCs w:val="0"/>
        </w:rPr>
      </w:pPr>
      <w:bookmarkStart w:name="（4）通过经营租赁租出的固定资产：无" w:id="155"/>
      <w:bookmarkEnd w:id="155"/>
      <w:r>
        <w:rPr>
          <w:b w:val="0"/>
          <w:bCs w:val="0"/>
        </w:rPr>
      </w:r>
      <w:r>
        <w:rPr/>
        <w:t>（</w:t>
      </w:r>
      <w:r>
        <w:rPr>
          <w:rFonts w:ascii="Times New Roman" w:hAnsi="Times New Roman" w:cs="Times New Roman" w:eastAsia="Times New Roman" w:hint="default"/>
        </w:rPr>
        <w:t>4</w:t>
      </w:r>
      <w:r>
        <w:rPr/>
        <w:t>）通过经营租赁租出的固定资产：无</w:t>
      </w:r>
      <w:r>
        <w:rPr>
          <w:b w:val="0"/>
          <w:bCs w:val="0"/>
        </w:rPr>
      </w:r>
    </w:p>
    <w:p>
      <w:pPr>
        <w:spacing w:line="240" w:lineRule="auto" w:before="0"/>
        <w:rPr>
          <w:rFonts w:ascii="宋体" w:hAnsi="宋体" w:cs="宋体" w:eastAsia="宋体" w:hint="default"/>
          <w:b/>
          <w:bCs/>
          <w:sz w:val="18"/>
          <w:szCs w:val="18"/>
        </w:rPr>
      </w:pPr>
    </w:p>
    <w:p>
      <w:pPr>
        <w:spacing w:line="590" w:lineRule="auto" w:before="129"/>
        <w:ind w:left="153" w:right="6430" w:firstLine="0"/>
        <w:jc w:val="left"/>
        <w:rPr>
          <w:rFonts w:ascii="宋体" w:hAnsi="宋体" w:cs="宋体" w:eastAsia="宋体" w:hint="default"/>
          <w:sz w:val="18"/>
          <w:szCs w:val="18"/>
        </w:rPr>
      </w:pPr>
      <w:bookmarkStart w:name="（5）未办妥产权证书的固定资产情况：无" w:id="156"/>
      <w:bookmarkEnd w:id="15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）未办妥产权证书的固定资产情况：无</w:t>
      </w:r>
      <w:r>
        <w:rPr>
          <w:rFonts w:ascii="宋体" w:hAnsi="宋体" w:cs="宋体" w:eastAsia="宋体" w:hint="default"/>
          <w:b/>
          <w:bCs/>
          <w:w w:val="99"/>
          <w:sz w:val="18"/>
          <w:szCs w:val="18"/>
        </w:rPr>
        <w:t> </w:t>
      </w:r>
      <w:r>
        <w:rPr>
          <w:rFonts w:ascii="宋体" w:hAnsi="宋体" w:cs="宋体" w:eastAsia="宋体" w:hint="default"/>
          <w:sz w:val="18"/>
          <w:szCs w:val="18"/>
        </w:rPr>
        <w:t>其他说明：无</w:t>
      </w:r>
    </w:p>
    <w:p>
      <w:pPr>
        <w:spacing w:after="0" w:line="590" w:lineRule="auto"/>
        <w:jc w:val="left"/>
        <w:rPr>
          <w:rFonts w:ascii="宋体" w:hAnsi="宋体" w:cs="宋体" w:eastAsia="宋体" w:hint="default"/>
          <w:sz w:val="18"/>
          <w:szCs w:val="18"/>
        </w:rPr>
        <w:sectPr>
          <w:pgSz w:w="11910" w:h="16840"/>
          <w:pgMar w:header="851" w:footer="979" w:top="1320" w:bottom="1160" w:left="980" w:right="980"/>
        </w:sectPr>
      </w:pPr>
    </w:p>
    <w:p>
      <w:pPr>
        <w:pStyle w:val="Heading4"/>
        <w:spacing w:line="240" w:lineRule="auto" w:before="114"/>
        <w:ind w:right="0"/>
        <w:jc w:val="left"/>
        <w:rPr>
          <w:b w:val="0"/>
          <w:bCs w:val="0"/>
        </w:rPr>
      </w:pPr>
      <w:bookmarkStart w:name="10、在建工程" w:id="157"/>
      <w:bookmarkEnd w:id="157"/>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在建工程情况" w:id="158"/>
      <w:bookmarkEnd w:id="15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工程预付款及需 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38,960,591.73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38,960,591.73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6,769,933.51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6,769,933.51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38,960,591.73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38,960,591.73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6,769,933.51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6,769,933.51</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重要在建工程项目本期变动情况" w:id="159"/>
      <w:bookmarkEnd w:id="15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供应链 物流建 设项目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72,570,0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1,786,67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30,208,2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31,994,8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81.56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44.09%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44.09 %</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快乐购 信息技 术系统 平台升 级项目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4,468,28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18,112,1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22,580,3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82.48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27.21%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27.21 %</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其他需 要安装 设备</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11,745,0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6,982,71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6,965,71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63.84%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63.84 %</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167,315,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6,769,93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55,303,0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22,753,3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82.48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38,960,5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91.73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3）本期计提在建工程减值准备情况" w:id="160"/>
      <w:bookmarkEnd w:id="16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0"/>
        <w:jc w:val="left"/>
      </w:pPr>
      <w:r>
        <w:rPr/>
        <w:t>其他说明：无</w:t>
      </w:r>
    </w:p>
    <w:p>
      <w:pPr>
        <w:pStyle w:val="BodyText"/>
        <w:spacing w:line="240" w:lineRule="auto" w:before="116"/>
        <w:ind w:right="0"/>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日，本集团不存在在建工程减值准备。</w:t>
      </w:r>
    </w:p>
    <w:p>
      <w:pPr>
        <w:spacing w:after="0" w:line="240" w:lineRule="auto"/>
        <w:jc w:val="left"/>
        <w:sectPr>
          <w:pgSz w:w="11910" w:h="16840"/>
          <w:pgMar w:header="851" w:footer="979" w:top="1320" w:bottom="1160" w:left="980" w:right="980"/>
        </w:sectPr>
      </w:pPr>
    </w:p>
    <w:p>
      <w:pPr>
        <w:pStyle w:val="Heading4"/>
        <w:spacing w:line="240" w:lineRule="auto" w:before="116"/>
        <w:ind w:right="0"/>
        <w:jc w:val="left"/>
        <w:rPr>
          <w:b w:val="0"/>
          <w:bCs w:val="0"/>
        </w:rPr>
      </w:pPr>
      <w:bookmarkStart w:name="11、无形资产" w:id="161"/>
      <w:bookmarkEnd w:id="161"/>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无形资产情况" w:id="162"/>
      <w:bookmarkEnd w:id="16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1"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33,157,507.40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20,620,812.06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53,778,319.46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23,197,906.17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23,197,906.17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587,523.69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587,523.69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22,610,382.48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22,610,382.48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33,157,507.40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43,818,718.23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76,976,225.63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1,748,099.86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9,967,627.28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11,715,727.14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676,683.82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4,186,487.41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4,863,171.23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2,424,783.68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14,154,114.69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16,578,898.37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30,732,723.72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29,664,603.54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60,397,327.26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31,409,407.54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10,653,184.78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42,062,592.32</w:t>
            </w:r>
          </w:p>
        </w:tc>
      </w:tr>
    </w:tbl>
    <w:p>
      <w:pPr>
        <w:pStyle w:val="BodyText"/>
        <w:spacing w:line="240" w:lineRule="auto" w:before="51"/>
        <w:ind w:left="154"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41"/>
        <w:ind w:left="153" w:right="0"/>
        <w:jc w:val="left"/>
        <w:rPr>
          <w:b w:val="0"/>
          <w:bCs w:val="0"/>
        </w:rPr>
      </w:pPr>
      <w:bookmarkStart w:name="（2）未办妥产权证书的土地使用权情况：无" w:id="163"/>
      <w:bookmarkEnd w:id="163"/>
      <w:r>
        <w:rPr>
          <w:b w:val="0"/>
          <w:bCs w:val="0"/>
        </w:rPr>
      </w:r>
      <w:r>
        <w:rPr/>
        <w:t>（</w:t>
      </w:r>
      <w:r>
        <w:rPr>
          <w:rFonts w:ascii="Times New Roman" w:hAnsi="Times New Roman" w:cs="Times New Roman" w:eastAsia="Times New Roman" w:hint="default"/>
        </w:rPr>
        <w:t>2</w:t>
      </w:r>
      <w:r>
        <w:rPr/>
        <w:t>）未办妥产权证书的土地使用权情况：无</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0"/>
        <w:jc w:val="left"/>
        <w:rPr>
          <w:b w:val="0"/>
          <w:bCs w:val="0"/>
        </w:rPr>
      </w:pPr>
      <w:bookmarkStart w:name="其他说明：无" w:id="164"/>
      <w:bookmarkEnd w:id="164"/>
      <w:r>
        <w:rPr>
          <w:b w:val="0"/>
          <w:bCs w:val="0"/>
        </w:rPr>
      </w:r>
      <w:r>
        <w:rPr/>
        <w:t>其他说明：无</w:t>
      </w:r>
      <w:r>
        <w:rPr>
          <w:b w:val="0"/>
          <w:bCs w:val="0"/>
        </w:rPr>
      </w:r>
    </w:p>
    <w:p>
      <w:pPr>
        <w:spacing w:line="240" w:lineRule="auto" w:before="11"/>
        <w:rPr>
          <w:rFonts w:ascii="宋体" w:hAnsi="宋体" w:cs="宋体" w:eastAsia="宋体" w:hint="default"/>
          <w:b/>
          <w:bCs/>
          <w:sz w:val="27"/>
          <w:szCs w:val="27"/>
        </w:rPr>
      </w:pPr>
    </w:p>
    <w:p>
      <w:pPr>
        <w:pStyle w:val="Heading4"/>
        <w:spacing w:line="240" w:lineRule="auto" w:before="0"/>
        <w:ind w:left="153" w:right="0"/>
        <w:jc w:val="left"/>
        <w:rPr>
          <w:b w:val="0"/>
          <w:bCs w:val="0"/>
        </w:rPr>
      </w:pPr>
      <w:bookmarkStart w:name="12、长期待摊费用" w:id="165"/>
      <w:bookmarkEnd w:id="165"/>
      <w:r>
        <w:rPr>
          <w:b w:val="0"/>
          <w:bCs w:val="0"/>
        </w:rPr>
      </w:r>
      <w:r>
        <w:rPr>
          <w:rFonts w:ascii="Times New Roman" w:hAnsi="Times New Roman" w:cs="Times New Roman" w:eastAsia="Times New Roman" w:hint="default"/>
        </w:rPr>
        <w:t>12</w:t>
      </w:r>
      <w:r>
        <w:rPr/>
        <w:t>、长期待摊费用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租入房屋建筑物改 建及装修项目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6,543,296.09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4,844,403.37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2,470,028.23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8,917,671.23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6,543,296.09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4,844,403.37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2,470,028.23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8,917,671.23</w:t>
            </w:r>
          </w:p>
        </w:tc>
      </w:tr>
    </w:tbl>
    <w:p>
      <w:pPr>
        <w:pStyle w:val="BodyText"/>
        <w:spacing w:line="240" w:lineRule="auto" w:before="51"/>
        <w:ind w:left="154" w:right="0"/>
        <w:jc w:val="left"/>
      </w:pPr>
      <w:r>
        <w:rPr/>
        <w:t>其他说明：无</w:t>
      </w:r>
    </w:p>
    <w:p>
      <w:pPr>
        <w:spacing w:line="240" w:lineRule="auto" w:before="0"/>
        <w:rPr>
          <w:rFonts w:ascii="宋体" w:hAnsi="宋体" w:cs="宋体" w:eastAsia="宋体" w:hint="default"/>
          <w:sz w:val="18"/>
          <w:szCs w:val="18"/>
        </w:rPr>
      </w:pPr>
    </w:p>
    <w:p>
      <w:pPr>
        <w:pStyle w:val="Heading4"/>
        <w:spacing w:line="240" w:lineRule="auto" w:before="139"/>
        <w:ind w:left="153" w:right="0"/>
        <w:jc w:val="left"/>
        <w:rPr>
          <w:b w:val="0"/>
          <w:bCs w:val="0"/>
        </w:rPr>
      </w:pPr>
      <w:bookmarkStart w:name="13、递延所得税资产/递延所得税负债" w:id="166"/>
      <w:bookmarkEnd w:id="166"/>
      <w:r>
        <w:rPr>
          <w:b w:val="0"/>
          <w:bCs w:val="0"/>
        </w:rPr>
      </w: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30"/>
        <w:ind w:left="153" w:right="0"/>
        <w:jc w:val="left"/>
        <w:rPr>
          <w:b w:val="0"/>
          <w:bCs w:val="0"/>
        </w:rPr>
      </w:pPr>
      <w:bookmarkStart w:name="（1）未经抵销的递延所得税资产" w:id="167"/>
      <w:bookmarkEnd w:id="16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2,555,341.53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1,441,856.69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29,753.93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148,769.62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2,585,095.46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1,590,626.31</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未经抵销的递延所得税负债：无" w:id="168"/>
      <w:bookmarkEnd w:id="168"/>
      <w:r>
        <w:rPr>
          <w:b w:val="0"/>
          <w:bCs w:val="0"/>
        </w:rPr>
      </w:r>
      <w:r>
        <w:rPr/>
        <w:t>（</w:t>
      </w:r>
      <w:r>
        <w:rPr>
          <w:rFonts w:ascii="Times New Roman" w:hAnsi="Times New Roman" w:cs="Times New Roman" w:eastAsia="Times New Roman" w:hint="default"/>
        </w:rPr>
        <w:t>2</w:t>
      </w:r>
      <w:r>
        <w:rPr/>
        <w:t>）未经抵销的递延所得税负债：无</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53" w:right="0"/>
        <w:jc w:val="left"/>
        <w:rPr>
          <w:b w:val="0"/>
          <w:bCs w:val="0"/>
        </w:rPr>
      </w:pPr>
      <w:bookmarkStart w:name="（3）以抵销后净额列示的递延所得税资产或负债" w:id="169"/>
      <w:bookmarkEnd w:id="16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2,585,095.46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1,590,626.31</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20" w:bottom="1160" w:left="980" w:right="980"/>
        </w:sectPr>
      </w:pPr>
    </w:p>
    <w:p>
      <w:pPr>
        <w:pStyle w:val="Heading4"/>
        <w:spacing w:line="240" w:lineRule="auto" w:before="116"/>
        <w:ind w:right="0"/>
        <w:jc w:val="left"/>
        <w:rPr>
          <w:b w:val="0"/>
          <w:bCs w:val="0"/>
        </w:rPr>
      </w:pPr>
      <w:bookmarkStart w:name="（4）未确认递延所得税资产明细" w:id="170"/>
      <w:bookmarkEnd w:id="17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4,988,911.47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6,345,434.89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2,269,025.68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11,334,346.36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2,269,025.68</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5）未确认递延所得税资产的可抵扣亏损将于以下年度到期" w:id="171"/>
      <w:bookmarkEnd w:id="17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597,747.97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2,397,128.61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77,692.88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250,659.48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250,659.48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522,357.73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522,357.73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820,567.62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820,567.62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2,354,721.45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6,345,434.89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2,269,025.68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16" w:lineRule="auto" w:before="116"/>
        <w:ind w:left="154" w:right="142" w:firstLine="450"/>
        <w:jc w:val="left"/>
      </w:pPr>
      <w:r>
        <w:rPr/>
        <w:t>根据本集团对未来五年的盈利预测结果，本集团认为在未来期间很可能获得足够的应纳税所得额用来抵扣可抵扣暂时 性差异和可抵扣亏损，因此确认相关递延所得税资产。</w:t>
      </w:r>
    </w:p>
    <w:p>
      <w:pPr>
        <w:spacing w:line="240" w:lineRule="auto" w:before="6"/>
        <w:rPr>
          <w:rFonts w:ascii="宋体" w:hAnsi="宋体" w:cs="宋体" w:eastAsia="宋体" w:hint="default"/>
          <w:sz w:val="24"/>
          <w:szCs w:val="24"/>
        </w:rPr>
      </w:pPr>
    </w:p>
    <w:p>
      <w:pPr>
        <w:pStyle w:val="Heading4"/>
        <w:spacing w:line="240" w:lineRule="auto" w:before="0"/>
        <w:ind w:right="0"/>
        <w:jc w:val="left"/>
        <w:rPr>
          <w:b w:val="0"/>
          <w:bCs w:val="0"/>
        </w:rPr>
      </w:pPr>
      <w:bookmarkStart w:name="（6） 自定义章节" w:id="172"/>
      <w:bookmarkEnd w:id="172"/>
      <w:r>
        <w:rPr>
          <w:b w:val="0"/>
          <w:bCs w:val="0"/>
        </w:rPr>
      </w:r>
      <w:r>
        <w:rPr/>
        <w:t>（</w:t>
      </w:r>
      <w:r>
        <w:rPr>
          <w:rFonts w:ascii="Times New Roman" w:hAnsi="Times New Roman" w:cs="Times New Roman" w:eastAsia="Times New Roman" w:hint="default"/>
        </w:rPr>
        <w:t>6</w:t>
      </w:r>
      <w:r>
        <w:rPr/>
        <w:t>）</w:t>
      </w:r>
      <w:r>
        <w:rPr>
          <w:spacing w:val="-2"/>
        </w:rPr>
        <w:t> </w:t>
      </w:r>
      <w:r>
        <w:rPr/>
        <w:t>自定义章节</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244" w:right="0"/>
        <w:jc w:val="left"/>
      </w:pPr>
      <w:r>
        <w:rPr/>
        <w:t>引起暂时性差异的资产或负债项目对应的暂时性差异</w:t>
      </w:r>
    </w:p>
    <w:p>
      <w:pPr>
        <w:pStyle w:val="BodyText"/>
        <w:spacing w:line="240" w:lineRule="auto" w:before="76"/>
        <w:ind w:left="0" w:right="258"/>
        <w:jc w:val="right"/>
      </w:pPr>
      <w:r>
        <w:rPr/>
        <w:t>单位：人民币元</w:t>
      </w:r>
    </w:p>
    <w:p>
      <w:pPr>
        <w:spacing w:line="240" w:lineRule="auto" w:before="13"/>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5580"/>
        <w:gridCol w:w="3781"/>
      </w:tblGrid>
      <w:tr>
        <w:trPr>
          <w:trHeight w:val="334" w:hRule="exact"/>
        </w:trPr>
        <w:tc>
          <w:tcPr>
            <w:tcW w:w="5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8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1252"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48" w:hRule="exact"/>
        </w:trPr>
        <w:tc>
          <w:tcPr>
            <w:tcW w:w="5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日年末数：</w:t>
            </w:r>
            <w:r>
              <w:rPr>
                <w:rFonts w:ascii="宋体" w:hAnsi="宋体" w:cs="宋体" w:eastAsia="宋体" w:hint="default"/>
                <w:sz w:val="18"/>
                <w:szCs w:val="18"/>
              </w:rPr>
            </w:r>
          </w:p>
        </w:tc>
        <w:tc>
          <w:tcPr>
            <w:tcW w:w="3781"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5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可抵扣暂时性差异和可抵扣亏损：</w:t>
            </w:r>
          </w:p>
        </w:tc>
        <w:tc>
          <w:tcPr>
            <w:tcW w:w="378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119,015.70</w:t>
            </w:r>
          </w:p>
        </w:tc>
      </w:tr>
      <w:tr>
        <w:trPr>
          <w:trHeight w:val="347" w:hRule="exact"/>
        </w:trPr>
        <w:tc>
          <w:tcPr>
            <w:tcW w:w="5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10,221,366.13</w:t>
            </w:r>
          </w:p>
        </w:tc>
      </w:tr>
      <w:tr>
        <w:trPr>
          <w:trHeight w:val="348" w:hRule="exact"/>
        </w:trPr>
        <w:tc>
          <w:tcPr>
            <w:tcW w:w="5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10,340,381.83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240" w:lineRule="auto"/>
        <w:ind w:right="0"/>
        <w:jc w:val="left"/>
        <w:rPr>
          <w:b w:val="0"/>
          <w:bCs w:val="0"/>
        </w:rPr>
      </w:pPr>
      <w:bookmarkStart w:name="14、其他非流动资产" w:id="173"/>
      <w:bookmarkEnd w:id="173"/>
      <w:r>
        <w:rPr>
          <w:b w:val="0"/>
          <w:bCs w:val="0"/>
        </w:rPr>
      </w:r>
      <w:r>
        <w:rPr>
          <w:rFonts w:ascii="Times New Roman" w:hAnsi="Times New Roman" w:cs="Times New Roman" w:eastAsia="Times New Roman" w:hint="default"/>
        </w:rPr>
        <w:t>14</w:t>
      </w:r>
      <w:r>
        <w:rPr/>
        <w:t>、其他非流动资产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1,477,540.63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1,477,540.63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其他说明：无</w:t>
      </w:r>
    </w:p>
    <w:p>
      <w:pPr>
        <w:spacing w:line="240" w:lineRule="auto" w:before="0"/>
        <w:rPr>
          <w:rFonts w:ascii="宋体" w:hAnsi="宋体" w:cs="宋体" w:eastAsia="宋体" w:hint="default"/>
          <w:sz w:val="18"/>
          <w:szCs w:val="18"/>
        </w:rPr>
      </w:pPr>
    </w:p>
    <w:p>
      <w:pPr>
        <w:pStyle w:val="Heading4"/>
        <w:spacing w:line="240" w:lineRule="auto" w:before="141"/>
        <w:ind w:left="153" w:right="0"/>
        <w:jc w:val="left"/>
        <w:rPr>
          <w:b w:val="0"/>
          <w:bCs w:val="0"/>
        </w:rPr>
      </w:pPr>
      <w:bookmarkStart w:name="15、应付账款" w:id="174"/>
      <w:bookmarkEnd w:id="174"/>
      <w:r>
        <w:rPr>
          <w:b w:val="0"/>
          <w:bCs w:val="0"/>
        </w:rPr>
      </w:r>
      <w:r>
        <w:rPr>
          <w:rFonts w:ascii="Times New Roman" w:hAnsi="Times New Roman" w:cs="Times New Roman" w:eastAsia="Times New Roman" w:hint="default"/>
        </w:rPr>
        <w:t>15</w:t>
      </w:r>
      <w:r>
        <w:rPr/>
        <w:t>、应付账款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应付账款列示" w:id="175"/>
      <w:bookmarkEnd w:id="17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318,025,715.31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354,354,231.08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318,025,715.31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354,354,231.08</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账龄超过1年的重要应付账款：" w:id="176"/>
      <w:bookmarkEnd w:id="176"/>
      <w:r>
        <w:rPr>
          <w:b w:val="0"/>
          <w:bCs w:val="0"/>
        </w:rPr>
      </w:r>
      <w:r>
        <w:rPr/>
        <w:t>（</w:t>
      </w: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日及</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日，本集团无账龄超过一年的应付账款。</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16、预收款项" w:id="177"/>
      <w:bookmarkEnd w:id="177"/>
      <w:r>
        <w:rPr>
          <w:b w:val="0"/>
          <w:bCs w:val="0"/>
        </w:rPr>
      </w:r>
      <w:r>
        <w:rPr>
          <w:rFonts w:ascii="Times New Roman" w:hAnsi="Times New Roman" w:cs="Times New Roman" w:eastAsia="Times New Roman" w:hint="default"/>
        </w:rPr>
        <w:t>16</w:t>
      </w:r>
      <w:r>
        <w:rPr/>
        <w:t>、预收款项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30"/>
        <w:ind w:right="0"/>
        <w:jc w:val="left"/>
        <w:rPr>
          <w:b w:val="0"/>
          <w:bCs w:val="0"/>
        </w:rPr>
      </w:pPr>
      <w:bookmarkStart w:name="（1）预收款项列示" w:id="178"/>
      <w:bookmarkEnd w:id="17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客户预存款及集团客户预收款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64,849,685.74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5,886,073.34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64,849,685.74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5,886,073.34</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账龄超过1年的重要预收款项：无" w:id="179"/>
      <w:bookmarkEnd w:id="179"/>
      <w:r>
        <w:rPr>
          <w:b w:val="0"/>
          <w:bCs w:val="0"/>
        </w:rPr>
      </w:r>
      <w:r>
        <w:rPr/>
        <w:t>（</w:t>
      </w: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年的重要预收款项：无</w:t>
      </w:r>
      <w:r>
        <w:rPr>
          <w:b w:val="0"/>
          <w:bCs w:val="0"/>
        </w:rPr>
      </w:r>
    </w:p>
    <w:p>
      <w:pPr>
        <w:pStyle w:val="Heading4"/>
        <w:spacing w:line="600" w:lineRule="atLeast" w:before="13"/>
        <w:ind w:left="153" w:right="5527"/>
        <w:jc w:val="left"/>
        <w:rPr>
          <w:rFonts w:ascii="宋体" w:hAnsi="宋体" w:cs="宋体" w:eastAsia="宋体" w:hint="default"/>
          <w:b w:val="0"/>
          <w:bCs w:val="0"/>
        </w:rPr>
      </w:pPr>
      <w:bookmarkStart w:name="（3）期末建造合同形成的已结算未完工项目情况：无" w:id="180"/>
      <w:bookmarkEnd w:id="180"/>
      <w:r>
        <w:rPr>
          <w:b w:val="0"/>
          <w:bCs w:val="0"/>
        </w:rPr>
      </w:r>
      <w:r>
        <w:rPr/>
        <w:t>（</w:t>
      </w:r>
      <w:r>
        <w:rPr>
          <w:rFonts w:ascii="Times New Roman" w:hAnsi="Times New Roman" w:cs="Times New Roman" w:eastAsia="Times New Roman" w:hint="default"/>
        </w:rPr>
        <w:t>3</w:t>
      </w:r>
      <w:r>
        <w:rPr/>
        <w:t>）期末建造合同形成的已结算未完工项目情况：无</w:t>
      </w:r>
      <w:r>
        <w:rPr>
          <w:spacing w:val="1"/>
          <w:w w:val="99"/>
        </w:rPr>
        <w:t> </w:t>
      </w:r>
      <w:r>
        <w:rPr>
          <w:rFonts w:ascii="宋体" w:hAnsi="宋体" w:cs="宋体" w:eastAsia="宋体" w:hint="default"/>
          <w:b w:val="0"/>
          <w:bCs w:val="0"/>
        </w:rPr>
        <w:t>其他说明：</w:t>
      </w:r>
    </w:p>
    <w:p>
      <w:pPr>
        <w:pStyle w:val="BodyText"/>
        <w:spacing w:line="300" w:lineRule="auto" w:before="115"/>
        <w:ind w:left="153" w:right="670"/>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日，本集团无账龄超过一年的预收款项。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日，预收款项中无持有公司</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以上表决权股份的股东单位或关联方情况。</w:t>
      </w:r>
    </w:p>
    <w:p>
      <w:pPr>
        <w:spacing w:line="240" w:lineRule="auto" w:before="0"/>
        <w:rPr>
          <w:rFonts w:ascii="宋体" w:hAnsi="宋体" w:cs="宋体" w:eastAsia="宋体" w:hint="default"/>
          <w:sz w:val="24"/>
          <w:szCs w:val="24"/>
        </w:rPr>
      </w:pPr>
    </w:p>
    <w:p>
      <w:pPr>
        <w:pStyle w:val="Heading4"/>
        <w:spacing w:line="240" w:lineRule="auto" w:before="0"/>
        <w:ind w:right="0"/>
        <w:jc w:val="left"/>
        <w:rPr>
          <w:b w:val="0"/>
          <w:bCs w:val="0"/>
        </w:rPr>
      </w:pPr>
      <w:bookmarkStart w:name="17、应付职工薪酬" w:id="181"/>
      <w:bookmarkEnd w:id="181"/>
      <w:r>
        <w:rPr>
          <w:b w:val="0"/>
          <w:bCs w:val="0"/>
        </w:rPr>
      </w:r>
      <w:r>
        <w:rPr>
          <w:rFonts w:ascii="Times New Roman" w:hAnsi="Times New Roman" w:cs="Times New Roman" w:eastAsia="Times New Roman" w:hint="default"/>
        </w:rPr>
        <w:t>17</w:t>
      </w:r>
      <w:r>
        <w:rPr/>
        <w:t>、应付职工薪酬</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应付职工薪酬列示" w:id="182"/>
      <w:bookmarkEnd w:id="18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50"/>
        <w:jc w:val="right"/>
      </w:pPr>
      <w:r>
        <w:rPr/>
        <w:t>单位： 元</w:t>
      </w:r>
    </w:p>
    <w:p>
      <w:pPr>
        <w:spacing w:after="0" w:line="240" w:lineRule="auto"/>
        <w:jc w:val="right"/>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49,930,512.81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188,117,482.61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209,341,850.93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28,706,144.49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8,108,591.88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8,108,591.88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49,930,512.81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196,226,074.49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217,450,442.81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28,706,144.49</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短期薪酬列示" w:id="183"/>
      <w:bookmarkEnd w:id="18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48,575,886.16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172,602,052.28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192,988,178.81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28,189,759.63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5,178,419.70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5,178,419.70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3,978,090.62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3,978,090.62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3,594,067.32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3,594,067.32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384,023.30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384,023.30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4,829,713.00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4,829,713.00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1,354,626.65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1,529,207.01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2,367,448.80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516,384.86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49,930,512.81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188,117,482.61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209,341,850.93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28,706,144.49</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3）设定提存计划列示" w:id="184"/>
      <w:bookmarkEnd w:id="18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7,398,583.19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7,398,583.19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710,008.69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710,008.69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8,108,591.88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8,108,591.88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其他说明：无</w:t>
      </w:r>
    </w:p>
    <w:p>
      <w:pPr>
        <w:spacing w:line="240" w:lineRule="auto" w:before="0"/>
        <w:rPr>
          <w:rFonts w:ascii="宋体" w:hAnsi="宋体" w:cs="宋体" w:eastAsia="宋体" w:hint="default"/>
          <w:sz w:val="18"/>
          <w:szCs w:val="18"/>
        </w:rPr>
      </w:pPr>
    </w:p>
    <w:p>
      <w:pPr>
        <w:pStyle w:val="Heading4"/>
        <w:spacing w:line="240" w:lineRule="auto" w:before="139"/>
        <w:ind w:left="153" w:right="0"/>
        <w:jc w:val="left"/>
        <w:rPr>
          <w:b w:val="0"/>
          <w:bCs w:val="0"/>
        </w:rPr>
      </w:pPr>
      <w:bookmarkStart w:name="18、应交税费" w:id="185"/>
      <w:bookmarkEnd w:id="185"/>
      <w:r>
        <w:rPr>
          <w:b w:val="0"/>
          <w:bCs w:val="0"/>
        </w:rPr>
      </w:r>
      <w:r>
        <w:rPr>
          <w:rFonts w:ascii="Times New Roman" w:hAnsi="Times New Roman" w:cs="Times New Roman" w:eastAsia="Times New Roman" w:hint="default"/>
        </w:rPr>
        <w:t>18</w:t>
      </w:r>
      <w:r>
        <w:rPr/>
        <w:t>、应交税费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9,235,047.12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23,588,357.07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54,846.00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497,740.43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306,995.13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275,801.94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81,303.80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-315,950.79</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598,739.17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3,105,931.99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592,733.36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2,328,926.07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430,632.45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1,665,119.15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142,045.41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-47,367.29</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11,442,342.44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31,098,558.57</w:t>
            </w:r>
          </w:p>
        </w:tc>
      </w:tr>
    </w:tbl>
    <w:p>
      <w:pPr>
        <w:pStyle w:val="BodyText"/>
        <w:spacing w:line="240" w:lineRule="auto" w:before="51"/>
        <w:ind w:left="154" w:right="0"/>
        <w:jc w:val="left"/>
      </w:pPr>
      <w:r>
        <w:rPr/>
        <w:t>其他说明：无</w:t>
      </w:r>
    </w:p>
    <w:p>
      <w:pPr>
        <w:spacing w:line="240" w:lineRule="auto" w:before="0"/>
        <w:rPr>
          <w:rFonts w:ascii="宋体" w:hAnsi="宋体" w:cs="宋体" w:eastAsia="宋体" w:hint="default"/>
          <w:sz w:val="18"/>
          <w:szCs w:val="18"/>
        </w:rPr>
      </w:pPr>
    </w:p>
    <w:p>
      <w:pPr>
        <w:pStyle w:val="Heading4"/>
        <w:spacing w:line="240" w:lineRule="auto" w:before="141"/>
        <w:ind w:left="153" w:right="0"/>
        <w:jc w:val="left"/>
        <w:rPr>
          <w:b w:val="0"/>
          <w:bCs w:val="0"/>
        </w:rPr>
      </w:pPr>
      <w:bookmarkStart w:name="19、其他应付款" w:id="186"/>
      <w:bookmarkEnd w:id="186"/>
      <w:r>
        <w:rPr>
          <w:b w:val="0"/>
          <w:bCs w:val="0"/>
        </w:rPr>
      </w:r>
      <w:r>
        <w:rPr>
          <w:rFonts w:ascii="Times New Roman" w:hAnsi="Times New Roman" w:cs="Times New Roman" w:eastAsia="Times New Roman" w:hint="default"/>
        </w:rPr>
        <w:t>19</w:t>
      </w:r>
      <w:r>
        <w:rPr/>
        <w:t>、其他应付款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按款项性质列示其他应付款" w:id="187"/>
      <w:bookmarkEnd w:id="18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场地租赁费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4,196,082.20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4,196,082.20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3,065,875.47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2,965,299.65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11,972,998.90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14,513,305.92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10,736,512.07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11,315,831.72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29,971,468.64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32,990,519.49</w:t>
            </w:r>
          </w:p>
        </w:tc>
      </w:tr>
    </w:tbl>
    <w:p>
      <w:pPr>
        <w:spacing w:line="240" w:lineRule="auto" w:before="6"/>
        <w:rPr>
          <w:rFonts w:ascii="宋体" w:hAnsi="宋体" w:cs="宋体" w:eastAsia="宋体" w:hint="default"/>
          <w:sz w:val="20"/>
          <w:szCs w:val="20"/>
        </w:rPr>
      </w:pPr>
    </w:p>
    <w:p>
      <w:pPr>
        <w:spacing w:line="592" w:lineRule="auto" w:before="44"/>
        <w:ind w:left="153" w:right="6432" w:firstLine="0"/>
        <w:jc w:val="left"/>
        <w:rPr>
          <w:rFonts w:ascii="宋体" w:hAnsi="宋体" w:cs="宋体" w:eastAsia="宋体" w:hint="default"/>
          <w:sz w:val="18"/>
          <w:szCs w:val="18"/>
        </w:rPr>
      </w:pPr>
      <w:bookmarkStart w:name="（2）账龄超过1年的重要其他应付款：无" w:id="188"/>
      <w:bookmarkEnd w:id="188"/>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）账龄超过</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年的重要其他应付款：无</w:t>
      </w:r>
      <w:r>
        <w:rPr>
          <w:rFonts w:ascii="宋体" w:hAnsi="宋体" w:cs="宋体" w:eastAsia="宋体" w:hint="default"/>
          <w:b/>
          <w:bCs/>
          <w:spacing w:val="1"/>
          <w:w w:val="99"/>
          <w:sz w:val="18"/>
          <w:szCs w:val="18"/>
        </w:rPr>
        <w:t> </w:t>
      </w:r>
      <w:r>
        <w:rPr>
          <w:rFonts w:ascii="宋体" w:hAnsi="宋体" w:cs="宋体" w:eastAsia="宋体" w:hint="default"/>
          <w:sz w:val="18"/>
          <w:szCs w:val="18"/>
        </w:rPr>
        <w:t>其他说明：无</w:t>
      </w:r>
    </w:p>
    <w:p>
      <w:pPr>
        <w:pStyle w:val="Heading4"/>
        <w:spacing w:line="240" w:lineRule="auto" w:before="110"/>
        <w:ind w:left="153" w:right="0"/>
        <w:jc w:val="left"/>
        <w:rPr>
          <w:b w:val="0"/>
          <w:bCs w:val="0"/>
        </w:rPr>
      </w:pPr>
      <w:bookmarkStart w:name="20、其他流动负债" w:id="189"/>
      <w:bookmarkEnd w:id="189"/>
      <w:r>
        <w:rPr>
          <w:b w:val="0"/>
          <w:bCs w:val="0"/>
        </w:rPr>
      </w:r>
      <w:r>
        <w:rPr>
          <w:rFonts w:ascii="Times New Roman" w:hAnsi="Times New Roman" w:cs="Times New Roman" w:eastAsia="Times New Roman" w:hint="default"/>
        </w:rPr>
        <w:t>20</w:t>
      </w:r>
      <w:r>
        <w:rPr/>
        <w:t>、其他流动负债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物流配送支出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10,181,447.23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15,070,745.70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购物金回馈</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8,449,016.55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10,805,747.75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入网合作费</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28,862,893.52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27,547,754.40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11,713,067.06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5,796,967.13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57,540,324.43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65,137,314.91</w:t>
            </w:r>
          </w:p>
        </w:tc>
      </w:tr>
    </w:tbl>
    <w:p>
      <w:pPr>
        <w:pStyle w:val="BodyText"/>
        <w:spacing w:line="240" w:lineRule="auto" w:before="51"/>
        <w:ind w:left="154" w:right="0"/>
        <w:jc w:val="left"/>
      </w:pPr>
      <w:r>
        <w:rPr/>
        <w:t>其他说明：无</w:t>
      </w:r>
    </w:p>
    <w:p>
      <w:pPr>
        <w:spacing w:after="0" w:line="240" w:lineRule="auto"/>
        <w:jc w:val="left"/>
        <w:sectPr>
          <w:pgSz w:w="11910" w:h="16840"/>
          <w:pgMar w:header="851" w:footer="979" w:top="1320" w:bottom="1160" w:left="980" w:right="980"/>
        </w:sectPr>
      </w:pPr>
    </w:p>
    <w:p>
      <w:pPr>
        <w:pStyle w:val="BodyText"/>
        <w:spacing w:line="240" w:lineRule="auto" w:before="116"/>
        <w:ind w:left="154" w:right="0"/>
        <w:jc w:val="left"/>
      </w:pPr>
      <w:r>
        <w:rPr/>
        <w:t>涉及政府补助的项目：</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566"/>
        <w:gridCol w:w="1134"/>
        <w:gridCol w:w="1560"/>
        <w:gridCol w:w="1417"/>
        <w:gridCol w:w="1276"/>
        <w:gridCol w:w="1277"/>
        <w:gridCol w:w="1134"/>
      </w:tblGrid>
      <w:tr>
        <w:trPr>
          <w:trHeight w:val="653" w:hRule="exact"/>
        </w:trPr>
        <w:tc>
          <w:tcPr>
            <w:tcW w:w="15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41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1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本期新增补助金额</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16"/>
              <w:ind w:left="70" w:right="71" w:firstLine="270"/>
              <w:jc w:val="left"/>
              <w:rPr>
                <w:rFonts w:ascii="宋体" w:hAnsi="宋体" w:cs="宋体" w:eastAsia="宋体" w:hint="default"/>
                <w:sz w:val="18"/>
                <w:szCs w:val="18"/>
              </w:rPr>
            </w:pPr>
            <w:r>
              <w:rPr>
                <w:rFonts w:ascii="宋体" w:hAnsi="宋体" w:cs="宋体" w:eastAsia="宋体" w:hint="default"/>
                <w:sz w:val="18"/>
                <w:szCs w:val="18"/>
              </w:rPr>
              <w:t>本期计入 营业外收入金额</w:t>
            </w:r>
          </w:p>
        </w:tc>
        <w:tc>
          <w:tcPr>
            <w:tcW w:w="12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26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2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00" w:lineRule="auto" w:before="16"/>
              <w:ind w:left="109" w:right="83"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660" w:hRule="exact"/>
        </w:trPr>
        <w:tc>
          <w:tcPr>
            <w:tcW w:w="15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9" w:lineRule="auto" w:before="21"/>
              <w:ind w:left="2" w:right="107"/>
              <w:jc w:val="left"/>
              <w:rPr>
                <w:rFonts w:ascii="宋体" w:hAnsi="宋体" w:cs="宋体" w:eastAsia="宋体" w:hint="default"/>
                <w:sz w:val="18"/>
                <w:szCs w:val="18"/>
              </w:rPr>
            </w:pPr>
            <w:r>
              <w:rPr>
                <w:rFonts w:ascii="宋体" w:hAnsi="宋体" w:cs="宋体" w:eastAsia="宋体" w:hint="default"/>
                <w:sz w:val="18"/>
                <w:szCs w:val="18"/>
              </w:rPr>
              <w:t>开福区新兴产业科 技补助资金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875,000.00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4" w:right="0"/>
              <w:jc w:val="left"/>
              <w:rPr>
                <w:rFonts w:ascii="Times New Roman" w:hAnsi="Times New Roman" w:cs="Times New Roman" w:eastAsia="Times New Roman" w:hint="default"/>
                <w:sz w:val="18"/>
                <w:szCs w:val="18"/>
              </w:rPr>
            </w:pPr>
            <w:r>
              <w:rPr>
                <w:rFonts w:ascii="Times New Roman"/>
                <w:sz w:val="18"/>
              </w:rPr>
              <w:t>2,125,000.00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15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产业发展专项资金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875,000.00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4" w:right="0"/>
              <w:jc w:val="left"/>
              <w:rPr>
                <w:rFonts w:ascii="Times New Roman" w:hAnsi="Times New Roman" w:cs="Times New Roman" w:eastAsia="Times New Roman" w:hint="default"/>
                <w:sz w:val="18"/>
                <w:szCs w:val="18"/>
              </w:rPr>
            </w:pPr>
            <w:r>
              <w:rPr>
                <w:rFonts w:ascii="Times New Roman"/>
                <w:sz w:val="18"/>
              </w:rPr>
              <w:t>2,125,000.00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15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4" w:right="0"/>
              <w:jc w:val="left"/>
              <w:rPr>
                <w:rFonts w:ascii="Times New Roman" w:hAnsi="Times New Roman" w:cs="Times New Roman" w:eastAsia="Times New Roman" w:hint="default"/>
                <w:sz w:val="18"/>
                <w:szCs w:val="18"/>
              </w:rPr>
            </w:pPr>
            <w:r>
              <w:rPr>
                <w:rFonts w:ascii="Times New Roman"/>
                <w:sz w:val="18"/>
              </w:rPr>
              <w:t>4,250,000.00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240" w:lineRule="auto"/>
        <w:ind w:right="0"/>
        <w:jc w:val="left"/>
        <w:rPr>
          <w:b w:val="0"/>
          <w:bCs w:val="0"/>
        </w:rPr>
      </w:pPr>
      <w:bookmarkStart w:name="21、股本" w:id="190"/>
      <w:bookmarkEnd w:id="190"/>
      <w:r>
        <w:rPr>
          <w:b w:val="0"/>
          <w:bCs w:val="0"/>
        </w:rPr>
      </w:r>
      <w:r>
        <w:rPr>
          <w:rFonts w:ascii="Times New Roman" w:hAnsi="Times New Roman" w:cs="Times New Roman" w:eastAsia="Times New Roman" w:hint="default"/>
        </w:rPr>
        <w:t>21</w:t>
      </w:r>
      <w:r>
        <w:rPr/>
        <w:t>、股本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331,000,000.00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331,000,000.00</w:t>
            </w:r>
          </w:p>
        </w:tc>
      </w:tr>
    </w:tbl>
    <w:p>
      <w:pPr>
        <w:pStyle w:val="BodyText"/>
        <w:spacing w:line="240" w:lineRule="auto" w:before="51"/>
        <w:ind w:left="154" w:right="0"/>
        <w:jc w:val="left"/>
      </w:pPr>
      <w:r>
        <w:rPr/>
        <w:t>其他说明：</w:t>
      </w:r>
    </w:p>
    <w:p>
      <w:pPr>
        <w:pStyle w:val="BodyText"/>
        <w:spacing w:line="300" w:lineRule="auto" w:before="116"/>
        <w:ind w:left="153" w:right="143" w:firstLine="450"/>
        <w:jc w:val="left"/>
      </w:pPr>
      <w:r>
        <w:rPr/>
        <w:t>陈刚和高新创投于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日签署了《股份转让协议》，约定陈刚将所持公司全部股份转让给高新创投。长沙 市工商行政管理局于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日下发了《备案通知书》，公司已就本次股份转让后的公司股份结构对公司章程进行了修</w:t>
      </w:r>
      <w:r>
        <w:rPr>
          <w:spacing w:val="-83"/>
        </w:rPr>
        <w:t> </w:t>
      </w:r>
      <w:r>
        <w:rPr>
          <w:spacing w:val="-83"/>
        </w:rPr>
      </w:r>
      <w:r>
        <w:rPr/>
        <w:t>改并办理了工商备案。</w:t>
      </w:r>
    </w:p>
    <w:p>
      <w:pPr>
        <w:pStyle w:val="BodyText"/>
        <w:spacing w:line="300" w:lineRule="auto" w:before="31"/>
        <w:ind w:left="153" w:right="149" w:firstLine="450"/>
        <w:jc w:val="both"/>
      </w:pPr>
      <w:r>
        <w:rPr/>
        <w:t>湖南省财政厅和湖南省广播电影电视局分别于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日下发了《关于快乐购经营团队退出持有 </w:t>
      </w:r>
      <w:r>
        <w:rPr>
          <w:spacing w:val="-1"/>
        </w:rPr>
        <w:t>快乐购物股份有限公司股份的批复》（湘财文资函</w:t>
      </w:r>
      <w:r>
        <w:rPr>
          <w:rFonts w:ascii="Times New Roman" w:hAnsi="Times New Roman" w:cs="Times New Roman" w:eastAsia="Times New Roman" w:hint="default"/>
          <w:spacing w:val="-1"/>
        </w:rPr>
        <w:t>[2014]12</w:t>
      </w:r>
      <w:r>
        <w:rPr>
          <w:spacing w:val="-1"/>
        </w:rPr>
        <w:t>号）和《关于对快乐购经营团队退出所持股份方案的批复》（湘</w:t>
      </w:r>
      <w:r>
        <w:rPr>
          <w:spacing w:val="-57"/>
        </w:rPr>
        <w:t> </w:t>
      </w:r>
      <w:r>
        <w:rPr>
          <w:spacing w:val="-57"/>
        </w:rPr>
      </w:r>
      <w:r>
        <w:rPr/>
        <w:t>广字</w:t>
      </w:r>
      <w:r>
        <w:rPr>
          <w:rFonts w:ascii="Times New Roman" w:hAnsi="Times New Roman" w:cs="Times New Roman" w:eastAsia="Times New Roman" w:hint="default"/>
        </w:rPr>
        <w:t>[2014]12</w:t>
      </w:r>
      <w:r>
        <w:rPr/>
        <w:t>号），同意唐靓等</w:t>
      </w:r>
      <w:r>
        <w:rPr>
          <w:rFonts w:ascii="Times New Roman" w:hAnsi="Times New Roman" w:cs="Times New Roman" w:eastAsia="Times New Roman" w:hint="default"/>
        </w:rPr>
        <w:t>13</w:t>
      </w:r>
      <w:r>
        <w:rPr/>
        <w:t>名公司全部自然人股东将所持公司</w:t>
      </w:r>
      <w:r>
        <w:rPr>
          <w:rFonts w:ascii="Times New Roman" w:hAnsi="Times New Roman" w:cs="Times New Roman" w:eastAsia="Times New Roman" w:hint="default"/>
        </w:rPr>
        <w:t>18,357,924</w:t>
      </w:r>
      <w:r>
        <w:rPr/>
        <w:t>股股份转让给高新创投和西藏弘志，高新创</w:t>
      </w:r>
      <w:r>
        <w:rPr>
          <w:spacing w:val="-34"/>
        </w:rPr>
        <w:t> </w:t>
      </w:r>
      <w:r>
        <w:rPr>
          <w:spacing w:val="-34"/>
        </w:rPr>
      </w:r>
      <w:r>
        <w:rPr>
          <w:spacing w:val="-2"/>
        </w:rPr>
        <w:t>投和西藏弘志分别一次性受让经营团队所持的一半股份，即</w:t>
      </w:r>
      <w:r>
        <w:rPr>
          <w:rFonts w:ascii="Times New Roman" w:hAnsi="Times New Roman" w:cs="Times New Roman" w:eastAsia="Times New Roman" w:hint="default"/>
          <w:spacing w:val="-2"/>
        </w:rPr>
        <w:t>9,178,962</w:t>
      </w:r>
      <w:r>
        <w:rPr>
          <w:spacing w:val="-2"/>
        </w:rPr>
        <w:t>股股份。据此，唐靓等</w:t>
      </w:r>
      <w:r>
        <w:rPr>
          <w:rFonts w:ascii="Times New Roman" w:hAnsi="Times New Roman" w:cs="Times New Roman" w:eastAsia="Times New Roman" w:hint="default"/>
          <w:spacing w:val="-2"/>
        </w:rPr>
        <w:t>13</w:t>
      </w:r>
      <w:r>
        <w:rPr>
          <w:spacing w:val="-2"/>
        </w:rPr>
        <w:t>名自然人股东和高新创投、西</w:t>
      </w:r>
      <w:r>
        <w:rPr>
          <w:spacing w:val="-55"/>
        </w:rPr>
        <w:t> </w:t>
      </w:r>
      <w:r>
        <w:rPr>
          <w:spacing w:val="-55"/>
        </w:rPr>
      </w:r>
      <w:r>
        <w:rPr>
          <w:spacing w:val="-2"/>
        </w:rPr>
        <w:t>藏弘志于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日分别签署了《股份转让协议》。长沙市工商行政管理局于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日下发了《备案通知书》，公</w:t>
      </w:r>
      <w:r>
        <w:rPr>
          <w:spacing w:val="-53"/>
        </w:rPr>
        <w:t> </w:t>
      </w:r>
      <w:r>
        <w:rPr>
          <w:spacing w:val="-53"/>
        </w:rPr>
      </w:r>
      <w:r>
        <w:rPr/>
        <w:t>司已就本次股份转让后的公司股份结构对公司章程进行了修改并办理了工商备案。</w:t>
      </w:r>
    </w:p>
    <w:p>
      <w:pPr>
        <w:spacing w:line="240" w:lineRule="auto" w:before="6"/>
        <w:rPr>
          <w:rFonts w:ascii="宋体" w:hAnsi="宋体" w:cs="宋体" w:eastAsia="宋体" w:hint="default"/>
          <w:sz w:val="25"/>
          <w:szCs w:val="25"/>
        </w:rPr>
      </w:pPr>
    </w:p>
    <w:p>
      <w:pPr>
        <w:pStyle w:val="Heading4"/>
        <w:spacing w:line="240" w:lineRule="auto" w:before="0"/>
        <w:ind w:right="0"/>
        <w:jc w:val="left"/>
        <w:rPr>
          <w:b w:val="0"/>
          <w:bCs w:val="0"/>
        </w:rPr>
      </w:pPr>
      <w:bookmarkStart w:name="22、资本公积" w:id="191"/>
      <w:bookmarkEnd w:id="191"/>
      <w:r>
        <w:rPr>
          <w:b w:val="0"/>
          <w:bCs w:val="0"/>
        </w:rPr>
      </w:r>
      <w:r>
        <w:rPr>
          <w:rFonts w:ascii="Times New Roman" w:hAnsi="Times New Roman" w:cs="Times New Roman" w:eastAsia="Times New Roman" w:hint="default"/>
        </w:rPr>
        <w:t>22</w:t>
      </w:r>
      <w:r>
        <w:rPr/>
        <w:t>、资本公积</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177,990,467.94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177,990,467.94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177,990,467.94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177,990,467.94</w:t>
            </w:r>
          </w:p>
        </w:tc>
      </w:tr>
    </w:tbl>
    <w:p>
      <w:pPr>
        <w:pStyle w:val="BodyText"/>
        <w:spacing w:line="240" w:lineRule="auto" w:before="51"/>
        <w:ind w:left="154" w:right="0"/>
        <w:jc w:val="left"/>
      </w:pPr>
      <w:r>
        <w:rPr/>
        <w:t>其他说明，包括本期增减变动情况、变动原因说明：无</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3、盈余公积" w:id="192"/>
      <w:bookmarkEnd w:id="192"/>
      <w:r>
        <w:rPr>
          <w:b w:val="0"/>
          <w:bCs w:val="0"/>
        </w:rPr>
      </w:r>
      <w:r>
        <w:rPr>
          <w:rFonts w:ascii="Times New Roman" w:hAnsi="Times New Roman" w:cs="Times New Roman" w:eastAsia="Times New Roman" w:hint="default"/>
        </w:rPr>
        <w:t>23</w:t>
      </w:r>
      <w:r>
        <w:rPr/>
        <w:t>、盈余公积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40,169,517.67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16,116,486.29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56,286,003.96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40,169,517.67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16,116,486.29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56,286,003.96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pStyle w:val="BodyText"/>
        <w:spacing w:line="357" w:lineRule="auto" w:before="116"/>
        <w:ind w:left="154" w:right="4672"/>
        <w:jc w:val="left"/>
      </w:pPr>
      <w:r>
        <w:rPr/>
        <w:t>盈余公积说明，包括本期增减变动情况、变动原因说明： 注</w:t>
      </w:r>
      <w:r>
        <w:rPr>
          <w:rFonts w:ascii="Times New Roman" w:hAnsi="Times New Roman" w:cs="Times New Roman" w:eastAsia="Times New Roman" w:hint="default"/>
        </w:rPr>
        <w:t>1</w:t>
      </w:r>
      <w:r>
        <w:rPr/>
        <w:t>：根据法规规定，按可供分配利润的</w:t>
      </w:r>
      <w:r>
        <w:rPr>
          <w:rFonts w:ascii="Times New Roman" w:hAnsi="Times New Roman" w:cs="Times New Roman" w:eastAsia="Times New Roman" w:hint="default"/>
        </w:rPr>
        <w:t>10%</w:t>
      </w:r>
      <w:r>
        <w:rPr/>
        <w:t>计提法定盈余公积。</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4"/>
        <w:spacing w:line="240" w:lineRule="auto" w:before="0"/>
        <w:ind w:right="0"/>
        <w:jc w:val="left"/>
        <w:rPr>
          <w:b w:val="0"/>
          <w:bCs w:val="0"/>
        </w:rPr>
      </w:pPr>
      <w:bookmarkStart w:name="24、未分配利润" w:id="193"/>
      <w:bookmarkEnd w:id="193"/>
      <w:r>
        <w:rPr>
          <w:b w:val="0"/>
          <w:bCs w:val="0"/>
        </w:rPr>
      </w:r>
      <w:r>
        <w:rPr>
          <w:rFonts w:ascii="Times New Roman" w:hAnsi="Times New Roman" w:cs="Times New Roman" w:eastAsia="Times New Roman" w:hint="default"/>
        </w:rPr>
        <w:t>24</w:t>
      </w:r>
      <w:r>
        <w:rPr/>
        <w:t>、未分配利润</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308,606,306.64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195,921,527.76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154,111,442.70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184,876,356.63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16,116,486.29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17,776,468.67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49,916,616.27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54,415,109.08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396,684,646.78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308,606,306.64</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left="153"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5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left="153" w:right="0"/>
        <w:jc w:val="left"/>
      </w:pPr>
      <w:r>
        <w:rPr>
          <w:rFonts w:ascii="Times New Roman" w:hAnsi="Times New Roman" w:cs="Times New Roman" w:eastAsia="Times New Roman" w:hint="default"/>
        </w:rPr>
        <w:t>5)</w:t>
      </w:r>
      <w:r>
        <w:rPr/>
        <w:t>、其他调整合计影响期初未分配利润元。</w:t>
      </w:r>
    </w:p>
    <w:p>
      <w:pPr>
        <w:spacing w:line="240" w:lineRule="auto" w:before="0"/>
        <w:rPr>
          <w:rFonts w:ascii="宋体" w:hAnsi="宋体" w:cs="宋体" w:eastAsia="宋体" w:hint="default"/>
          <w:sz w:val="18"/>
          <w:szCs w:val="18"/>
        </w:rPr>
      </w:pPr>
    </w:p>
    <w:p>
      <w:pPr>
        <w:pStyle w:val="Heading4"/>
        <w:spacing w:line="240" w:lineRule="auto" w:before="126"/>
        <w:ind w:left="153" w:right="0"/>
        <w:jc w:val="left"/>
        <w:rPr>
          <w:b w:val="0"/>
          <w:bCs w:val="0"/>
        </w:rPr>
      </w:pPr>
      <w:bookmarkStart w:name="25、营业收入和营业成本" w:id="194"/>
      <w:bookmarkEnd w:id="194"/>
      <w:r>
        <w:rPr>
          <w:b w:val="0"/>
          <w:bCs w:val="0"/>
        </w:rPr>
      </w:r>
      <w:r>
        <w:rPr>
          <w:rFonts w:ascii="Times New Roman" w:hAnsi="Times New Roman" w:cs="Times New Roman" w:eastAsia="Times New Roman" w:hint="default"/>
        </w:rPr>
        <w:t>25</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2,633,412,924.28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1,928,702,967.08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3,089,413,992.28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2,308,859,803.33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104,598,479.76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46,236,579.63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60,461,209.05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14,743,701.98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2,738,011,404.04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1,974,939,546.71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3,149,875,201.33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2,323,603,505.31</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6、营业税金及附加" w:id="195"/>
      <w:bookmarkEnd w:id="195"/>
      <w:r>
        <w:rPr>
          <w:b w:val="0"/>
          <w:bCs w:val="0"/>
        </w:rPr>
      </w:r>
      <w:r>
        <w:rPr>
          <w:rFonts w:ascii="Times New Roman" w:hAnsi="Times New Roman" w:cs="Times New Roman" w:eastAsia="Times New Roman" w:hint="default"/>
        </w:rPr>
        <w:t>26</w:t>
      </w:r>
      <w:r>
        <w:rPr/>
        <w:t>、营业税金及附加</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1,577,970.72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6,034,074.88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1,646,383.79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1,617,330.41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10,429,555.61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17,050,665.75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13,653,910.12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24,702,071.04</w:t>
            </w:r>
          </w:p>
        </w:tc>
      </w:tr>
    </w:tbl>
    <w:p>
      <w:pPr>
        <w:pStyle w:val="BodyText"/>
        <w:spacing w:line="240" w:lineRule="auto" w:before="51"/>
        <w:ind w:left="154" w:right="0"/>
        <w:jc w:val="left"/>
      </w:pPr>
      <w:r>
        <w:rPr/>
        <w:t>其他说明：无</w:t>
      </w:r>
    </w:p>
    <w:p>
      <w:pPr>
        <w:spacing w:after="0" w:line="240" w:lineRule="auto"/>
        <w:jc w:val="left"/>
        <w:sectPr>
          <w:pgSz w:w="11910" w:h="16840"/>
          <w:pgMar w:header="851" w:footer="979" w:top="1320" w:bottom="1160" w:left="980" w:right="980"/>
        </w:sectPr>
      </w:pPr>
    </w:p>
    <w:p>
      <w:pPr>
        <w:pStyle w:val="Heading4"/>
        <w:spacing w:line="240" w:lineRule="auto" w:before="114"/>
        <w:ind w:right="0"/>
        <w:jc w:val="left"/>
        <w:rPr>
          <w:b w:val="0"/>
          <w:bCs w:val="0"/>
        </w:rPr>
      </w:pPr>
      <w:bookmarkStart w:name="27、销售费用" w:id="196"/>
      <w:bookmarkEnd w:id="196"/>
      <w:r>
        <w:rPr>
          <w:b w:val="0"/>
          <w:bCs w:val="0"/>
        </w:rPr>
      </w:r>
      <w:r>
        <w:rPr>
          <w:rFonts w:ascii="Times New Roman" w:hAnsi="Times New Roman" w:cs="Times New Roman" w:eastAsia="Times New Roman" w:hint="default"/>
        </w:rPr>
        <w:t>27</w:t>
      </w:r>
      <w:r>
        <w:rPr/>
        <w:t>、销售费用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频道资源占用费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192,798,351.71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182,157,707.16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152,807,809.83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179,788,942.39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物流和金流结算费用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120,040,435.72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121,185,071.97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广告行销费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26,691,221.04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14,655,525.12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节目制作成本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19,788,188.31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13,158,038.15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35,056,330.00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43,406,041.22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547,182,336.61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554,351,326.01</w:t>
            </w:r>
          </w:p>
        </w:tc>
      </w:tr>
    </w:tbl>
    <w:p>
      <w:pPr>
        <w:pStyle w:val="BodyText"/>
        <w:spacing w:line="316" w:lineRule="auto" w:before="10"/>
        <w:ind w:left="154" w:right="0"/>
        <w:jc w:val="left"/>
      </w:pPr>
      <w:r>
        <w:rPr>
          <w:spacing w:val="-2"/>
        </w:rPr>
        <w:t>其他说明：包括呼叫中心通讯费、房租水电费、物业管理费、招待费、差旅费、固定资产折旧、无形资产摊销、低值易耗品</w:t>
      </w:r>
      <w:r>
        <w:rPr>
          <w:spacing w:val="-67"/>
        </w:rPr>
        <w:t> </w:t>
      </w:r>
      <w:r>
        <w:rPr>
          <w:spacing w:val="-67"/>
        </w:rPr>
      </w:r>
      <w:r>
        <w:rPr/>
        <w:t>摊销等。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61"/>
        <w:ind w:left="153" w:right="0"/>
        <w:jc w:val="left"/>
        <w:rPr>
          <w:b w:val="0"/>
          <w:bCs w:val="0"/>
        </w:rPr>
      </w:pPr>
      <w:bookmarkStart w:name="28、管理费用" w:id="197"/>
      <w:bookmarkEnd w:id="197"/>
      <w:r>
        <w:rPr>
          <w:b w:val="0"/>
          <w:bCs w:val="0"/>
        </w:rPr>
      </w:r>
      <w:r>
        <w:rPr>
          <w:rFonts w:ascii="Times New Roman" w:hAnsi="Times New Roman" w:cs="Times New Roman" w:eastAsia="Times New Roman" w:hint="default"/>
        </w:rPr>
        <w:t>28</w:t>
      </w:r>
      <w:r>
        <w:rPr/>
        <w:t>、管理费用</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43,418,264.66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52,437,522.04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12,877,109.74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9,741,250.34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3,510,551.60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3,972,044.07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35,034,505.42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37,947,987.65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94,840,431.42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104,098,804.10</w:t>
            </w:r>
          </w:p>
        </w:tc>
      </w:tr>
    </w:tbl>
    <w:p>
      <w:pPr>
        <w:pStyle w:val="BodyText"/>
        <w:spacing w:line="240" w:lineRule="auto" w:before="10"/>
        <w:ind w:left="154" w:right="0"/>
        <w:jc w:val="left"/>
      </w:pPr>
      <w:r>
        <w:rPr/>
        <w:t>其他说明：包括业务招待费、会务费、办公费、耗材修理费、设备检修费、活动经费等</w:t>
      </w:r>
    </w:p>
    <w:p>
      <w:pPr>
        <w:spacing w:line="240" w:lineRule="auto" w:before="0"/>
        <w:rPr>
          <w:rFonts w:ascii="宋体" w:hAnsi="宋体" w:cs="宋体" w:eastAsia="宋体" w:hint="default"/>
          <w:sz w:val="18"/>
          <w:szCs w:val="18"/>
        </w:rPr>
      </w:pPr>
    </w:p>
    <w:p>
      <w:pPr>
        <w:pStyle w:val="Heading4"/>
        <w:spacing w:line="240" w:lineRule="auto" w:before="142"/>
        <w:ind w:left="153" w:right="0"/>
        <w:jc w:val="left"/>
        <w:rPr>
          <w:b w:val="0"/>
          <w:bCs w:val="0"/>
        </w:rPr>
      </w:pPr>
      <w:bookmarkStart w:name="29、财务费用" w:id="198"/>
      <w:bookmarkEnd w:id="198"/>
      <w:r>
        <w:rPr>
          <w:b w:val="0"/>
          <w:bCs w:val="0"/>
        </w:rPr>
      </w:r>
      <w:r>
        <w:rPr>
          <w:rFonts w:ascii="Times New Roman" w:hAnsi="Times New Roman" w:cs="Times New Roman" w:eastAsia="Times New Roman" w:hint="default"/>
        </w:rPr>
        <w:t>29</w:t>
      </w:r>
      <w:r>
        <w:rPr/>
        <w:t>、财务费用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25,615,165.38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17,670,113.06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汇兑差额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891,593.10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984,131.06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-24,723,572.28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-16,685,982.00</w:t>
            </w:r>
          </w:p>
        </w:tc>
      </w:tr>
    </w:tbl>
    <w:p>
      <w:pPr>
        <w:pStyle w:val="BodyText"/>
        <w:spacing w:line="240" w:lineRule="auto" w:before="51"/>
        <w:ind w:left="154" w:right="0"/>
        <w:jc w:val="left"/>
      </w:pPr>
      <w:r>
        <w:rPr/>
        <w:t>其他说明：无</w:t>
      </w:r>
    </w:p>
    <w:p>
      <w:pPr>
        <w:spacing w:after="0" w:line="240" w:lineRule="auto"/>
        <w:jc w:val="left"/>
        <w:sectPr>
          <w:pgSz w:w="11910" w:h="16840"/>
          <w:pgMar w:header="851" w:footer="979" w:top="1320" w:bottom="1160" w:left="980" w:right="980"/>
        </w:sectPr>
      </w:pPr>
    </w:p>
    <w:p>
      <w:pPr>
        <w:pStyle w:val="Heading4"/>
        <w:spacing w:line="240" w:lineRule="auto" w:before="114"/>
        <w:ind w:right="0"/>
        <w:jc w:val="left"/>
        <w:rPr>
          <w:b w:val="0"/>
          <w:bCs w:val="0"/>
        </w:rPr>
      </w:pPr>
      <w:bookmarkStart w:name="30、资产减值损失" w:id="199"/>
      <w:bookmarkEnd w:id="199"/>
      <w:r>
        <w:rPr>
          <w:b w:val="0"/>
          <w:bCs w:val="0"/>
        </w:rPr>
      </w:r>
      <w:r>
        <w:rPr>
          <w:rFonts w:ascii="Times New Roman" w:hAnsi="Times New Roman" w:cs="Times New Roman" w:eastAsia="Times New Roman" w:hint="default"/>
        </w:rPr>
        <w:t>30</w:t>
      </w:r>
      <w:r>
        <w:rPr/>
        <w:t>、资产减值损失</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1,120,980.00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-39,964.05</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-51,458.44</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1,120,980.00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-91,422.49</w:t>
            </w:r>
            <w:r>
              <w:rPr>
                <w:rFonts w:ascii="Times New Roman"/>
                <w:sz w:val="18"/>
              </w:rPr>
            </w:r>
          </w:p>
        </w:tc>
      </w:tr>
    </w:tbl>
    <w:p>
      <w:pPr>
        <w:pStyle w:val="BodyText"/>
        <w:spacing w:line="240" w:lineRule="auto" w:before="51"/>
        <w:ind w:left="154" w:right="0"/>
        <w:jc w:val="left"/>
      </w:pPr>
      <w:r>
        <w:rPr/>
        <w:t>其他说明：无</w:t>
      </w:r>
    </w:p>
    <w:p>
      <w:pPr>
        <w:spacing w:line="240" w:lineRule="auto" w:before="0"/>
        <w:rPr>
          <w:rFonts w:ascii="宋体" w:hAnsi="宋体" w:cs="宋体" w:eastAsia="宋体" w:hint="default"/>
          <w:sz w:val="18"/>
          <w:szCs w:val="18"/>
        </w:rPr>
      </w:pPr>
    </w:p>
    <w:p>
      <w:pPr>
        <w:pStyle w:val="Heading4"/>
        <w:spacing w:line="240" w:lineRule="auto" w:before="139"/>
        <w:ind w:left="153" w:right="0"/>
        <w:jc w:val="left"/>
        <w:rPr>
          <w:b w:val="0"/>
          <w:bCs w:val="0"/>
        </w:rPr>
      </w:pPr>
      <w:bookmarkStart w:name="31、营业外收入" w:id="200"/>
      <w:bookmarkEnd w:id="200"/>
      <w:r>
        <w:rPr>
          <w:b w:val="0"/>
          <w:bCs w:val="0"/>
        </w:rPr>
      </w:r>
      <w:r>
        <w:rPr>
          <w:rFonts w:ascii="Times New Roman" w:hAnsi="Times New Roman" w:cs="Times New Roman" w:eastAsia="Times New Roman" w:hint="default"/>
        </w:rPr>
        <w:t>31</w:t>
      </w:r>
      <w:r>
        <w:rPr/>
        <w:t>、营业外收入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4,151.33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4,151.33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22,168,473.79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22,831,316.19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22,168,473.79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46,839.23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243,289.50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46,839.23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shd w:fill="FFFF00" w:color="auto" w:val="clear"/>
              </w:rPr>
              <w:t>1,735,901.57</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3,216,098.43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1,735,901.57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23,955,365.92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26,290,704.12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23,955,365.92</w:t>
            </w:r>
          </w:p>
        </w:tc>
      </w:tr>
    </w:tbl>
    <w:p>
      <w:pPr>
        <w:pStyle w:val="BodyText"/>
        <w:spacing w:line="240" w:lineRule="auto" w:before="51"/>
        <w:ind w:left="154" w:right="0"/>
        <w:jc w:val="left"/>
      </w:pPr>
      <w:r>
        <w:rPr/>
        <w:t>计入当期损益的政府补助：</w:t>
      </w:r>
      <w:r>
        <w:rPr>
          <w:rFonts w:ascii="Times New Roman" w:hAnsi="Times New Roman" w:cs="Times New Roman" w:eastAsia="Times New Roman" w:hint="default"/>
        </w:rPr>
        <w:t>22,168,473.79</w:t>
      </w:r>
      <w:r>
        <w:rPr>
          <w:rFonts w:ascii="Times New Roman" w:hAnsi="Times New Roman" w:cs="Times New Roman" w:eastAsia="Times New Roman" w:hint="default"/>
          <w:spacing w:val="-2"/>
        </w:rPr>
        <w:t> </w:t>
      </w:r>
      <w:r>
        <w:rPr/>
        <w:t>元</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产业扶植奖励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企业直接融资补贴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文化产业引导资金补助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上海沪洽周活动补助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开福区新兴产业科技补助资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农副产品立体交易平台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高清的多媒体互动平 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综合媒体商业平台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新媒体网络社交平台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基于三屏合一的多媒体营销 平台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纳税大户奖励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2,273,473.79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2,531,316.19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22,168,473.79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22,831,316.19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left="153" w:right="0"/>
        <w:jc w:val="left"/>
        <w:rPr>
          <w:b w:val="0"/>
          <w:bCs w:val="0"/>
        </w:rPr>
      </w:pPr>
      <w:bookmarkStart w:name="32、营业外支出" w:id="201"/>
      <w:bookmarkEnd w:id="201"/>
      <w:r>
        <w:rPr>
          <w:b w:val="0"/>
          <w:bCs w:val="0"/>
        </w:rPr>
      </w:r>
      <w:r>
        <w:rPr>
          <w:rFonts w:ascii="Times New Roman" w:hAnsi="Times New Roman" w:cs="Times New Roman" w:eastAsia="Times New Roman" w:hint="default"/>
        </w:rPr>
        <w:t>32</w:t>
      </w:r>
      <w:r>
        <w:rPr/>
        <w:t>、营业外支出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r>
            <w:r>
              <w:rPr>
                <w:rFonts w:ascii="Times New Roman"/>
                <w:sz w:val="18"/>
                <w:shd w:fill="FFFF00" w:color="auto" w:val="clear"/>
              </w:rPr>
              <w:t>10,006.99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7,773.05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7,773.05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7,773.05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29,022.06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29,022.06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36,795.11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111,806.99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36,795.11</w:t>
            </w:r>
          </w:p>
        </w:tc>
      </w:tr>
    </w:tbl>
    <w:p>
      <w:pPr>
        <w:pStyle w:val="BodyText"/>
        <w:spacing w:line="240" w:lineRule="auto" w:before="51"/>
        <w:ind w:left="154" w:right="0"/>
        <w:jc w:val="left"/>
      </w:pPr>
      <w:r>
        <w:rPr/>
        <w:t>其他说明：无</w:t>
      </w:r>
    </w:p>
    <w:p>
      <w:pPr>
        <w:spacing w:line="240" w:lineRule="auto" w:before="0"/>
        <w:rPr>
          <w:rFonts w:ascii="宋体" w:hAnsi="宋体" w:cs="宋体" w:eastAsia="宋体" w:hint="default"/>
          <w:sz w:val="18"/>
          <w:szCs w:val="18"/>
        </w:rPr>
      </w:pPr>
    </w:p>
    <w:p>
      <w:pPr>
        <w:pStyle w:val="Heading4"/>
        <w:spacing w:line="240" w:lineRule="auto" w:before="141"/>
        <w:ind w:left="153" w:right="0"/>
        <w:jc w:val="left"/>
        <w:rPr>
          <w:b w:val="0"/>
          <w:bCs w:val="0"/>
        </w:rPr>
      </w:pPr>
      <w:bookmarkStart w:name="33、所得税费用" w:id="202"/>
      <w:bookmarkEnd w:id="202"/>
      <w:r>
        <w:rPr>
          <w:b w:val="0"/>
          <w:bCs w:val="0"/>
        </w:rPr>
      </w:r>
      <w:r>
        <w:rPr>
          <w:rFonts w:ascii="Times New Roman" w:hAnsi="Times New Roman" w:cs="Times New Roman" w:eastAsia="Times New Roman" w:hint="default"/>
        </w:rPr>
        <w:t>33</w:t>
      </w:r>
      <w:r>
        <w:rPr/>
        <w:t>、所得税费用</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所得税费用表" w:id="203"/>
      <w:bookmarkEnd w:id="20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1,799,368.72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49,588.37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-994,469.15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1,149,851.49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804,899.57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1,199,439.86</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会计利润与所得税费用调整过程" w:id="204"/>
      <w:bookmarkEnd w:id="20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154,916,342.27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38,729,085.56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533,575.76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-24,840.72</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2,291,170.89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税收优惠影响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-40,724,091.92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804,899.57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pStyle w:val="BodyText"/>
        <w:spacing w:line="240" w:lineRule="auto" w:before="116"/>
        <w:ind w:left="154" w:right="0"/>
        <w:jc w:val="left"/>
      </w:pPr>
      <w:r>
        <w:rPr/>
        <w:t>其他说明：无</w:t>
      </w:r>
    </w:p>
    <w:p>
      <w:pPr>
        <w:spacing w:line="240" w:lineRule="auto" w:before="0"/>
        <w:rPr>
          <w:rFonts w:ascii="宋体" w:hAnsi="宋体" w:cs="宋体" w:eastAsia="宋体" w:hint="default"/>
          <w:sz w:val="18"/>
          <w:szCs w:val="18"/>
        </w:rPr>
      </w:pPr>
    </w:p>
    <w:p>
      <w:pPr>
        <w:pStyle w:val="Heading4"/>
        <w:spacing w:line="240" w:lineRule="auto" w:before="139"/>
        <w:ind w:left="153" w:right="0"/>
        <w:jc w:val="left"/>
        <w:rPr>
          <w:b w:val="0"/>
          <w:bCs w:val="0"/>
        </w:rPr>
      </w:pPr>
      <w:bookmarkStart w:name="34、现金流量表项目" w:id="205"/>
      <w:bookmarkEnd w:id="205"/>
      <w:r>
        <w:rPr>
          <w:b w:val="0"/>
          <w:bCs w:val="0"/>
        </w:rPr>
      </w:r>
      <w:r>
        <w:rPr>
          <w:rFonts w:ascii="Times New Roman" w:hAnsi="Times New Roman" w:cs="Times New Roman" w:eastAsia="Times New Roman" w:hint="default"/>
        </w:rPr>
        <w:t>34</w:t>
      </w:r>
      <w:r>
        <w:rPr/>
        <w:t>、现金流量表项目</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30"/>
        <w:ind w:left="153" w:right="0"/>
        <w:jc w:val="left"/>
        <w:rPr>
          <w:b w:val="0"/>
          <w:bCs w:val="0"/>
        </w:rPr>
      </w:pPr>
      <w:bookmarkStart w:name="（1）收到的其他与经营活动有关的现金" w:id="206"/>
      <w:bookmarkEnd w:id="20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109,297,120.81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67,321,815.46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26,418,473.79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22,831,316.19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23,709,769.28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19,439,561.80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1,782,740.80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14,145,533.25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161,208,104.68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123,738,226.70</w:t>
            </w:r>
          </w:p>
        </w:tc>
      </w:tr>
    </w:tbl>
    <w:p>
      <w:pPr>
        <w:pStyle w:val="BodyText"/>
        <w:spacing w:line="240" w:lineRule="auto" w:before="51"/>
        <w:ind w:left="154" w:right="0"/>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4"/>
        <w:spacing w:line="240" w:lineRule="auto" w:before="139"/>
        <w:ind w:left="153" w:right="0"/>
        <w:jc w:val="left"/>
        <w:rPr>
          <w:b w:val="0"/>
          <w:bCs w:val="0"/>
        </w:rPr>
      </w:pPr>
      <w:bookmarkStart w:name="（2）支付的其他与经营活动有关的现金" w:id="207"/>
      <w:bookmarkEnd w:id="20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436,656,230.70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418,286,718.60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49,454,236.71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17,250,131.32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891,593.10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984,131.06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487,002,060.51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436,620,980.98</w:t>
            </w:r>
          </w:p>
        </w:tc>
      </w:tr>
    </w:tbl>
    <w:p>
      <w:pPr>
        <w:pStyle w:val="BodyText"/>
        <w:spacing w:line="240" w:lineRule="auto" w:before="51"/>
        <w:ind w:left="154" w:right="0"/>
        <w:jc w:val="left"/>
      </w:pPr>
      <w:r>
        <w:rPr/>
        <w:t>支付的其他与经营活动有关的现金说明：无</w:t>
      </w:r>
    </w:p>
    <w:p>
      <w:pPr>
        <w:spacing w:line="240" w:lineRule="auto" w:before="0"/>
        <w:rPr>
          <w:rFonts w:ascii="宋体" w:hAnsi="宋体" w:cs="宋体" w:eastAsia="宋体" w:hint="default"/>
          <w:sz w:val="18"/>
          <w:szCs w:val="18"/>
        </w:rPr>
      </w:pPr>
    </w:p>
    <w:p>
      <w:pPr>
        <w:spacing w:line="590" w:lineRule="auto" w:before="141"/>
        <w:ind w:left="153" w:right="6250" w:firstLine="0"/>
        <w:jc w:val="left"/>
        <w:rPr>
          <w:rFonts w:ascii="宋体" w:hAnsi="宋体" w:cs="宋体" w:eastAsia="宋体" w:hint="default"/>
          <w:sz w:val="18"/>
          <w:szCs w:val="18"/>
        </w:rPr>
      </w:pPr>
      <w:bookmarkStart w:name="（3）收到的其他与投资活动有关的现金：无" w:id="208"/>
      <w:bookmarkEnd w:id="208"/>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）收到的其他与投资活动有关的现金：无</w:t>
      </w:r>
      <w:r>
        <w:rPr>
          <w:rFonts w:ascii="宋体" w:hAnsi="宋体" w:cs="宋体" w:eastAsia="宋体" w:hint="default"/>
          <w:b/>
          <w:bCs/>
          <w:w w:val="99"/>
          <w:sz w:val="18"/>
          <w:szCs w:val="18"/>
        </w:rPr>
        <w:t> </w:t>
      </w:r>
      <w:r>
        <w:rPr>
          <w:rFonts w:ascii="宋体" w:hAnsi="宋体" w:cs="宋体" w:eastAsia="宋体" w:hint="default"/>
          <w:sz w:val="18"/>
          <w:szCs w:val="18"/>
        </w:rPr>
        <w:t>收到的其他与投资活动有关的现金说明：无</w:t>
      </w:r>
    </w:p>
    <w:p>
      <w:pPr>
        <w:spacing w:line="590" w:lineRule="auto" w:before="113"/>
        <w:ind w:left="153" w:right="6250" w:firstLine="0"/>
        <w:jc w:val="left"/>
        <w:rPr>
          <w:rFonts w:ascii="宋体" w:hAnsi="宋体" w:cs="宋体" w:eastAsia="宋体" w:hint="default"/>
          <w:sz w:val="18"/>
          <w:szCs w:val="18"/>
        </w:rPr>
      </w:pPr>
      <w:bookmarkStart w:name="（4）支付的其他与投资活动有关的现金：无" w:id="209"/>
      <w:bookmarkEnd w:id="209"/>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）支付的其他与投资活动有关的现金：无</w:t>
      </w:r>
      <w:r>
        <w:rPr>
          <w:rFonts w:ascii="宋体" w:hAnsi="宋体" w:cs="宋体" w:eastAsia="宋体" w:hint="default"/>
          <w:b/>
          <w:bCs/>
          <w:w w:val="99"/>
          <w:sz w:val="18"/>
          <w:szCs w:val="18"/>
        </w:rPr>
        <w:t> </w:t>
      </w:r>
      <w:r>
        <w:rPr>
          <w:rFonts w:ascii="宋体" w:hAnsi="宋体" w:cs="宋体" w:eastAsia="宋体" w:hint="default"/>
          <w:sz w:val="18"/>
          <w:szCs w:val="18"/>
        </w:rPr>
        <w:t>支付的其他与投资活动有关的现金说明：无</w:t>
      </w:r>
    </w:p>
    <w:p>
      <w:pPr>
        <w:spacing w:line="590" w:lineRule="auto" w:before="113"/>
        <w:ind w:left="153" w:right="6250" w:firstLine="0"/>
        <w:jc w:val="left"/>
        <w:rPr>
          <w:rFonts w:ascii="宋体" w:hAnsi="宋体" w:cs="宋体" w:eastAsia="宋体" w:hint="default"/>
          <w:sz w:val="18"/>
          <w:szCs w:val="18"/>
        </w:rPr>
      </w:pPr>
      <w:bookmarkStart w:name="（5）收到的其他与筹资活动有关的现金：无" w:id="210"/>
      <w:bookmarkEnd w:id="210"/>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）收到的其他与筹资活动有关的现金：无</w:t>
      </w:r>
      <w:r>
        <w:rPr>
          <w:rFonts w:ascii="宋体" w:hAnsi="宋体" w:cs="宋体" w:eastAsia="宋体" w:hint="default"/>
          <w:b/>
          <w:bCs/>
          <w:w w:val="99"/>
          <w:sz w:val="18"/>
          <w:szCs w:val="18"/>
        </w:rPr>
        <w:t> </w:t>
      </w:r>
      <w:r>
        <w:rPr>
          <w:rFonts w:ascii="宋体" w:hAnsi="宋体" w:cs="宋体" w:eastAsia="宋体" w:hint="default"/>
          <w:sz w:val="18"/>
          <w:szCs w:val="18"/>
        </w:rPr>
        <w:t>收到的其他与筹资活动有关的现金说明：无</w:t>
      </w:r>
    </w:p>
    <w:p>
      <w:pPr>
        <w:pStyle w:val="Heading4"/>
        <w:spacing w:line="240" w:lineRule="auto" w:before="113"/>
        <w:ind w:left="153" w:right="0"/>
        <w:jc w:val="left"/>
        <w:rPr>
          <w:b w:val="0"/>
          <w:bCs w:val="0"/>
        </w:rPr>
      </w:pPr>
      <w:bookmarkStart w:name="（6）支付的其他与筹资活动有关的现金" w:id="211"/>
      <w:bookmarkEnd w:id="21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after="0" w:line="240" w:lineRule="auto"/>
        <w:jc w:val="right"/>
        <w:sectPr>
          <w:pgSz w:w="11910" w:h="16840"/>
          <w:pgMar w:header="851" w:footer="979" w:top="1320" w:bottom="1160" w:left="980" w:right="980"/>
        </w:sectPr>
      </w:pPr>
    </w:p>
    <w:p>
      <w:pPr>
        <w:spacing w:line="240" w:lineRule="auto" w:before="12"/>
        <w:rPr>
          <w:rFonts w:ascii="宋体" w:hAnsi="宋体" w:cs="宋体" w:eastAsia="宋体" w:hint="default"/>
          <w:sz w:val="7"/>
          <w:szCs w:val="7"/>
        </w:rPr>
      </w:pPr>
      <w:r>
        <w:rPr/>
        <w:pict>
          <v:group style="position:absolute;margin-left:223.339996pt;margin-top:420.669983pt;width:151.25pt;height:20.8pt;mso-position-horizontal-relative:page;mso-position-vertical-relative:page;z-index:-655000" coordorigin="4467,8413" coordsize="3025,416">
            <v:group style="position:absolute;left:4478;top:8425;width:2;height:393" coordorigin="4478,8425" coordsize="2,393">
              <v:shape style="position:absolute;left:4478;top:8425;width:2;height:393" coordorigin="4478,8425" coordsize="0,393" path="m4478,8425l4478,8817e" filled="false" stroked="true" strokeweight="1.140pt" strokecolor="#ffffff">
                <v:path arrowok="t"/>
              </v:shape>
            </v:group>
            <v:group style="position:absolute;left:4490;top:8425;width:3002;height:393" coordorigin="4490,8425" coordsize="3002,393">
              <v:shape style="position:absolute;left:4490;top:8425;width:3002;height:393" coordorigin="4490,8425" coordsize="3002,393" path="m4490,8817l7491,8817,7491,8425,4490,8425,4490,881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2,610,784.62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2,610,784.62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支付的其他与筹资活动有关的现金说明：无</w:t>
      </w:r>
    </w:p>
    <w:p>
      <w:pPr>
        <w:spacing w:line="240" w:lineRule="auto" w:before="0"/>
        <w:rPr>
          <w:rFonts w:ascii="宋体" w:hAnsi="宋体" w:cs="宋体" w:eastAsia="宋体" w:hint="default"/>
          <w:sz w:val="18"/>
          <w:szCs w:val="18"/>
        </w:rPr>
      </w:pPr>
    </w:p>
    <w:p>
      <w:pPr>
        <w:pStyle w:val="Heading4"/>
        <w:spacing w:line="240" w:lineRule="auto" w:before="141"/>
        <w:ind w:left="153" w:right="0"/>
        <w:jc w:val="left"/>
        <w:rPr>
          <w:b w:val="0"/>
          <w:bCs w:val="0"/>
        </w:rPr>
      </w:pPr>
      <w:bookmarkStart w:name="35、现金流量表补充资料" w:id="212"/>
      <w:bookmarkEnd w:id="212"/>
      <w:r>
        <w:rPr>
          <w:b w:val="0"/>
          <w:bCs w:val="0"/>
        </w:rPr>
      </w:r>
      <w:r>
        <w:rPr>
          <w:rFonts w:ascii="Times New Roman" w:hAnsi="Times New Roman" w:cs="Times New Roman" w:eastAsia="Times New Roman" w:hint="default"/>
        </w:rPr>
        <w:t>35</w:t>
      </w:r>
      <w:r>
        <w:rPr/>
        <w:t>、现金流量表补充资料</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53" w:right="0"/>
        <w:jc w:val="left"/>
        <w:rPr>
          <w:b w:val="0"/>
          <w:bCs w:val="0"/>
        </w:rPr>
      </w:pPr>
      <w:bookmarkStart w:name="（1）现金流量表补充资料" w:id="213"/>
      <w:bookmarkEnd w:id="21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3" w:right="0"/>
              <w:jc w:val="left"/>
              <w:rPr>
                <w:rFonts w:ascii="Times New Roman" w:hAnsi="Times New Roman" w:cs="Times New Roman" w:eastAsia="Times New Roman" w:hint="default"/>
                <w:sz w:val="18"/>
                <w:szCs w:val="18"/>
              </w:rPr>
            </w:pPr>
            <w:r>
              <w:rPr>
                <w:rFonts w:ascii="Times New Roman"/>
                <w:sz w:val="18"/>
              </w:rPr>
              <w:t>154,111,442.70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184,876,356.63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1,120,980.00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-91,422.49</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11,944,842.36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11,216,344.36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4,863,171.23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3,051,026.86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2,470,027.83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2,690,688.08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3,621.72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10,006.99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8" w:right="0"/>
              <w:jc w:val="left"/>
              <w:rPr>
                <w:rFonts w:ascii="Times New Roman" w:hAnsi="Times New Roman" w:cs="Times New Roman" w:eastAsia="Times New Roman" w:hint="default"/>
                <w:sz w:val="18"/>
                <w:szCs w:val="18"/>
              </w:rPr>
            </w:pPr>
            <w:r>
              <w:rPr>
                <w:rFonts w:ascii="Times New Roman"/>
                <w:sz w:val="18"/>
              </w:rPr>
              <w:t>-994,469.15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1,149,851.49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4,191,569.72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-345,131.33</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-42,040,760.88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-26,442,211.66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-28,861,529.15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69,022,936.47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106,808,896.38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245,138,445.40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996,505,294.07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1,020,954,639.41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1,020,954,639.41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862,816,904.44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-24,449,345.34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158,137,734.97</w:t>
            </w:r>
          </w:p>
        </w:tc>
      </w:tr>
    </w:tbl>
    <w:p>
      <w:pPr>
        <w:spacing w:line="240" w:lineRule="auto" w:before="6"/>
        <w:rPr>
          <w:rFonts w:ascii="宋体" w:hAnsi="宋体" w:cs="宋体" w:eastAsia="宋体" w:hint="default"/>
          <w:sz w:val="20"/>
          <w:szCs w:val="20"/>
        </w:rPr>
      </w:pPr>
    </w:p>
    <w:p>
      <w:pPr>
        <w:spacing w:line="592" w:lineRule="auto" w:before="44"/>
        <w:ind w:left="153" w:right="6250" w:firstLine="0"/>
        <w:jc w:val="left"/>
        <w:rPr>
          <w:rFonts w:ascii="宋体" w:hAnsi="宋体" w:cs="宋体" w:eastAsia="宋体" w:hint="default"/>
          <w:sz w:val="18"/>
          <w:szCs w:val="18"/>
        </w:rPr>
      </w:pPr>
      <w:bookmarkStart w:name="（2）本期支付的取得子公司的现金净额：无" w:id="214"/>
      <w:bookmarkEnd w:id="214"/>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）本期支付的取得子公司的现金净额：无</w:t>
      </w:r>
      <w:r>
        <w:rPr>
          <w:rFonts w:ascii="宋体" w:hAnsi="宋体" w:cs="宋体" w:eastAsia="宋体" w:hint="default"/>
          <w:b/>
          <w:bCs/>
          <w:w w:val="99"/>
          <w:sz w:val="18"/>
          <w:szCs w:val="18"/>
        </w:rPr>
        <w:t> </w:t>
      </w:r>
      <w:r>
        <w:rPr>
          <w:rFonts w:ascii="宋体" w:hAnsi="宋体" w:cs="宋体" w:eastAsia="宋体" w:hint="default"/>
          <w:sz w:val="18"/>
          <w:szCs w:val="18"/>
        </w:rPr>
        <w:t>其他说明：无</w:t>
      </w:r>
    </w:p>
    <w:p>
      <w:pPr>
        <w:spacing w:after="0" w:line="592" w:lineRule="auto"/>
        <w:jc w:val="left"/>
        <w:rPr>
          <w:rFonts w:ascii="宋体" w:hAnsi="宋体" w:cs="宋体" w:eastAsia="宋体" w:hint="default"/>
          <w:sz w:val="18"/>
          <w:szCs w:val="18"/>
        </w:rPr>
        <w:sectPr>
          <w:pgSz w:w="11910" w:h="16840"/>
          <w:pgMar w:header="851" w:footer="979" w:top="1320" w:bottom="1160" w:left="980" w:right="980"/>
        </w:sectPr>
      </w:pPr>
    </w:p>
    <w:p>
      <w:pPr>
        <w:spacing w:line="592" w:lineRule="auto" w:before="114"/>
        <w:ind w:left="153" w:right="6611" w:firstLine="0"/>
        <w:jc w:val="left"/>
        <w:rPr>
          <w:rFonts w:ascii="宋体" w:hAnsi="宋体" w:cs="宋体" w:eastAsia="宋体" w:hint="default"/>
          <w:sz w:val="18"/>
          <w:szCs w:val="18"/>
        </w:rPr>
      </w:pPr>
      <w:bookmarkStart w:name="（3）本期收到的处置子公司的现金净额" w:id="215"/>
      <w:bookmarkEnd w:id="215"/>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）本期收到的处置子公司的现金净额</w:t>
      </w:r>
      <w:r>
        <w:rPr>
          <w:rFonts w:ascii="宋体" w:hAnsi="宋体" w:cs="宋体" w:eastAsia="宋体" w:hint="default"/>
          <w:b/>
          <w:bCs/>
          <w:w w:val="99"/>
          <w:sz w:val="18"/>
          <w:szCs w:val="18"/>
        </w:rPr>
        <w:t> </w:t>
      </w:r>
      <w:r>
        <w:rPr>
          <w:rFonts w:ascii="宋体" w:hAnsi="宋体" w:cs="宋体" w:eastAsia="宋体" w:hint="default"/>
          <w:sz w:val="18"/>
          <w:szCs w:val="18"/>
        </w:rPr>
        <w:t>其他说明：无</w:t>
      </w:r>
    </w:p>
    <w:p>
      <w:pPr>
        <w:pStyle w:val="Heading4"/>
        <w:spacing w:line="240" w:lineRule="auto" w:before="111"/>
        <w:ind w:left="153" w:right="0"/>
        <w:jc w:val="left"/>
        <w:rPr>
          <w:b w:val="0"/>
          <w:bCs w:val="0"/>
        </w:rPr>
      </w:pPr>
      <w:bookmarkStart w:name="（4）现金和现金等价物的构成" w:id="216"/>
      <w:bookmarkEnd w:id="21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996,505,294.07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1,020,954,639.41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449,103.09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393,256.14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996,056,190.98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1,020,561,383.27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996,505,294.07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1,020,954,639.41</w:t>
            </w:r>
          </w:p>
        </w:tc>
      </w:tr>
    </w:tbl>
    <w:p>
      <w:pPr>
        <w:spacing w:line="624" w:lineRule="auto" w:before="51"/>
        <w:ind w:left="153" w:right="7514" w:firstLine="0"/>
        <w:jc w:val="left"/>
        <w:rPr>
          <w:rFonts w:ascii="宋体" w:hAnsi="宋体" w:cs="宋体" w:eastAsia="宋体" w:hint="default"/>
          <w:sz w:val="18"/>
          <w:szCs w:val="18"/>
        </w:rPr>
      </w:pPr>
      <w:r>
        <w:rPr>
          <w:rFonts w:ascii="宋体" w:hAnsi="宋体" w:cs="宋体" w:eastAsia="宋体" w:hint="default"/>
          <w:sz w:val="18"/>
          <w:szCs w:val="18"/>
        </w:rPr>
        <w:t>其他说明：无 </w:t>
      </w:r>
      <w:bookmarkStart w:name="八、合并范围的变更" w:id="217"/>
      <w:bookmarkEnd w:id="217"/>
      <w:r>
        <w:rPr>
          <w:rFonts w:ascii="宋体" w:hAnsi="宋体" w:cs="宋体" w:eastAsia="宋体" w:hint="default"/>
          <w:sz w:val="18"/>
          <w:szCs w:val="18"/>
        </w:rPr>
      </w:r>
      <w:r>
        <w:rPr>
          <w:rFonts w:ascii="宋体" w:hAnsi="宋体" w:cs="宋体" w:eastAsia="宋体" w:hint="default"/>
          <w:b/>
          <w:bCs/>
          <w:sz w:val="18"/>
          <w:szCs w:val="18"/>
        </w:rPr>
        <w:t>八、合并范围的变更</w:t>
      </w:r>
      <w:r>
        <w:rPr>
          <w:rFonts w:ascii="宋体" w:hAnsi="宋体" w:cs="宋体" w:eastAsia="宋体" w:hint="default"/>
          <w:b/>
          <w:bCs/>
          <w:w w:val="99"/>
          <w:sz w:val="18"/>
          <w:szCs w:val="18"/>
        </w:rPr>
        <w:t> </w:t>
      </w:r>
      <w:bookmarkStart w:name="1、其他原因的合并范围变动" w:id="218"/>
      <w:bookmarkEnd w:id="218"/>
      <w:r>
        <w:rPr>
          <w:rFonts w:ascii="宋体" w:hAnsi="宋体" w:cs="宋体" w:eastAsia="宋体" w:hint="default"/>
          <w:b/>
          <w:bCs/>
          <w:w w:val="99"/>
          <w:sz w:val="18"/>
          <w:szCs w:val="18"/>
        </w:rPr>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、其他原因的合并范围变动</w:t>
      </w:r>
      <w:r>
        <w:rPr>
          <w:rFonts w:ascii="宋体" w:hAnsi="宋体" w:cs="宋体" w:eastAsia="宋体" w:hint="default"/>
          <w:sz w:val="18"/>
          <w:szCs w:val="18"/>
        </w:rPr>
      </w:r>
    </w:p>
    <w:p>
      <w:pPr>
        <w:pStyle w:val="BodyText"/>
        <w:spacing w:line="338" w:lineRule="auto" w:before="45"/>
        <w:ind w:left="153" w:right="0"/>
        <w:jc w:val="left"/>
      </w:pPr>
      <w:r>
        <w:rPr/>
        <w:t>说明其他原因导致的合并范围变动（如，新设子公司、清算子公司等）及其相关情况： </w:t>
      </w:r>
      <w:r>
        <w:rPr>
          <w:spacing w:val="-2"/>
        </w:rPr>
        <w:t>报告期内，新纳入合并报表范围的有道格云商（湖南）贸易有限责任公司、芒果生活（湖南）电子商务有限责任公司，上海</w:t>
      </w:r>
      <w:r>
        <w:rPr>
          <w:spacing w:val="-70"/>
        </w:rPr>
        <w:t> </w:t>
      </w:r>
      <w:r>
        <w:rPr>
          <w:spacing w:val="-70"/>
        </w:rPr>
      </w:r>
      <w:r>
        <w:rPr/>
        <w:t>妈妈觅呀互娱网络科技有限公司，道格（上海）投资管理有限责任公司。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4"/>
        <w:ind w:left="153" w:right="0"/>
        <w:jc w:val="left"/>
        <w:rPr>
          <w:b w:val="0"/>
          <w:bCs w:val="0"/>
        </w:rPr>
      </w:pPr>
      <w:bookmarkStart w:name="九、在其他主体中的权益" w:id="219"/>
      <w:bookmarkEnd w:id="219"/>
      <w:r>
        <w:rPr>
          <w:b w:val="0"/>
          <w:bCs w:val="0"/>
        </w:rPr>
      </w:r>
      <w:r>
        <w:rPr/>
        <w:t>九、在其他主体中的权益</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53" w:right="0"/>
        <w:jc w:val="left"/>
        <w:rPr>
          <w:b w:val="0"/>
          <w:bCs w:val="0"/>
        </w:rPr>
      </w:pPr>
      <w:bookmarkStart w:name="1、在子公司中的权益" w:id="220"/>
      <w:bookmarkEnd w:id="22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53" w:right="0"/>
        <w:jc w:val="left"/>
        <w:rPr>
          <w:b w:val="0"/>
          <w:bCs w:val="0"/>
        </w:rPr>
      </w:pPr>
      <w:bookmarkStart w:name="（1）企业集团的构成" w:id="221"/>
      <w:bookmarkEnd w:id="22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137"/>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新媒体技术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主要从事商品销 售、会员经营及 网站推广业务， 通过互联网销售 商品实现收入、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9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上海快乐讯广告 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从事时尚产业， 制作</w:t>
            </w:r>
            <w:r>
              <w:rPr>
                <w:rFonts w:ascii="Times New Roman" w:hAnsi="Times New Roman" w:cs="Times New Roman" w:eastAsia="Times New Roman" w:hint="default"/>
                <w:sz w:val="18"/>
                <w:szCs w:val="18"/>
              </w:rPr>
              <w:t>"</w:t>
            </w:r>
            <w:r>
              <w:rPr>
                <w:rFonts w:ascii="宋体" w:hAnsi="宋体" w:cs="宋体" w:eastAsia="宋体" w:hint="default"/>
                <w:sz w:val="18"/>
                <w:szCs w:val="18"/>
              </w:rPr>
              <w:t>我是大美 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辣妈学院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等时尚类综艺节 目，通过在节目 中展示商品信息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r>
        <w:rPr/>
        <w:pict>
          <v:shape style="position:absolute;margin-left:324.399994pt;margin-top:286.819977pt;width:74.05pt;height:101.4pt;mso-position-horizontal-relative:page;mso-position-vertical-relative:page;z-index:-654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324.399994pt;margin-top:407.839996pt;width:74.05pt;height:101.45pt;mso-position-horizontal-relative:page;mso-position-vertical-relative:page;z-index:-654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w:t>
                  </w:r>
                </w:p>
              </w:txbxContent>
            </v:textbox>
            <w10:wrap type="none"/>
          </v:shape>
        </w:pict>
      </w:r>
      <w:r>
        <w:rPr/>
        <w:pict>
          <v:shape style="position:absolute;margin-left:92.343002pt;margin-top:509.73999pt;width:101.1pt;height:116pt;mso-position-horizontal-relative:page;mso-position-vertical-relative:page;z-index:-654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7"/>
                      <w:szCs w:val="17"/>
                    </w:rPr>
                  </w:pPr>
                </w:p>
                <w:p>
                  <w:pPr>
                    <w:pStyle w:val="BodyText"/>
                    <w:spacing w:line="240" w:lineRule="auto"/>
                    <w:ind w:left="0" w:right="0"/>
                    <w:jc w:val="left"/>
                  </w:pPr>
                  <w:r>
                    <w:rPr/>
                    <w:t>（湖南）</w:t>
                  </w:r>
                </w:p>
              </w:txbxContent>
            </v:textbox>
            <w10:wrap type="none"/>
          </v:shape>
        </w:pict>
      </w:r>
      <w:r>
        <w:rPr/>
        <w:pict>
          <v:shape style="position:absolute;margin-left:324.399994pt;margin-top:509.73999pt;width:74.05pt;height:116pt;mso-position-horizontal-relative:page;mso-position-vertical-relative:page;z-index:-654880" type="#_x0000_t202" filled="false" stroked="false">
            <v:textbox inset="0,0,0,0">
              <w:txbxContent>
                <w:p>
                  <w:pPr>
                    <w:pStyle w:val="BodyText"/>
                    <w:spacing w:line="240" w:lineRule="auto" w:before="51"/>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330.579987pt;margin-top:286.819977pt;width:67.9pt;height:101.4pt;mso-position-horizontal-relative:page;mso-position-vertical-relative:page;z-index:-654856" coordorigin="6612,5736" coordsize="1358,2028">
            <v:shape style="position:absolute;left:6612;top:5736;width:1358;height:2028" coordorigin="6612,5736" coordsize="1358,2028" path="m6612,7764l7969,7764,7969,5736,6612,5736,6612,7764xe" filled="true" fillcolor="#ffffff" stroked="false">
              <v:path arrowok="t"/>
              <v:fill type="solid"/>
            </v:shape>
            <w10:wrap type="none"/>
          </v:group>
        </w:pict>
      </w:r>
      <w:r>
        <w:rPr/>
        <w:pict>
          <v:group style="position:absolute;margin-left:330.579987pt;margin-top:407.839996pt;width:67.9pt;height:217.9pt;mso-position-horizontal-relative:page;mso-position-vertical-relative:page;z-index:-654832" coordorigin="6612,8157" coordsize="1358,4358">
            <v:group style="position:absolute;left:6612;top:8157;width:1358;height:2029" coordorigin="6612,8157" coordsize="1358,2029">
              <v:shape style="position:absolute;left:6612;top:8157;width:1358;height:2029" coordorigin="6612,8157" coordsize="1358,2029" path="m6612,10185l7969,10185,7969,8157,6612,8157,6612,10185xe" filled="true" fillcolor="#ffffff" stroked="false">
                <v:path arrowok="t"/>
                <v:fill type="solid"/>
              </v:shape>
            </v:group>
            <v:group style="position:absolute;left:6612;top:10195;width:1358;height:2320" coordorigin="6612,10195" coordsize="1358,2320">
              <v:shape style="position:absolute;left:6612;top:10195;width:1358;height:2320" coordorigin="6612,10195" coordsize="1358,2320" path="m6612,12514l7969,12514,7969,10195,6612,10195,6612,1251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将客户导流至网 站实现商品销售 收入。</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上海快乐购企业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25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2" w:right="77"/>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物流供应链渠道 设计及管理，经 济信息咨询，企 业管理咨询，搬 </w:t>
            </w:r>
            <w:r>
              <w:rPr>
                <w:rFonts w:ascii="宋体" w:hAnsi="宋体" w:cs="宋体" w:eastAsia="宋体" w:hint="default"/>
                <w:spacing w:val="-2"/>
                <w:sz w:val="18"/>
                <w:szCs w:val="18"/>
              </w:rPr>
              <w:t>运装卸服务。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w:t>
            </w:r>
            <w:r>
              <w:rPr>
                <w:rFonts w:ascii="宋体" w:hAnsi="宋体" w:cs="宋体" w:eastAsia="宋体" w:hint="default"/>
                <w:spacing w:val="-85"/>
                <w:sz w:val="18"/>
                <w:szCs w:val="18"/>
              </w:rPr>
              <w:t> </w:t>
            </w:r>
            <w:r>
              <w:rPr>
                <w:rFonts w:ascii="宋体" w:hAnsi="宋体" w:cs="宋体" w:eastAsia="宋体" w:hint="default"/>
                <w:sz w:val="18"/>
                <w:szCs w:val="18"/>
              </w:rPr>
              <w:t>上项目涉及行政 许可的凭许可证 经营</w:t>
            </w:r>
            <w:r>
              <w:rPr>
                <w:rFonts w:ascii="Times New Roman" w:hAnsi="Times New Roman" w:cs="Times New Roman" w:eastAsia="Times New Roman" w:hint="default"/>
                <w:sz w:val="18"/>
                <w:szCs w:val="18"/>
              </w:rPr>
              <w:t>)</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45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77"/>
              <w:jc w:val="both"/>
              <w:rPr>
                <w:rFonts w:ascii="宋体" w:hAnsi="宋体" w:cs="宋体" w:eastAsia="宋体" w:hint="default"/>
                <w:sz w:val="18"/>
                <w:szCs w:val="18"/>
              </w:rPr>
            </w:pPr>
            <w:r>
              <w:rPr>
                <w:rFonts w:ascii="宋体" w:hAnsi="宋体" w:cs="宋体" w:eastAsia="宋体" w:hint="default"/>
                <w:sz w:val="18"/>
                <w:szCs w:val="18"/>
              </w:rPr>
              <w:t>湖南快乐的狗汽 车文化传播有限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设计、制作、发 布、代理国内各 </w:t>
            </w:r>
            <w:r>
              <w:rPr>
                <w:rFonts w:ascii="宋体" w:hAnsi="宋体" w:cs="宋体" w:eastAsia="宋体" w:hint="default"/>
                <w:spacing w:val="-2"/>
                <w:sz w:val="18"/>
                <w:szCs w:val="18"/>
              </w:rPr>
              <w:t>广告；汽车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含小</w:t>
            </w:r>
            <w:r>
              <w:rPr>
                <w:rFonts w:ascii="宋体" w:hAnsi="宋体" w:cs="宋体" w:eastAsia="宋体" w:hint="default"/>
                <w:spacing w:val="-87"/>
                <w:sz w:val="18"/>
                <w:szCs w:val="18"/>
              </w:rPr>
              <w:t> </w:t>
            </w:r>
            <w:r>
              <w:rPr>
                <w:rFonts w:ascii="宋体" w:hAnsi="宋体" w:cs="宋体" w:eastAsia="宋体" w:hint="default"/>
                <w:sz w:val="18"/>
                <w:szCs w:val="18"/>
              </w:rPr>
              <w:t>轿车</w:t>
            </w:r>
            <w:r>
              <w:rPr>
                <w:rFonts w:ascii="Times New Roman" w:hAnsi="Times New Roman" w:cs="Times New Roman" w:eastAsia="Times New Roman" w:hint="default"/>
                <w:sz w:val="18"/>
                <w:szCs w:val="18"/>
              </w:rPr>
              <w:t>)</w:t>
            </w:r>
            <w:r>
              <w:rPr>
                <w:rFonts w:ascii="宋体" w:hAnsi="宋体" w:cs="宋体" w:eastAsia="宋体" w:hint="default"/>
                <w:sz w:val="18"/>
                <w:szCs w:val="18"/>
              </w:rPr>
              <w:t>、汽车配 </w:t>
            </w:r>
            <w:r>
              <w:rPr>
                <w:rFonts w:ascii="宋体" w:hAnsi="宋体" w:cs="宋体" w:eastAsia="宋体" w:hint="default"/>
                <w:spacing w:val="-6"/>
                <w:sz w:val="18"/>
                <w:szCs w:val="18"/>
              </w:rPr>
              <w:t>件、饰品的销售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企业营销策划、 品牌咨询服务、 商务活动策划、 包装设计、市场 调查咨询；工艺 </w:t>
            </w:r>
            <w:r>
              <w:rPr>
                <w:rFonts w:ascii="宋体" w:hAnsi="宋体" w:cs="宋体" w:eastAsia="宋体" w:hint="default"/>
                <w:spacing w:val="-6"/>
                <w:sz w:val="18"/>
                <w:szCs w:val="18"/>
              </w:rPr>
              <w:t>品的设计、制作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涉及行政许可 的凭许可证经 营</w:t>
            </w:r>
            <w:r>
              <w:rPr>
                <w:rFonts w:ascii="Times New Roman" w:hAnsi="Times New Roman" w:cs="Times New Roman" w:eastAsia="Times New Roman" w:hint="default"/>
                <w:sz w:val="18"/>
                <w:szCs w:val="18"/>
              </w:rPr>
              <w:t>)</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504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道格云商 贸易有限责任公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1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67.9pt;height:116pt;mso-position-horizontal-relative:char;mso-position-vertical-relative:line" coordorigin="0,0" coordsize="1358,2320">
                  <v:group style="position:absolute;left:0;top:0;width:1358;height:2320" coordorigin="0,0" coordsize="1358,2320">
                    <v:shape style="position:absolute;left:0;top:0;width:1358;height:2320" coordorigin="0,0" coordsize="1358,2320" path="m0,2320l1357,2320,1357,0,0,0,0,2320xe" filled="true" fillcolor="#ffffff" stroked="false">
                      <v:path arrowok="t"/>
                      <v:fill type="solid"/>
                    </v:shape>
                  </v:group>
                </v:group>
              </w:pict>
            </w:r>
            <w:r>
              <w:rPr>
                <w:rFonts w:ascii="Times New Roman" w:hAnsi="Times New Roman" w:cs="Times New Roman" w:eastAsia="Times New Roman" w:hint="default"/>
                <w:position w:val="-4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pacing w:val="-6"/>
                <w:sz w:val="18"/>
                <w:szCs w:val="18"/>
              </w:rPr>
              <w:t>化妆品、工艺品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日用百货、家用 </w:t>
            </w:r>
            <w:r>
              <w:rPr>
                <w:rFonts w:ascii="宋体" w:hAnsi="宋体" w:cs="宋体" w:eastAsia="宋体" w:hint="default"/>
                <w:spacing w:val="-6"/>
                <w:sz w:val="18"/>
                <w:szCs w:val="18"/>
              </w:rPr>
              <w:t>电器、橡胶制品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电子产品、五金 </w:t>
            </w:r>
            <w:r>
              <w:rPr>
                <w:rFonts w:ascii="宋体" w:hAnsi="宋体" w:cs="宋体" w:eastAsia="宋体" w:hint="default"/>
                <w:spacing w:val="-6"/>
                <w:sz w:val="18"/>
                <w:szCs w:val="18"/>
              </w:rPr>
              <w:t>交电、机械设备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针纺织品的销 售；自营和代理 各类商品和技术 的进出口，但国 家限定公司经营 或禁止进出口的 商品和技术除 外；投资管理、 资产管理、投资 咨询、旅游信息 咨询；市场营销</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r>
        <w:rPr/>
        <w:pict>
          <v:shape style="position:absolute;margin-left:324.399994pt;margin-top:72.47998pt;width:74.05pt;height:80.1pt;mso-position-horizontal-relative:page;mso-position-vertical-relative:page;z-index:-654784"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4.399994pt;margin-top:375.439972pt;width:74.05pt;height:202.85pt;mso-position-horizontal-relative:page;mso-position-vertical-relative:page;z-index:-654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6"/>
                      <w:szCs w:val="16"/>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shape style="position:absolute;margin-left:92.343002pt;margin-top:645.639954pt;width:101.1pt;height:45.8pt;mso-position-horizontal-relative:page;mso-position-vertical-relative:page;z-index:-654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0"/>
                      <w:szCs w:val="20"/>
                    </w:rPr>
                  </w:pPr>
                </w:p>
                <w:p>
                  <w:pPr>
                    <w:pStyle w:val="BodyText"/>
                    <w:spacing w:line="240" w:lineRule="auto"/>
                    <w:ind w:left="0" w:right="0"/>
                    <w:jc w:val="left"/>
                  </w:pPr>
                  <w:r>
                    <w:rPr/>
                    <w:t>（湖南）</w:t>
                  </w:r>
                </w:p>
              </w:txbxContent>
            </v:textbox>
            <w10:wrap type="none"/>
          </v:shape>
        </w:pict>
      </w:r>
      <w:r>
        <w:rPr/>
        <w:pict>
          <v:group style="position:absolute;margin-left:330.579987pt;margin-top:375.439972pt;width:67.9pt;height:202.85pt;mso-position-horizontal-relative:page;mso-position-vertical-relative:page;z-index:-654712" coordorigin="6612,7509" coordsize="1358,4057">
            <v:shape style="position:absolute;left:6612;top:7509;width:1358;height:4057" coordorigin="6612,7509" coordsize="1358,4057" path="m6612,11565l7969,11565,7969,7509,6612,7509,6612,11565xe" filled="true" fillcolor="#ffffff" stroked="false">
              <v:path arrowok="t"/>
              <v:fill type="solid"/>
            </v:shape>
            <w10:wrap type="none"/>
          </v:group>
        </w:pict>
      </w:r>
      <w:r>
        <w:rPr/>
        <w:pict>
          <v:group style="position:absolute;margin-left:125.540001pt;margin-top:645.639954pt;width:67.9pt;height:45.8pt;mso-position-horizontal-relative:page;mso-position-vertical-relative:page;z-index:-654688" coordorigin="2511,12913" coordsize="1358,916">
            <v:shape style="position:absolute;left:2511;top:12913;width:1358;height:916" coordorigin="2511,12913" coordsize="1358,916" path="m2511,13828l3868,13828,3868,12913,2511,12913,2511,1382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策划；会展服务</w:t>
            </w:r>
          </w:p>
        </w:tc>
        <w:tc>
          <w:tcPr>
            <w:tcW w:w="1367" w:type="dxa"/>
            <w:gridSpan w:val="2"/>
            <w:vMerge w:val="restart"/>
            <w:tcBorders>
              <w:top w:val="single" w:sz="4" w:space="0" w:color="000000"/>
              <w:left w:val="single" w:sz="4" w:space="0" w:color="000000"/>
              <w:right w:val="single" w:sz="4" w:space="0" w:color="000000"/>
            </w:tcBorders>
          </w:tcPr>
          <w:p>
            <w:pPr>
              <w:pStyle w:val="TableParagraph"/>
              <w:spacing w:line="16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67.9pt;height:80.1pt;mso-position-horizontal-relative:char;mso-position-vertical-relative:line" coordorigin="0,0" coordsize="1358,1602">
                  <v:group style="position:absolute;left:0;top:0;width:1358;height:1602" coordorigin="0,0" coordsize="1358,1602">
                    <v:shape style="position:absolute;left:0;top:0;width:1358;height:1602" coordorigin="0,0" coordsize="1358,1602" path="m0,1601l1357,1601,1357,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设计、制作、代</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理、发布国内各</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类广告；预包装</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食品的批发。</w:t>
            </w:r>
          </w:p>
        </w:tc>
        <w:tc>
          <w:tcPr>
            <w:tcW w:w="1367" w:type="dxa"/>
            <w:gridSpan w:val="2"/>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62"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Times New Roman" w:hAnsi="Times New Roman" w:cs="Times New Roman" w:eastAsia="Times New Roman" w:hint="default"/>
                <w:sz w:val="18"/>
                <w:szCs w:val="18"/>
              </w:rPr>
              <w:t>(</w:t>
            </w:r>
            <w:r>
              <w:rPr>
                <w:rFonts w:ascii="宋体" w:hAnsi="宋体" w:cs="宋体" w:eastAsia="宋体" w:hint="default"/>
                <w:sz w:val="18"/>
                <w:szCs w:val="18"/>
              </w:rPr>
              <w:t>除股</w:t>
            </w:r>
          </w:p>
        </w:tc>
        <w:tc>
          <w:tcPr>
            <w:tcW w:w="378" w:type="dxa"/>
            <w:tcBorders>
              <w:top w:val="single" w:sz="4" w:space="0" w:color="000000"/>
              <w:left w:val="single" w:sz="4" w:space="0" w:color="000000"/>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权及股权投资管</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、资产管理、</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投资咨询、旅游</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Times New Roman" w:hAnsi="Times New Roman" w:cs="Times New Roman" w:eastAsia="Times New Roman" w:hint="default"/>
                <w:sz w:val="18"/>
                <w:szCs w:val="18"/>
              </w:rPr>
              <w:t>(</w:t>
            </w:r>
            <w:r>
              <w:rPr>
                <w:rFonts w:ascii="宋体" w:hAnsi="宋体" w:cs="宋体" w:eastAsia="宋体" w:hint="default"/>
                <w:sz w:val="18"/>
                <w:szCs w:val="18"/>
              </w:rPr>
              <w:t>不得从事</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旅行社业务</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上咨询均除经</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纪</w:t>
            </w:r>
            <w:r>
              <w:rPr>
                <w:rFonts w:ascii="Times New Roman" w:hAnsi="Times New Roman" w:cs="Times New Roman" w:eastAsia="Times New Roman" w:hint="default"/>
                <w:sz w:val="18"/>
                <w:szCs w:val="18"/>
              </w:rPr>
              <w:t>)</w:t>
            </w:r>
            <w:r>
              <w:rPr>
                <w:rFonts w:ascii="宋体" w:hAnsi="宋体" w:cs="宋体" w:eastAsia="宋体" w:hint="default"/>
                <w:sz w:val="18"/>
                <w:szCs w:val="18"/>
              </w:rPr>
              <w:t>、市场营销策</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划、会展服务、</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广告的设计及制</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作；从事货物及</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技术的进出口业</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道格（上海）投</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务；转口贸易、</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资管理有限责任</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区内企业间贸易</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0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及区内贸易代</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理、批发非实物</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方式：预包装食</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r>
              <w:rPr>
                <w:rFonts w:ascii="Times New Roman" w:hAnsi="Times New Roman" w:cs="Times New Roman" w:eastAsia="Times New Roman" w:hint="default"/>
                <w:sz w:val="18"/>
                <w:szCs w:val="18"/>
              </w:rPr>
              <w:t>(</w:t>
            </w:r>
            <w:r>
              <w:rPr>
                <w:rFonts w:ascii="宋体" w:hAnsi="宋体" w:cs="宋体" w:eastAsia="宋体" w:hint="default"/>
                <w:sz w:val="18"/>
                <w:szCs w:val="18"/>
              </w:rPr>
              <w:t>含冷冻冷藏、</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不含熟食卤味</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化妆品、酒类、</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工艺品</w:t>
            </w:r>
            <w:r>
              <w:rPr>
                <w:rFonts w:ascii="Times New Roman" w:hAnsi="Times New Roman" w:cs="Times New Roman" w:eastAsia="Times New Roman" w:hint="default"/>
                <w:sz w:val="18"/>
                <w:szCs w:val="18"/>
              </w:rPr>
              <w:t>(</w:t>
            </w:r>
            <w:r>
              <w:rPr>
                <w:rFonts w:ascii="宋体" w:hAnsi="宋体" w:cs="宋体" w:eastAsia="宋体" w:hint="default"/>
                <w:sz w:val="18"/>
                <w:szCs w:val="18"/>
              </w:rPr>
              <w:t>除文物</w:t>
            </w:r>
            <w:r>
              <w:rPr>
                <w:rFonts w:ascii="Times New Roman" w:hAnsi="Times New Roman" w:cs="Times New Roman" w:eastAsia="Times New Roman" w:hint="default"/>
                <w:sz w:val="18"/>
                <w:szCs w:val="18"/>
              </w:rPr>
              <w:t>)</w:t>
            </w:r>
          </w:p>
        </w:tc>
        <w:tc>
          <w:tcPr>
            <w:tcW w:w="37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日用百货、家用</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电器、橡塑制品</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电子产品、五金</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交电、机械设备</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针纺织品的销</w:t>
            </w:r>
          </w:p>
        </w:tc>
        <w:tc>
          <w:tcPr>
            <w:tcW w:w="378" w:type="dxa"/>
            <w:tcBorders>
              <w:top w:val="nil" w:sz="6" w:space="0" w:color="auto"/>
              <w:left w:val="single" w:sz="4" w:space="0" w:color="000000"/>
              <w:bottom w:val="nil" w:sz="6" w:space="0" w:color="auto"/>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378" w:type="dxa"/>
            <w:tcBorders>
              <w:top w:val="nil" w:sz="6" w:space="0" w:color="auto"/>
              <w:left w:val="single" w:sz="4" w:space="0" w:color="000000"/>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上海妈妈觅呀互 娱网络科技有限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从事电视节目制 作，发展与节目 相关的新媒体及 达人业务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用电视频道和互</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0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联网产品、打造</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芒果生活</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快速连接线上线</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电子商务有限责</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6"/>
              <w:jc w:val="left"/>
              <w:rPr>
                <w:rFonts w:ascii="宋体" w:hAnsi="宋体" w:cs="宋体" w:eastAsia="宋体" w:hint="default"/>
                <w:sz w:val="18"/>
                <w:szCs w:val="18"/>
              </w:rPr>
            </w:pPr>
            <w:r>
              <w:rPr>
                <w:rFonts w:ascii="宋体" w:hAnsi="宋体" w:cs="宋体" w:eastAsia="宋体" w:hint="default"/>
                <w:sz w:val="18"/>
                <w:szCs w:val="18"/>
              </w:rPr>
              <w:t>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为湖南市场消费</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者提供生活资</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讯、商品服务及</w:t>
            </w:r>
          </w:p>
        </w:tc>
        <w:tc>
          <w:tcPr>
            <w:tcW w:w="1367" w:type="dxa"/>
            <w:gridSpan w:val="2"/>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互动社区等的生 活方式解决方案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189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6752"/>
        <w:jc w:val="left"/>
      </w:pPr>
      <w:r>
        <w:rPr/>
        <w:t>确定公司是代理人还是委托人的依据： 其他说明：</w:t>
      </w:r>
    </w:p>
    <w:p>
      <w:pPr>
        <w:spacing w:line="240" w:lineRule="auto" w:before="10"/>
        <w:rPr>
          <w:rFonts w:ascii="宋体" w:hAnsi="宋体" w:cs="宋体" w:eastAsia="宋体" w:hint="default"/>
          <w:sz w:val="21"/>
          <w:szCs w:val="21"/>
        </w:rPr>
      </w:pPr>
    </w:p>
    <w:p>
      <w:pPr>
        <w:pStyle w:val="Heading4"/>
        <w:spacing w:line="240" w:lineRule="auto" w:before="0"/>
        <w:ind w:right="5193"/>
        <w:jc w:val="left"/>
        <w:rPr>
          <w:b w:val="0"/>
          <w:bCs w:val="0"/>
        </w:rPr>
      </w:pPr>
      <w:bookmarkStart w:name="十、与金融工具相关的风险" w:id="222"/>
      <w:bookmarkEnd w:id="222"/>
      <w:r>
        <w:rPr>
          <w:b w:val="0"/>
          <w:bCs w:val="0"/>
        </w:rPr>
      </w:r>
      <w:r>
        <w:rPr/>
        <w:t>十、与金融工具相关的风险</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2"/>
        <w:ind w:right="101"/>
        <w:jc w:val="both"/>
      </w:pPr>
      <w:r>
        <w:rPr/>
        <w:t>本集团的金融资产主要包括现金及现金等价物、应收账款和其他应收款等。本集团的金融负债主要包括应付账款、</w:t>
      </w:r>
      <w:r>
        <w:rPr>
          <w:spacing w:val="-83"/>
        </w:rPr>
        <w:t> </w:t>
      </w:r>
      <w:r>
        <w:rPr>
          <w:spacing w:val="-83"/>
        </w:rPr>
      </w:r>
      <w:r>
        <w:rPr/>
        <w:t>其他应付款等。</w:t>
      </w:r>
    </w:p>
    <w:p>
      <w:pPr>
        <w:spacing w:line="240" w:lineRule="auto" w:before="4"/>
        <w:rPr>
          <w:rFonts w:ascii="宋体" w:hAnsi="宋体" w:cs="宋体" w:eastAsia="宋体" w:hint="default"/>
          <w:sz w:val="25"/>
          <w:szCs w:val="25"/>
        </w:rPr>
      </w:pPr>
    </w:p>
    <w:p>
      <w:pPr>
        <w:pStyle w:val="BodyText"/>
        <w:spacing w:line="240" w:lineRule="auto"/>
        <w:ind w:right="0"/>
        <w:jc w:val="both"/>
      </w:pPr>
      <w:r>
        <w:rPr/>
        <w:t>本集团金融工具的账面价值与其在各结算日的公允价值大致相等。</w:t>
      </w:r>
    </w:p>
    <w:p>
      <w:pPr>
        <w:spacing w:line="240" w:lineRule="auto" w:before="0"/>
        <w:rPr>
          <w:rFonts w:ascii="宋体" w:hAnsi="宋体" w:cs="宋体" w:eastAsia="宋体" w:hint="default"/>
          <w:sz w:val="18"/>
          <w:szCs w:val="18"/>
        </w:rPr>
      </w:pPr>
    </w:p>
    <w:p>
      <w:pPr>
        <w:pStyle w:val="Heading4"/>
        <w:spacing w:line="240" w:lineRule="auto" w:before="153"/>
        <w:ind w:left="874" w:right="0"/>
        <w:jc w:val="both"/>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风险管理目标和政策</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91"/>
        <w:jc w:val="both"/>
      </w:pPr>
      <w:r>
        <w:rPr>
          <w:spacing w:val="-2"/>
        </w:rPr>
        <w:t>本集团金融工具主要风险包括信用风险和流动风险。本集团管理层对这些风险敞口进行管理和监控以确保将上述风</w:t>
      </w:r>
      <w:r>
        <w:rPr>
          <w:spacing w:val="-72"/>
        </w:rPr>
        <w:t> </w:t>
      </w:r>
      <w:r>
        <w:rPr>
          <w:spacing w:val="-72"/>
        </w:rPr>
      </w:r>
      <w:r>
        <w:rPr/>
        <w:t>险控制在限定的范围之内。</w:t>
      </w:r>
    </w:p>
    <w:p>
      <w:pPr>
        <w:spacing w:line="240" w:lineRule="auto" w:before="4"/>
        <w:rPr>
          <w:rFonts w:ascii="宋体" w:hAnsi="宋体" w:cs="宋体" w:eastAsia="宋体" w:hint="default"/>
          <w:sz w:val="25"/>
          <w:szCs w:val="25"/>
        </w:rPr>
      </w:pPr>
    </w:p>
    <w:p>
      <w:pPr>
        <w:pStyle w:val="BodyText"/>
        <w:spacing w:line="319" w:lineRule="auto"/>
        <w:ind w:right="191"/>
        <w:jc w:val="both"/>
      </w:pPr>
      <w:r>
        <w:rPr>
          <w:spacing w:val="-2"/>
        </w:rPr>
        <w:t>本集团从事风险管理的目标是在风险和收益之间取得适当的平衡，将风险对本集团经营业绩的负面影响降低到最低</w:t>
      </w:r>
      <w:r>
        <w:rPr>
          <w:spacing w:val="-72"/>
        </w:rPr>
        <w:t> </w:t>
      </w:r>
      <w:r>
        <w:rPr>
          <w:spacing w:val="-72"/>
        </w:rPr>
      </w:r>
      <w:r>
        <w:rPr>
          <w:spacing w:val="-2"/>
        </w:rPr>
        <w:t>水平，使投资方的利益最大化。基于该风险管理目标，本集团风险管理的基本策略是确定和分析本集团所面临的各</w:t>
      </w:r>
      <w:r>
        <w:rPr>
          <w:spacing w:val="-74"/>
        </w:rPr>
        <w:t> </w:t>
      </w:r>
      <w:r>
        <w:rPr>
          <w:spacing w:val="-74"/>
        </w:rPr>
      </w:r>
      <w:r>
        <w:rPr>
          <w:spacing w:val="-2"/>
        </w:rPr>
        <w:t>种风险，建立适当的风险承受底线和进行风险管理，并及时可靠地对各种风险进行监督，将风险控制在限定的范围</w:t>
      </w:r>
      <w:r>
        <w:rPr>
          <w:spacing w:val="-74"/>
        </w:rPr>
        <w:t> </w:t>
      </w:r>
      <w:r>
        <w:rPr>
          <w:spacing w:val="-74"/>
        </w:rPr>
      </w:r>
      <w:r>
        <w:rPr/>
        <w:t>之内。</w:t>
      </w:r>
    </w:p>
    <w:p>
      <w:pPr>
        <w:spacing w:line="240" w:lineRule="auto" w:before="3"/>
        <w:rPr>
          <w:rFonts w:ascii="宋体" w:hAnsi="宋体" w:cs="宋体" w:eastAsia="宋体" w:hint="default"/>
          <w:sz w:val="24"/>
          <w:szCs w:val="24"/>
        </w:rPr>
      </w:pPr>
    </w:p>
    <w:p>
      <w:pPr>
        <w:spacing w:before="0"/>
        <w:ind w:left="874" w:right="0" w:firstLine="0"/>
        <w:jc w:val="both"/>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1.1.</w:t>
      </w:r>
      <w:r>
        <w:rPr>
          <w:rFonts w:ascii="Times New Roman" w:hAnsi="Times New Roman" w:cs="Times New Roman" w:eastAsia="Times New Roman" w:hint="default"/>
          <w:i/>
          <w:spacing w:val="-13"/>
          <w:sz w:val="18"/>
          <w:szCs w:val="18"/>
          <w:u w:val="single" w:color="000000"/>
        </w:rPr>
        <w:t> </w:t>
      </w:r>
      <w:r>
        <w:rPr>
          <w:rFonts w:ascii="宋体" w:hAnsi="宋体" w:cs="宋体" w:eastAsia="宋体" w:hint="default"/>
          <w:i/>
          <w:sz w:val="19"/>
          <w:szCs w:val="19"/>
          <w:u w:val="single" w:color="000000"/>
        </w:rPr>
        <w:t>信用风险</w:t>
      </w:r>
      <w:r>
        <w:rPr>
          <w:rFonts w:ascii="宋体" w:hAnsi="宋体" w:cs="宋体" w:eastAsia="宋体" w:hint="default"/>
          <w:i/>
          <w:sz w:val="19"/>
          <w:szCs w:val="19"/>
        </w:rPr>
      </w:r>
      <w:r>
        <w:rPr>
          <w:rFonts w:ascii="宋体" w:hAnsi="宋体" w:cs="宋体" w:eastAsia="宋体" w:hint="default"/>
          <w:sz w:val="19"/>
          <w:szCs w:val="19"/>
        </w:rPr>
      </w:r>
    </w:p>
    <w:p>
      <w:pPr>
        <w:spacing w:line="240" w:lineRule="auto" w:before="3"/>
        <w:rPr>
          <w:rFonts w:ascii="宋体" w:hAnsi="宋体" w:cs="宋体" w:eastAsia="宋体" w:hint="default"/>
          <w:i/>
          <w:sz w:val="25"/>
          <w:szCs w:val="25"/>
        </w:rPr>
      </w:pPr>
    </w:p>
    <w:p>
      <w:pPr>
        <w:pStyle w:val="BodyText"/>
        <w:spacing w:line="316" w:lineRule="auto" w:before="44"/>
        <w:ind w:right="190"/>
        <w:jc w:val="both"/>
      </w:pPr>
      <w:r>
        <w:rPr>
          <w:spacing w:val="-2"/>
        </w:rPr>
        <w:t>目前本集团产品主要通过中国邮政集团公司和各地方速递公司进行投递。由于货到付款仍然是绝大多数最终客户选</w:t>
      </w:r>
      <w:r>
        <w:rPr>
          <w:spacing w:val="-72"/>
        </w:rPr>
        <w:t> </w:t>
      </w:r>
      <w:r>
        <w:rPr>
          <w:spacing w:val="-72"/>
        </w:rPr>
      </w:r>
      <w:r>
        <w:rPr>
          <w:spacing w:val="-2"/>
        </w:rPr>
        <w:t>择的付款方式。因此本集团委托速递公司对货款进行收集，由此可能引起本集团财务损失的最大信用风险敞口主要</w:t>
      </w:r>
      <w:r>
        <w:rPr>
          <w:spacing w:val="-72"/>
        </w:rPr>
        <w:t> </w:t>
      </w:r>
      <w:r>
        <w:rPr>
          <w:spacing w:val="-72"/>
        </w:rPr>
      </w:r>
      <w:r>
        <w:rPr>
          <w:spacing w:val="-2"/>
        </w:rPr>
        <w:t>来自于速递公司未能履行义务支付货款而导致本集团金融资产产生的损失，即资产负债表中已确认之金融资产的账</w:t>
      </w:r>
      <w:r>
        <w:rPr>
          <w:spacing w:val="-72"/>
        </w:rPr>
        <w:t> </w:t>
      </w:r>
      <w:r>
        <w:rPr>
          <w:spacing w:val="-72"/>
        </w:rPr>
      </w:r>
      <w:r>
        <w:rPr>
          <w:spacing w:val="-2"/>
        </w:rPr>
        <w:t>面金额。另外，本集团亦从事部分集团客户业务，相关的信用风险敞口也来自于相关客户未能履行义务支付货款而</w:t>
      </w:r>
      <w:r>
        <w:rPr>
          <w:spacing w:val="-74"/>
        </w:rPr>
        <w:t> </w:t>
      </w:r>
      <w:r>
        <w:rPr>
          <w:spacing w:val="-74"/>
        </w:rPr>
      </w:r>
      <w:r>
        <w:rPr>
          <w:spacing w:val="-2"/>
        </w:rPr>
        <w:t>导致本集团金融资产产生的损失。为降低信用风险，本集团成立了一个小组负责评定速递公司资信状况确定信用额</w:t>
      </w:r>
      <w:r>
        <w:rPr>
          <w:spacing w:val="-72"/>
        </w:rPr>
        <w:t> </w:t>
      </w:r>
      <w:r>
        <w:rPr>
          <w:spacing w:val="-72"/>
        </w:rPr>
      </w:r>
      <w:r>
        <w:rPr>
          <w:spacing w:val="-2"/>
        </w:rPr>
        <w:t>度以及信用期、进行信用审批，并执行其他监控程序以确保采取必要的措施回收债权。此外，本集团于每个资产负</w:t>
      </w:r>
      <w:r>
        <w:rPr>
          <w:spacing w:val="-74"/>
        </w:rPr>
        <w:t> </w:t>
      </w:r>
      <w:r>
        <w:rPr>
          <w:spacing w:val="-74"/>
        </w:rPr>
      </w:r>
      <w:r>
        <w:rPr>
          <w:spacing w:val="-2"/>
        </w:rPr>
        <w:t>债表日审核每一单项应收款的回收情况，以确保就无法回收的款项计提充分的坏账准备。因此，本集团管理层认为</w:t>
      </w:r>
      <w:r>
        <w:rPr>
          <w:spacing w:val="-74"/>
        </w:rPr>
        <w:t> </w:t>
      </w:r>
      <w:r>
        <w:rPr>
          <w:spacing w:val="-74"/>
        </w:rPr>
      </w:r>
      <w:r>
        <w:rPr/>
        <w:t>本集团所承担的信用风险已经大为降低。</w:t>
      </w:r>
    </w:p>
    <w:p>
      <w:pPr>
        <w:spacing w:line="240" w:lineRule="auto" w:before="4"/>
        <w:rPr>
          <w:rFonts w:ascii="宋体" w:hAnsi="宋体" w:cs="宋体" w:eastAsia="宋体" w:hint="default"/>
          <w:sz w:val="25"/>
          <w:szCs w:val="25"/>
        </w:rPr>
      </w:pPr>
    </w:p>
    <w:p>
      <w:pPr>
        <w:pStyle w:val="BodyText"/>
        <w:spacing w:line="240" w:lineRule="auto"/>
        <w:ind w:right="92"/>
        <w:jc w:val="left"/>
      </w:pPr>
      <w:r>
        <w:rPr/>
        <w:t>本集团的流动资金存放在信用评级较高的银行，故流动资金的信用风险较低。</w:t>
      </w:r>
    </w:p>
    <w:p>
      <w:pPr>
        <w:spacing w:line="240" w:lineRule="auto" w:before="0"/>
        <w:rPr>
          <w:rFonts w:ascii="宋体" w:hAnsi="宋体" w:cs="宋体" w:eastAsia="宋体" w:hint="default"/>
          <w:sz w:val="18"/>
          <w:szCs w:val="18"/>
        </w:rPr>
      </w:pPr>
    </w:p>
    <w:p>
      <w:pPr>
        <w:pStyle w:val="BodyText"/>
        <w:spacing w:line="300" w:lineRule="auto" w:before="153"/>
        <w:ind w:right="92"/>
        <w:jc w:val="left"/>
      </w:pPr>
      <w:r>
        <w:rPr>
          <w:spacing w:val="-2"/>
        </w:rPr>
        <w:t>本集团采用了必要的政策确保所有速递公司和集团客户均具有良好的信用记录。</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日本集团的信用风险</w:t>
      </w:r>
      <w:r>
        <w:rPr>
          <w:spacing w:val="-64"/>
        </w:rPr>
        <w:t> </w:t>
      </w:r>
      <w:r>
        <w:rPr>
          <w:spacing w:val="-1"/>
        </w:rPr>
        <w:t>主要集中在对本集团的物流公司湖南省邮政速递物流有限公司的应收账款上，应收账款余额人民币</w:t>
      </w:r>
      <w:r>
        <w:rPr>
          <w:rFonts w:ascii="Times New Roman" w:hAnsi="Times New Roman" w:cs="Times New Roman" w:eastAsia="Times New Roman" w:hint="default"/>
          <w:spacing w:val="-1"/>
        </w:rPr>
        <w:t>8,272,413.94</w:t>
      </w:r>
      <w:r>
        <w:rPr>
          <w:spacing w:val="-1"/>
        </w:rPr>
        <w:t>元，</w:t>
      </w:r>
      <w:r>
        <w:rPr>
          <w:spacing w:val="-72"/>
        </w:rPr>
        <w:t> </w:t>
      </w:r>
      <w:r>
        <w:rPr/>
        <w:t>占本集团应收账款总额</w:t>
      </w:r>
      <w:r>
        <w:rPr>
          <w:rFonts w:ascii="Times New Roman" w:hAnsi="Times New Roman" w:cs="Times New Roman" w:eastAsia="Times New Roman" w:hint="default"/>
        </w:rPr>
        <w:t>31.56</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。以上款项均于期后一个月内收回。除下表所列项目外，本集团无其他重大信用集 中风险。</w:t>
      </w:r>
    </w:p>
    <w:p>
      <w:pPr>
        <w:spacing w:line="240" w:lineRule="auto" w:before="5"/>
        <w:rPr>
          <w:rFonts w:ascii="宋体" w:hAnsi="宋体" w:cs="宋体" w:eastAsia="宋体" w:hint="default"/>
          <w:sz w:val="25"/>
          <w:szCs w:val="25"/>
        </w:rPr>
      </w:pPr>
    </w:p>
    <w:p>
      <w:pPr>
        <w:spacing w:before="0"/>
        <w:ind w:left="874" w:right="5193" w:firstLine="0"/>
        <w:jc w:val="left"/>
        <w:rPr>
          <w:rFonts w:ascii="宋体" w:hAnsi="宋体" w:cs="宋体" w:eastAsia="宋体" w:hint="default"/>
          <w:sz w:val="19"/>
          <w:szCs w:val="19"/>
        </w:rPr>
      </w:pPr>
      <w:r>
        <w:rPr>
          <w:rFonts w:ascii="Times New Roman" w:hAnsi="Times New Roman" w:cs="Times New Roman" w:eastAsia="Times New Roman" w:hint="default"/>
          <w:i/>
          <w:sz w:val="18"/>
          <w:szCs w:val="18"/>
        </w:rPr>
      </w:r>
      <w:r>
        <w:rPr>
          <w:rFonts w:ascii="Times New Roman" w:hAnsi="Times New Roman" w:cs="Times New Roman" w:eastAsia="Times New Roman" w:hint="default"/>
          <w:i/>
          <w:sz w:val="18"/>
          <w:szCs w:val="18"/>
          <w:u w:val="single" w:color="000000"/>
        </w:rPr>
        <w:t>1.2.</w:t>
      </w:r>
      <w:r>
        <w:rPr>
          <w:rFonts w:ascii="Times New Roman" w:hAnsi="Times New Roman" w:cs="Times New Roman" w:eastAsia="Times New Roman" w:hint="default"/>
          <w:i/>
          <w:spacing w:val="-13"/>
          <w:sz w:val="18"/>
          <w:szCs w:val="18"/>
          <w:u w:val="single" w:color="000000"/>
        </w:rPr>
        <w:t> </w:t>
      </w:r>
      <w:r>
        <w:rPr>
          <w:rFonts w:ascii="宋体" w:hAnsi="宋体" w:cs="宋体" w:eastAsia="宋体" w:hint="default"/>
          <w:i/>
          <w:sz w:val="19"/>
          <w:szCs w:val="19"/>
          <w:u w:val="single" w:color="000000"/>
        </w:rPr>
        <w:t>流动风险</w:t>
      </w:r>
      <w:r>
        <w:rPr>
          <w:rFonts w:ascii="宋体" w:hAnsi="宋体" w:cs="宋体" w:eastAsia="宋体" w:hint="default"/>
          <w:i/>
          <w:sz w:val="19"/>
          <w:szCs w:val="19"/>
        </w:rPr>
      </w:r>
      <w:r>
        <w:rPr>
          <w:rFonts w:ascii="宋体" w:hAnsi="宋体" w:cs="宋体" w:eastAsia="宋体" w:hint="default"/>
          <w:sz w:val="19"/>
          <w:szCs w:val="19"/>
        </w:rPr>
      </w:r>
    </w:p>
    <w:p>
      <w:pPr>
        <w:spacing w:after="0"/>
        <w:jc w:val="left"/>
        <w:rPr>
          <w:rFonts w:ascii="宋体" w:hAnsi="宋体" w:cs="宋体" w:eastAsia="宋体" w:hint="default"/>
          <w:sz w:val="19"/>
          <w:szCs w:val="19"/>
        </w:rPr>
        <w:sectPr>
          <w:footerReference w:type="default" r:id="rId21"/>
          <w:pgSz w:w="11910" w:h="16840"/>
          <w:pgMar w:footer="979" w:header="851" w:top="1320" w:bottom="1160" w:left="980" w:right="940"/>
        </w:sectPr>
      </w:pPr>
    </w:p>
    <w:p>
      <w:pPr>
        <w:spacing w:line="240" w:lineRule="auto" w:before="3"/>
        <w:rPr>
          <w:rFonts w:ascii="宋体" w:hAnsi="宋体" w:cs="宋体" w:eastAsia="宋体" w:hint="default"/>
          <w:i/>
          <w:sz w:val="29"/>
          <w:szCs w:val="29"/>
        </w:rPr>
      </w:pPr>
    </w:p>
    <w:p>
      <w:pPr>
        <w:pStyle w:val="BodyText"/>
        <w:spacing w:line="316" w:lineRule="auto" w:before="44"/>
        <w:ind w:left="694" w:right="0" w:firstLine="20"/>
        <w:jc w:val="left"/>
      </w:pPr>
      <w:r>
        <w:rPr/>
        <w:t>管理流动风险时，本集团保持管理层认为充分的现金和现金等价物并对其进行监控，以满足本集团经营需要，并降</w:t>
      </w:r>
      <w:r>
        <w:rPr>
          <w:spacing w:val="-47"/>
        </w:rPr>
        <w:t> </w:t>
      </w:r>
      <w:r>
        <w:rPr>
          <w:spacing w:val="-47"/>
        </w:rPr>
      </w:r>
      <w:r>
        <w:rPr/>
        <w:t>低现金流量波动的影响。本集团管理层认为公司不存在重大流动性风险。</w:t>
      </w:r>
      <w:r>
        <w:rPr/>
        <w:t> 本集团持有的金融资产和金融负债按未折现剩作合同义务的到期期限分析如下：</w:t>
      </w:r>
    </w:p>
    <w:p>
      <w:pPr>
        <w:pStyle w:val="BodyText"/>
        <w:spacing w:line="240" w:lineRule="auto" w:before="19"/>
        <w:ind w:left="0" w:right="2049"/>
        <w:jc w:val="right"/>
      </w:pPr>
      <w:r>
        <w:rPr/>
        <w:t>单位：人民币元</w:t>
      </w:r>
    </w:p>
    <w:p>
      <w:pPr>
        <w:spacing w:line="240" w:lineRule="auto" w:before="1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016"/>
        <w:gridCol w:w="1738"/>
        <w:gridCol w:w="1595"/>
        <w:gridCol w:w="1594"/>
        <w:gridCol w:w="1210"/>
        <w:gridCol w:w="1506"/>
      </w:tblGrid>
      <w:tr>
        <w:trPr>
          <w:trHeight w:val="334" w:hRule="exact"/>
        </w:trPr>
        <w:tc>
          <w:tcPr>
            <w:tcW w:w="20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3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159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3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59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w:t>
            </w:r>
            <w:r>
              <w:rPr>
                <w:rFonts w:ascii="宋体" w:hAnsi="宋体" w:cs="宋体" w:eastAsia="宋体" w:hint="default"/>
                <w:sz w:val="18"/>
                <w:szCs w:val="18"/>
              </w:rPr>
              <w:t>个月</w:t>
            </w:r>
          </w:p>
        </w:tc>
        <w:tc>
          <w:tcPr>
            <w:tcW w:w="12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50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47" w:hRule="exact"/>
        </w:trPr>
        <w:tc>
          <w:tcPr>
            <w:tcW w:w="20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435" w:right="0"/>
              <w:jc w:val="left"/>
              <w:rPr>
                <w:rFonts w:ascii="Times New Roman" w:hAnsi="Times New Roman" w:cs="Times New Roman" w:eastAsia="Times New Roman" w:hint="default"/>
                <w:sz w:val="18"/>
                <w:szCs w:val="18"/>
              </w:rPr>
            </w:pPr>
            <w:r>
              <w:rPr>
                <w:rFonts w:ascii="Times New Roman"/>
                <w:sz w:val="18"/>
              </w:rPr>
              <w:t>238,042,247.91</w:t>
            </w:r>
          </w:p>
        </w:tc>
        <w:tc>
          <w:tcPr>
            <w:tcW w:w="159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79,983,467.40</w:t>
            </w:r>
          </w:p>
        </w:tc>
        <w:tc>
          <w:tcPr>
            <w:tcW w:w="15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43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2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43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0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5" w:right="0"/>
              <w:jc w:val="left"/>
              <w:rPr>
                <w:rFonts w:ascii="Times New Roman" w:hAnsi="Times New Roman" w:cs="Times New Roman" w:eastAsia="Times New Roman" w:hint="default"/>
                <w:sz w:val="18"/>
                <w:szCs w:val="18"/>
              </w:rPr>
            </w:pPr>
            <w:r>
              <w:rPr>
                <w:rFonts w:ascii="Times New Roman"/>
                <w:sz w:val="18"/>
              </w:rPr>
              <w:t>15,395,743.22</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6" w:right="0"/>
              <w:jc w:val="left"/>
              <w:rPr>
                <w:rFonts w:ascii="Times New Roman" w:hAnsi="Times New Roman" w:cs="Times New Roman" w:eastAsia="Times New Roman" w:hint="default"/>
                <w:sz w:val="18"/>
                <w:szCs w:val="18"/>
              </w:rPr>
            </w:pPr>
            <w:r>
              <w:rPr>
                <w:rFonts w:ascii="Times New Roman"/>
                <w:sz w:val="18"/>
              </w:rPr>
              <w:t>7,238,993.05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5" w:right="0"/>
              <w:jc w:val="left"/>
              <w:rPr>
                <w:rFonts w:ascii="Times New Roman" w:hAnsi="Times New Roman" w:cs="Times New Roman" w:eastAsia="Times New Roman" w:hint="default"/>
                <w:sz w:val="18"/>
                <w:szCs w:val="18"/>
              </w:rPr>
            </w:pPr>
            <w:r>
              <w:rPr>
                <w:rFonts w:ascii="Times New Roman"/>
                <w:sz w:val="18"/>
              </w:rPr>
              <w:t>7,336,732.37</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0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27,611,498.96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19,587,693.32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5" w:right="0"/>
              <w:jc w:val="left"/>
              <w:rPr>
                <w:rFonts w:ascii="Times New Roman" w:hAnsi="Times New Roman" w:cs="Times New Roman" w:eastAsia="Times New Roman" w:hint="default"/>
                <w:sz w:val="18"/>
                <w:szCs w:val="18"/>
              </w:rPr>
            </w:pPr>
            <w:r>
              <w:rPr>
                <w:rFonts w:ascii="Times New Roman"/>
                <w:sz w:val="18"/>
              </w:rPr>
              <w:t>10,341,132.15</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240" w:lineRule="auto"/>
        <w:ind w:left="153" w:right="0"/>
        <w:jc w:val="left"/>
        <w:rPr>
          <w:b w:val="0"/>
          <w:bCs w:val="0"/>
        </w:rPr>
      </w:pPr>
      <w:bookmarkStart w:name="十一、关联方及关联交易" w:id="223"/>
      <w:bookmarkEnd w:id="223"/>
      <w:r>
        <w:rPr>
          <w:b w:val="0"/>
          <w:bCs w:val="0"/>
        </w:rPr>
      </w:r>
      <w:r>
        <w:rPr/>
        <w:t>十一、关联方及关联交易</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53" w:right="0"/>
        <w:jc w:val="left"/>
        <w:rPr>
          <w:b w:val="0"/>
          <w:bCs w:val="0"/>
        </w:rPr>
      </w:pPr>
      <w:r>
        <w:rPr/>
        <w:pict>
          <v:group style="position:absolute;margin-left:296.140015pt;margin-top:73.411743pt;width:79.2pt;height:31.2pt;mso-position-horizontal-relative:page;mso-position-vertical-relative:paragraph;z-index:-654664" coordorigin="5923,1468" coordsize="1584,624">
            <v:shape style="position:absolute;left:5923;top:1468;width:1584;height:624" coordorigin="5923,1468" coordsize="1584,624" path="m5923,2092l7507,2092,7507,1468,5923,1468,5923,2092xe" filled="true" fillcolor="#ffffff" stroked="false">
              <v:path arrowok="t"/>
              <v:fill type="solid"/>
            </v:shape>
            <w10:wrap type="none"/>
          </v:group>
        </w:pict>
      </w:r>
      <w:bookmarkStart w:name="1、本企业的母公司情况" w:id="224"/>
      <w:bookmarkEnd w:id="22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96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9" w:lineRule="auto"/>
              <w:ind w:left="22"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芒果传媒有限公司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原快乐金鹰投资控 股有限公司</w:t>
            </w:r>
            <w:r>
              <w:rPr>
                <w:rFonts w:ascii="Times New Roman" w:hAnsi="Times New Roman" w:cs="Times New Roman" w:eastAsia="Times New Roman"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59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39"/>
              <w:jc w:val="left"/>
              <w:rPr>
                <w:rFonts w:ascii="宋体" w:hAnsi="宋体" w:cs="宋体" w:eastAsia="宋体" w:hint="default"/>
                <w:sz w:val="18"/>
                <w:szCs w:val="18"/>
              </w:rPr>
            </w:pPr>
            <w:r>
              <w:rPr>
                <w:rFonts w:ascii="宋体" w:hAnsi="宋体" w:cs="宋体" w:eastAsia="宋体" w:hint="default"/>
                <w:sz w:val="18"/>
                <w:szCs w:val="18"/>
              </w:rPr>
              <w:t>广播电视节目策划 </w:t>
            </w:r>
            <w:r>
              <w:rPr>
                <w:rFonts w:ascii="宋体" w:hAnsi="宋体" w:cs="宋体" w:eastAsia="宋体" w:hint="default"/>
                <w:spacing w:val="-10"/>
                <w:sz w:val="18"/>
                <w:szCs w:val="18"/>
              </w:rPr>
              <w:t>制作、经营；法律法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规允许的资产管理 </w:t>
            </w:r>
            <w:r>
              <w:rPr>
                <w:rFonts w:ascii="宋体" w:hAnsi="宋体" w:cs="宋体" w:eastAsia="宋体" w:hint="default"/>
                <w:spacing w:val="-3"/>
                <w:sz w:val="18"/>
                <w:szCs w:val="18"/>
              </w:rPr>
              <w:t>与投资；广告策划、</w:t>
            </w:r>
            <w:r>
              <w:rPr>
                <w:rFonts w:ascii="宋体" w:hAnsi="宋体" w:cs="宋体" w:eastAsia="宋体" w:hint="default"/>
                <w:spacing w:val="-26"/>
                <w:sz w:val="18"/>
                <w:szCs w:val="18"/>
              </w:rPr>
              <w:t> </w:t>
            </w:r>
            <w:r>
              <w:rPr>
                <w:rFonts w:ascii="宋体" w:hAnsi="宋体" w:cs="宋体" w:eastAsia="宋体" w:hint="default"/>
                <w:spacing w:val="-10"/>
                <w:sz w:val="18"/>
                <w:szCs w:val="18"/>
              </w:rPr>
              <w:t>制作、经营；国内商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品贸易。</w:t>
            </w:r>
          </w:p>
        </w:tc>
        <w:tc>
          <w:tcPr>
            <w:tcW w:w="15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2"/>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16"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13" w:right="0"/>
              <w:jc w:val="left"/>
              <w:rPr>
                <w:rFonts w:ascii="Times New Roman" w:hAnsi="Times New Roman" w:cs="Times New Roman" w:eastAsia="Times New Roman" w:hint="default"/>
                <w:sz w:val="18"/>
                <w:szCs w:val="18"/>
              </w:rPr>
            </w:pPr>
            <w:r>
              <w:rPr>
                <w:rFonts w:ascii="Times New Roman"/>
                <w:sz w:val="18"/>
              </w:rPr>
              <w:t>54.11%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12" w:right="0"/>
              <w:jc w:val="left"/>
              <w:rPr>
                <w:rFonts w:ascii="Times New Roman" w:hAnsi="Times New Roman" w:cs="Times New Roman" w:eastAsia="Times New Roman" w:hint="default"/>
                <w:sz w:val="18"/>
                <w:szCs w:val="18"/>
              </w:rPr>
            </w:pPr>
            <w:r>
              <w:rPr>
                <w:rFonts w:ascii="Times New Roman"/>
                <w:sz w:val="18"/>
              </w:rPr>
              <w:t>54.11%</w:t>
            </w:r>
          </w:p>
        </w:tc>
      </w:tr>
    </w:tbl>
    <w:p>
      <w:pPr>
        <w:pStyle w:val="BodyText"/>
        <w:spacing w:line="240" w:lineRule="auto" w:before="51"/>
        <w:ind w:left="154" w:right="0"/>
        <w:jc w:val="left"/>
      </w:pPr>
      <w:r>
        <w:rPr/>
        <w:pict>
          <v:group style="position:absolute;margin-left:297.279999pt;margin-top:-49.358288pt;width:76.95pt;height:17.6pt;mso-position-horizontal-relative:page;mso-position-vertical-relative:paragraph;z-index:-654640" coordorigin="5946,-987" coordsize="1539,352">
            <v:shape style="position:absolute;left:5946;top:-987;width:1539;height:352" coordorigin="5946,-987" coordsize="1539,352" path="m5946,-636l7484,-636,7484,-987,5946,-987,5946,-636xe" filled="true" fillcolor="#ffffff" stroked="false">
              <v:path arrowok="t"/>
              <v:fill type="solid"/>
            </v:shape>
            <w10:wrap type="none"/>
          </v:group>
        </w:pict>
      </w:r>
      <w:r>
        <w:rPr/>
        <w:t>本企业的母公司情况的说明</w:t>
      </w:r>
    </w:p>
    <w:p>
      <w:pPr>
        <w:pStyle w:val="BodyText"/>
        <w:spacing w:line="307" w:lineRule="auto" w:before="115"/>
        <w:ind w:left="274" w:right="148"/>
        <w:jc w:val="left"/>
      </w:pPr>
      <w:r>
        <w:rPr/>
        <w:t>芒果传媒有限公司</w:t>
      </w:r>
      <w:r>
        <w:rPr>
          <w:rFonts w:ascii="Times New Roman" w:hAnsi="Times New Roman" w:cs="Times New Roman" w:eastAsia="Times New Roman" w:hint="default"/>
        </w:rPr>
        <w:t>(</w:t>
      </w:r>
      <w:r>
        <w:rPr/>
        <w:t>原名快乐金鹰投资控股有限公司</w:t>
      </w:r>
      <w:r>
        <w:rPr>
          <w:rFonts w:ascii="Times New Roman" w:hAnsi="Times New Roman" w:cs="Times New Roman" w:eastAsia="Times New Roman" w:hint="default"/>
        </w:rPr>
        <w:t>)</w:t>
      </w:r>
      <w:r>
        <w:rPr/>
        <w:t>持有本公司</w:t>
      </w:r>
      <w:r>
        <w:rPr>
          <w:rFonts w:ascii="Times New Roman" w:hAnsi="Times New Roman" w:cs="Times New Roman" w:eastAsia="Times New Roman" w:hint="default"/>
        </w:rPr>
        <w:t>54.11%</w:t>
      </w:r>
      <w:r>
        <w:rPr/>
        <w:t>的股份，成立于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日，注册资本</w:t>
      </w:r>
      <w:r>
        <w:rPr>
          <w:rFonts w:ascii="Times New Roman" w:hAnsi="Times New Roman" w:cs="Times New Roman" w:eastAsia="Times New Roman" w:hint="default"/>
        </w:rPr>
        <w:t>105,000 </w:t>
      </w:r>
      <w:r>
        <w:rPr>
          <w:spacing w:val="-3"/>
        </w:rPr>
        <w:t>万元，实收资本</w:t>
      </w:r>
      <w:r>
        <w:rPr>
          <w:rFonts w:ascii="Times New Roman" w:hAnsi="Times New Roman" w:cs="Times New Roman" w:eastAsia="Times New Roman" w:hint="default"/>
          <w:spacing w:val="-3"/>
        </w:rPr>
        <w:t>105,000</w:t>
      </w:r>
      <w:r>
        <w:rPr>
          <w:spacing w:val="-3"/>
        </w:rPr>
        <w:t>万元，注册地址及主要经营地为长沙市开福区金鹰影视文化城。湖南广播电视台持有芒果传媒</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4"/>
        </w:rPr>
        <w:t> </w:t>
      </w:r>
      <w:r>
        <w:rPr>
          <w:spacing w:val="-4"/>
        </w:rPr>
        <w:t>的股权。芒果传媒主营业务为广播电视节目策划、制作、经营；法律法规允许的资产管理与投资；广告策划、制作、经营；</w:t>
      </w:r>
      <w:r>
        <w:rPr>
          <w:spacing w:val="-77"/>
        </w:rPr>
        <w:t> </w:t>
      </w:r>
      <w:r>
        <w:rPr>
          <w:spacing w:val="-77"/>
        </w:rPr>
      </w:r>
      <w:r>
        <w:rPr/>
        <w:t>多媒体技术开发、经营；国内商品贸易。</w:t>
      </w:r>
    </w:p>
    <w:p>
      <w:pPr>
        <w:pStyle w:val="BodyText"/>
        <w:spacing w:line="360" w:lineRule="auto" w:before="67"/>
        <w:ind w:left="154" w:right="6712"/>
        <w:jc w:val="left"/>
      </w:pPr>
      <w:r>
        <w:rPr/>
        <w:t>本企业最终控制方是湖南广播电视台。 其他说明：无</w:t>
      </w:r>
    </w:p>
    <w:p>
      <w:pPr>
        <w:spacing w:line="240" w:lineRule="auto" w:before="10"/>
        <w:rPr>
          <w:rFonts w:ascii="宋体" w:hAnsi="宋体" w:cs="宋体" w:eastAsia="宋体" w:hint="default"/>
          <w:sz w:val="21"/>
          <w:szCs w:val="21"/>
        </w:rPr>
      </w:pPr>
    </w:p>
    <w:p>
      <w:pPr>
        <w:spacing w:line="590" w:lineRule="auto" w:before="0"/>
        <w:ind w:left="153" w:right="6970" w:firstLine="0"/>
        <w:jc w:val="left"/>
        <w:rPr>
          <w:rFonts w:ascii="宋体" w:hAnsi="宋体" w:cs="宋体" w:eastAsia="宋体" w:hint="default"/>
          <w:sz w:val="18"/>
          <w:szCs w:val="18"/>
        </w:rPr>
      </w:pPr>
      <w:bookmarkStart w:name="2、本企业的子公司情况" w:id="225"/>
      <w:bookmarkEnd w:id="225"/>
      <w:r>
        <w:rPr/>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、本企业的子公司情况</w:t>
      </w:r>
      <w:r>
        <w:rPr>
          <w:rFonts w:ascii="宋体" w:hAnsi="宋体" w:cs="宋体" w:eastAsia="宋体" w:hint="default"/>
          <w:b/>
          <w:bCs/>
          <w:w w:val="99"/>
          <w:sz w:val="18"/>
          <w:szCs w:val="18"/>
        </w:rPr>
        <w:t> </w:t>
      </w:r>
      <w:r>
        <w:rPr>
          <w:rFonts w:ascii="宋体" w:hAnsi="宋体" w:cs="宋体" w:eastAsia="宋体" w:hint="default"/>
          <w:sz w:val="18"/>
          <w:szCs w:val="18"/>
        </w:rPr>
        <w:t>本企业子公司的情况详见九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其他关联方情况" w:id="226"/>
      <w:bookmarkEnd w:id="226"/>
      <w:r>
        <w:rPr>
          <w:rFonts w:ascii="宋体" w:hAnsi="宋体" w:cs="宋体" w:eastAsia="宋体" w:hint="default"/>
          <w:sz w:val="18"/>
          <w:szCs w:val="18"/>
        </w:rPr>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、其他关联方情况</w:t>
      </w:r>
      <w:r>
        <w:rPr>
          <w:rFonts w:ascii="宋体" w:hAnsi="宋体" w:cs="宋体" w:eastAsia="宋体" w:hint="default"/>
          <w:sz w:val="18"/>
          <w:szCs w:val="18"/>
        </w:rPr>
      </w:r>
    </w:p>
    <w:p>
      <w:pPr>
        <w:spacing w:line="240" w:lineRule="auto" w:before="10"/>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湖南广播影视物业管理中心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湖南广电移动电视有限责任公司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湖南有线长沙网络有限公司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bl>
    <w:p>
      <w:pPr>
        <w:spacing w:after="0" w:line="240" w:lineRule="auto"/>
        <w:jc w:val="left"/>
        <w:rPr>
          <w:rFonts w:ascii="宋体" w:hAnsi="宋体" w:cs="宋体" w:eastAsia="宋体" w:hint="default"/>
          <w:sz w:val="18"/>
          <w:szCs w:val="18"/>
        </w:rPr>
        <w:sectPr>
          <w:footerReference w:type="default" r:id="rId22"/>
          <w:pgSz w:w="11910" w:h="16840"/>
          <w:pgMar w:footer="979" w:header="851" w:top="1320" w:bottom="1160" w:left="980" w:right="980"/>
          <w:pgNumType w:start="101"/>
        </w:sectPr>
      </w:pPr>
    </w:p>
    <w:p>
      <w:pPr>
        <w:spacing w:line="240" w:lineRule="auto" w:before="12"/>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湖南省有线电视网络</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湖南有线衡阳网络有限公司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湖南有线长途传输有限公司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湖南有线邵阳网络有限公司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湖南有线永州网络有线公司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bl>
    <w:p>
      <w:pPr>
        <w:pStyle w:val="BodyText"/>
        <w:spacing w:line="240" w:lineRule="auto" w:before="51"/>
        <w:ind w:left="154" w:right="0"/>
        <w:jc w:val="left"/>
      </w:pPr>
      <w:r>
        <w:rPr/>
        <w:t>其他说明：无</w:t>
      </w:r>
    </w:p>
    <w:p>
      <w:pPr>
        <w:spacing w:line="240" w:lineRule="auto" w:before="0"/>
        <w:rPr>
          <w:rFonts w:ascii="宋体" w:hAnsi="宋体" w:cs="宋体" w:eastAsia="宋体" w:hint="default"/>
          <w:sz w:val="18"/>
          <w:szCs w:val="18"/>
        </w:rPr>
      </w:pPr>
    </w:p>
    <w:p>
      <w:pPr>
        <w:pStyle w:val="Heading4"/>
        <w:spacing w:line="240" w:lineRule="auto" w:before="141"/>
        <w:ind w:left="153" w:right="0"/>
        <w:jc w:val="left"/>
        <w:rPr>
          <w:b w:val="0"/>
          <w:bCs w:val="0"/>
        </w:rPr>
      </w:pPr>
      <w:bookmarkStart w:name="4、关联交易情况" w:id="227"/>
      <w:bookmarkEnd w:id="227"/>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购销商品、提供和接受劳务的关联交易" w:id="228"/>
      <w:bookmarkEnd w:id="22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53"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19,889,229.57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17,333,333.36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湖南有线长沙网络有限公司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湖南有线长途传输有限公司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湖南广电移动电视有限责任公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湖南有线衡阳网络有限公司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165,000.00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湖南省有线电视网络</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 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湖南有线邵阳网络有限公司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116,666.61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83,333.39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湖南有线永州网络有限公司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提供劳务情况表：无</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38" w:lineRule="auto" w:before="51"/>
        <w:ind w:left="153" w:right="0"/>
        <w:jc w:val="left"/>
      </w:pPr>
      <w:r>
        <w:rPr/>
        <w:t>购销商品、提供和接受劳务的关联交易说明 </w:t>
      </w:r>
      <w:r>
        <w:rPr>
          <w:spacing w:val="-2"/>
        </w:rPr>
        <w:t>根据公司与湖南广播电视台协议，公司向湖南广播电视台支付入网合作费；根据与湖南广电下属网络公司协议，公司向各网</w:t>
      </w:r>
      <w:r>
        <w:rPr>
          <w:spacing w:val="-66"/>
        </w:rPr>
        <w:t> </w:t>
      </w:r>
      <w:r>
        <w:rPr>
          <w:spacing w:val="-66"/>
        </w:rPr>
      </w:r>
      <w:r>
        <w:rPr>
          <w:spacing w:val="-2"/>
        </w:rPr>
        <w:t>络公司支付节目传输费。根据相关协议约定，本公司预计</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日后</w:t>
      </w:r>
      <w:r>
        <w:rPr>
          <w:rFonts w:ascii="Times New Roman" w:hAnsi="Times New Roman" w:cs="Times New Roman" w:eastAsia="Times New Roman" w:hint="default"/>
          <w:spacing w:val="-2"/>
        </w:rPr>
        <w:t>1</w:t>
      </w:r>
      <w:r>
        <w:rPr>
          <w:spacing w:val="-2"/>
        </w:rPr>
        <w:t>年内、</w:t>
      </w:r>
      <w:r>
        <w:rPr>
          <w:rFonts w:ascii="Times New Roman" w:hAnsi="Times New Roman" w:cs="Times New Roman" w:eastAsia="Times New Roman" w:hint="default"/>
          <w:spacing w:val="-2"/>
        </w:rPr>
        <w:t>2</w:t>
      </w:r>
      <w:r>
        <w:rPr>
          <w:spacing w:val="-2"/>
        </w:rPr>
        <w:t>年内以及以后年度，将支付的入网合作</w:t>
      </w:r>
    </w:p>
    <w:p>
      <w:pPr>
        <w:pStyle w:val="BodyText"/>
        <w:spacing w:line="230" w:lineRule="exact"/>
        <w:ind w:left="153" w:right="0"/>
        <w:jc w:val="left"/>
      </w:pPr>
      <w:r>
        <w:rPr/>
        <w:t>费和节目传输费分别为：人民币</w:t>
      </w:r>
      <w:r>
        <w:rPr>
          <w:rFonts w:ascii="Times New Roman" w:hAnsi="Times New Roman" w:cs="Times New Roman" w:eastAsia="Times New Roman" w:hint="default"/>
        </w:rPr>
        <w:t>20,883,333.33</w:t>
      </w:r>
      <w:r>
        <w:rPr/>
        <w:t>元，人民币</w:t>
      </w:r>
      <w:r>
        <w:rPr>
          <w:rFonts w:ascii="Times New Roman" w:hAnsi="Times New Roman" w:cs="Times New Roman" w:eastAsia="Times New Roman" w:hint="default"/>
        </w:rPr>
        <w:t>22,962,500.00</w:t>
      </w:r>
      <w:r>
        <w:rPr/>
        <w:t>元，人民币</w:t>
      </w:r>
      <w:r>
        <w:rPr>
          <w:rFonts w:ascii="Times New Roman" w:hAnsi="Times New Roman" w:cs="Times New Roman" w:eastAsia="Times New Roman" w:hint="default"/>
        </w:rPr>
        <w:t>58,875,000.00</w:t>
      </w:r>
      <w:r>
        <w:rPr/>
        <w:t>元。</w:t>
      </w:r>
    </w:p>
    <w:p>
      <w:pPr>
        <w:spacing w:line="240" w:lineRule="auto" w:before="0"/>
        <w:rPr>
          <w:rFonts w:ascii="宋体" w:hAnsi="宋体" w:cs="宋体" w:eastAsia="宋体" w:hint="default"/>
          <w:sz w:val="18"/>
          <w:szCs w:val="18"/>
        </w:rPr>
      </w:pPr>
    </w:p>
    <w:p>
      <w:pPr>
        <w:pStyle w:val="Heading4"/>
        <w:spacing w:line="240" w:lineRule="auto" w:before="128"/>
        <w:ind w:left="153" w:right="0"/>
        <w:jc w:val="left"/>
        <w:rPr>
          <w:b w:val="0"/>
          <w:bCs w:val="0"/>
        </w:rPr>
      </w:pPr>
      <w:bookmarkStart w:name="（2）关联租赁情况" w:id="229"/>
      <w:bookmarkEnd w:id="229"/>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54" w:right="0"/>
        <w:jc w:val="left"/>
      </w:pPr>
      <w:r>
        <w:rPr/>
        <w:t>本公司作为出租方：无</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54" w:right="0"/>
        <w:jc w:val="left"/>
      </w:pPr>
      <w:r>
        <w:rPr/>
        <w:t>本公司作为承租方：</w:t>
      </w:r>
    </w:p>
    <w:p>
      <w:pPr>
        <w:spacing w:after="0" w:line="240" w:lineRule="auto"/>
        <w:jc w:val="left"/>
        <w:sectPr>
          <w:pgSz w:w="11910" w:h="16840"/>
          <w:pgMar w:header="851" w:footer="979" w:top="1320" w:bottom="1160" w:left="980" w:right="980"/>
        </w:sectPr>
      </w:pPr>
    </w:p>
    <w:p>
      <w:pPr>
        <w:pStyle w:val="BodyText"/>
        <w:spacing w:line="240" w:lineRule="auto" w:before="116"/>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湖南广播影视物业管理中心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2,963,315.60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1,760,376.00</w:t>
            </w:r>
          </w:p>
        </w:tc>
      </w:tr>
    </w:tbl>
    <w:p>
      <w:pPr>
        <w:pStyle w:val="BodyText"/>
        <w:spacing w:line="338" w:lineRule="auto" w:before="51"/>
        <w:ind w:left="153" w:right="143"/>
        <w:jc w:val="left"/>
      </w:pPr>
      <w:r>
        <w:rPr/>
        <w:t>关联租赁情况说明： </w:t>
      </w:r>
      <w:r>
        <w:rPr>
          <w:spacing w:val="-2"/>
        </w:rPr>
        <w:t>湖南广播影视物业管理中心承诺本公司享有长期租赁使用现有办公和节目制作场地之权利。根据相关协议规定的费率，场地</w:t>
      </w:r>
      <w:r>
        <w:rPr>
          <w:spacing w:val="-64"/>
        </w:rPr>
        <w:t> </w:t>
      </w:r>
      <w:r>
        <w:rPr>
          <w:spacing w:val="-64"/>
        </w:rPr>
      </w:r>
      <w:r>
        <w:rPr/>
        <w:t>面积及其它相关约定，本公司预计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日后</w:t>
      </w:r>
      <w:r>
        <w:rPr>
          <w:rFonts w:ascii="Times New Roman" w:hAnsi="Times New Roman" w:cs="Times New Roman" w:eastAsia="Times New Roman" w:hint="default"/>
        </w:rPr>
        <w:t>1</w:t>
      </w:r>
      <w:r>
        <w:rPr/>
        <w:t>年内、</w:t>
      </w:r>
      <w:r>
        <w:rPr>
          <w:rFonts w:ascii="Times New Roman" w:hAnsi="Times New Roman" w:cs="Times New Roman" w:eastAsia="Times New Roman" w:hint="default"/>
        </w:rPr>
        <w:t>2</w:t>
      </w:r>
      <w:r>
        <w:rPr/>
        <w:t>年内及</w:t>
      </w:r>
      <w:r>
        <w:rPr>
          <w:rFonts w:ascii="Times New Roman" w:hAnsi="Times New Roman" w:cs="Times New Roman" w:eastAsia="Times New Roman" w:hint="default"/>
        </w:rPr>
        <w:t>3</w:t>
      </w:r>
      <w:r>
        <w:rPr/>
        <w:t>年内，将支付的租赁及物业管理费用分别为：人民币</w:t>
      </w:r>
    </w:p>
    <w:p>
      <w:pPr>
        <w:pStyle w:val="BodyText"/>
        <w:spacing w:line="230" w:lineRule="exact"/>
        <w:ind w:left="153" w:right="0"/>
        <w:jc w:val="left"/>
      </w:pPr>
      <w:r>
        <w:rPr>
          <w:rFonts w:ascii="Times New Roman" w:hAnsi="Times New Roman" w:cs="Times New Roman" w:eastAsia="Times New Roman" w:hint="default"/>
        </w:rPr>
        <w:t>2,256,035.10</w:t>
      </w:r>
      <w:r>
        <w:rPr/>
        <w:t>元，人民币</w:t>
      </w:r>
      <w:r>
        <w:rPr>
          <w:rFonts w:ascii="Times New Roman" w:hAnsi="Times New Roman" w:cs="Times New Roman" w:eastAsia="Times New Roman" w:hint="default"/>
        </w:rPr>
        <w:t>2,312,217.60</w:t>
      </w:r>
      <w:r>
        <w:rPr/>
        <w:t>元，人民币</w:t>
      </w:r>
      <w:r>
        <w:rPr>
          <w:rFonts w:ascii="Times New Roman" w:hAnsi="Times New Roman" w:cs="Times New Roman" w:eastAsia="Times New Roman" w:hint="default"/>
        </w:rPr>
        <w:t>963,424.00</w:t>
      </w:r>
      <w:r>
        <w:rPr/>
        <w:t>元。租赁期限从</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2018</w:t>
      </w:r>
      <w:r>
        <w:rPr/>
        <w:t>年。公司将该项租赁作为经营租赁处</w:t>
      </w:r>
    </w:p>
    <w:p>
      <w:pPr>
        <w:pStyle w:val="BodyText"/>
        <w:spacing w:line="240" w:lineRule="auto" w:before="63"/>
        <w:ind w:left="153" w:right="0"/>
        <w:jc w:val="left"/>
      </w:pPr>
      <w:r>
        <w:rPr/>
        <w:t>理，租赁费用计入当期损益。</w:t>
      </w:r>
    </w:p>
    <w:p>
      <w:pPr>
        <w:spacing w:line="240" w:lineRule="auto" w:before="0"/>
        <w:rPr>
          <w:rFonts w:ascii="宋体" w:hAnsi="宋体" w:cs="宋体" w:eastAsia="宋体" w:hint="default"/>
          <w:sz w:val="18"/>
          <w:szCs w:val="18"/>
        </w:rPr>
      </w:pPr>
    </w:p>
    <w:p>
      <w:pPr>
        <w:pStyle w:val="Heading4"/>
        <w:spacing w:line="240" w:lineRule="auto" w:before="142"/>
        <w:ind w:left="153" w:right="0"/>
        <w:jc w:val="left"/>
        <w:rPr>
          <w:b w:val="0"/>
          <w:bCs w:val="0"/>
        </w:rPr>
      </w:pPr>
      <w:bookmarkStart w:name="（3）关键管理人员报酬" w:id="230"/>
      <w:bookmarkEnd w:id="230"/>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11,139,709.57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11,433,574.38</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5、关联方应收应付款项" w:id="231"/>
      <w:bookmarkEnd w:id="231"/>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53" w:right="0"/>
        <w:jc w:val="left"/>
        <w:rPr>
          <w:b w:val="0"/>
          <w:bCs w:val="0"/>
        </w:rPr>
      </w:pPr>
      <w:bookmarkStart w:name="（1）应收项目" w:id="232"/>
      <w:bookmarkEnd w:id="23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湖南有线长沙网络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188,679.25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湖南有线衡阳网络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湖南有线长途传输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599,371.01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湖南广电移动电视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173,333.48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湖南有线邵阳网络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116,666.61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湖南省有线电视网 </w:t>
            </w:r>
            <w:r>
              <w:rPr>
                <w:rFonts w:ascii="宋体" w:hAnsi="宋体" w:cs="宋体" w:eastAsia="宋体" w:hint="default"/>
                <w:spacing w:val="-10"/>
                <w:sz w:val="18"/>
                <w:szCs w:val="18"/>
              </w:rPr>
              <w:t>络（集团）股份有限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141,509.43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湖南有线永州网络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70,754.73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pStyle w:val="Heading4"/>
        <w:spacing w:line="240" w:lineRule="auto" w:before="116"/>
        <w:ind w:right="0"/>
        <w:jc w:val="left"/>
        <w:rPr>
          <w:b w:val="0"/>
          <w:bCs w:val="0"/>
        </w:rPr>
      </w:pPr>
      <w:bookmarkStart w:name="（2）应付项目" w:id="233"/>
      <w:bookmarkEnd w:id="23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湖南广电移动电视有限责任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93,333.33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湖南广播影视物业管理中心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150,670.30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4,196,082.20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4,196,082.20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15,279,166.67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14,062,499.95</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十二、承诺及或有事项" w:id="234"/>
      <w:bookmarkEnd w:id="234"/>
      <w:r>
        <w:rPr>
          <w:b w:val="0"/>
          <w:bCs w:val="0"/>
        </w:rPr>
      </w:r>
      <w:r>
        <w:rPr/>
        <w:t>十二、承诺及或有事项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53" w:right="0"/>
        <w:jc w:val="left"/>
        <w:rPr>
          <w:b w:val="0"/>
          <w:bCs w:val="0"/>
        </w:rPr>
      </w:pPr>
      <w:bookmarkStart w:name="1、重要承诺事项" w:id="235"/>
      <w:bookmarkEnd w:id="23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51" w:footer="979" w:top="1320" w:bottom="1160" w:left="980" w:right="980"/>
        </w:sectPr>
      </w:pPr>
    </w:p>
    <w:p>
      <w:pPr>
        <w:pStyle w:val="BodyText"/>
        <w:spacing w:line="357" w:lineRule="auto" w:before="44"/>
        <w:ind w:left="424" w:right="-20"/>
        <w:jc w:val="left"/>
      </w:pPr>
      <w:r>
        <w:rPr/>
        <w:t>资产负债表日存在的重要承诺 至各资产负债表日止，本集团重大资本承诺情况如下：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ind w:left="423" w:right="0"/>
        <w:jc w:val="left"/>
      </w:pPr>
      <w:r>
        <w:rPr/>
        <w:t>单位：人民币千元</w:t>
      </w:r>
    </w:p>
    <w:p>
      <w:pPr>
        <w:spacing w:after="0" w:line="240" w:lineRule="auto"/>
        <w:jc w:val="left"/>
        <w:sectPr>
          <w:type w:val="continuous"/>
          <w:pgSz w:w="11910" w:h="16840"/>
          <w:pgMar w:top="1320" w:bottom="1160" w:left="980" w:right="980"/>
          <w:cols w:num="2" w:equalWidth="0">
            <w:col w:w="4745" w:space="3185"/>
            <w:col w:w="2020"/>
          </w:cols>
        </w:sectPr>
      </w:pP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597"/>
        <w:gridCol w:w="1713"/>
        <w:gridCol w:w="1712"/>
        <w:gridCol w:w="1737"/>
        <w:gridCol w:w="1669"/>
      </w:tblGrid>
      <w:tr>
        <w:trPr>
          <w:trHeight w:val="336" w:hRule="exact"/>
        </w:trPr>
        <w:tc>
          <w:tcPr>
            <w:tcW w:w="259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7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665" w:hRule="exact"/>
        </w:trPr>
        <w:tc>
          <w:tcPr>
            <w:tcW w:w="25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26"/>
              <w:ind w:left="2" w:right="3"/>
              <w:jc w:val="left"/>
              <w:rPr>
                <w:rFonts w:ascii="宋体" w:hAnsi="宋体" w:cs="宋体" w:eastAsia="宋体" w:hint="default"/>
                <w:sz w:val="18"/>
                <w:szCs w:val="18"/>
              </w:rPr>
            </w:pPr>
            <w:r>
              <w:rPr>
                <w:rFonts w:ascii="宋体" w:hAnsi="宋体" w:cs="宋体" w:eastAsia="宋体" w:hint="default"/>
                <w:spacing w:val="3"/>
                <w:sz w:val="18"/>
                <w:szCs w:val="18"/>
              </w:rPr>
              <w:t>已签约但尚未于财务报表中确认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的项目服务合同</w:t>
            </w:r>
          </w:p>
        </w:tc>
        <w:tc>
          <w:tcPr>
            <w:tcW w:w="171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2,932</w:t>
            </w:r>
          </w:p>
        </w:tc>
        <w:tc>
          <w:tcPr>
            <w:tcW w:w="171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5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2,932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1"/>
          <w:szCs w:val="21"/>
        </w:rPr>
      </w:pPr>
    </w:p>
    <w:p>
      <w:pPr>
        <w:pStyle w:val="BodyText"/>
        <w:spacing w:line="300" w:lineRule="auto" w:before="44"/>
        <w:ind w:left="513" w:right="113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日资本承诺为已签约但尚未于财务报表中确认的供应链项目合同和公司信息系统服务合同。 至各资产负债表日止，本集团对外签订的不可撤销的经营租赁合约情况如下：</w:t>
      </w:r>
    </w:p>
    <w:p>
      <w:pPr>
        <w:pStyle w:val="BodyText"/>
        <w:spacing w:line="240" w:lineRule="auto" w:before="31"/>
        <w:ind w:left="0" w:right="150"/>
        <w:jc w:val="right"/>
      </w:pPr>
      <w:r>
        <w:rPr/>
        <w:t>单位：人民币千元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991"/>
        <w:gridCol w:w="2834"/>
        <w:gridCol w:w="2834"/>
      </w:tblGrid>
      <w:tr>
        <w:trPr>
          <w:trHeight w:val="347" w:hRule="exact"/>
        </w:trPr>
        <w:tc>
          <w:tcPr>
            <w:tcW w:w="399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8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7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7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399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13,757</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3,476</w:t>
            </w:r>
          </w:p>
        </w:tc>
      </w:tr>
      <w:tr>
        <w:trPr>
          <w:trHeight w:val="347" w:hRule="exact"/>
        </w:trPr>
        <w:tc>
          <w:tcPr>
            <w:tcW w:w="399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15,127</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1,164</w:t>
            </w:r>
          </w:p>
        </w:tc>
      </w:tr>
      <w:tr>
        <w:trPr>
          <w:trHeight w:val="347" w:hRule="exact"/>
        </w:trPr>
        <w:tc>
          <w:tcPr>
            <w:tcW w:w="399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12,028</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477</w:t>
            </w:r>
          </w:p>
        </w:tc>
      </w:tr>
      <w:tr>
        <w:trPr>
          <w:trHeight w:val="347" w:hRule="exact"/>
        </w:trPr>
        <w:tc>
          <w:tcPr>
            <w:tcW w:w="399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22,360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714</w:t>
            </w:r>
          </w:p>
        </w:tc>
      </w:tr>
      <w:tr>
        <w:trPr>
          <w:trHeight w:val="348" w:hRule="exact"/>
        </w:trPr>
        <w:tc>
          <w:tcPr>
            <w:tcW w:w="399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63,272</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5,831</w:t>
            </w:r>
          </w:p>
        </w:tc>
      </w:tr>
    </w:tbl>
    <w:p>
      <w:pPr>
        <w:spacing w:line="240" w:lineRule="auto" w:before="3"/>
        <w:rPr>
          <w:rFonts w:ascii="宋体" w:hAnsi="宋体" w:cs="宋体" w:eastAsia="宋体" w:hint="default"/>
          <w:sz w:val="21"/>
          <w:szCs w:val="21"/>
        </w:rPr>
      </w:pPr>
    </w:p>
    <w:p>
      <w:pPr>
        <w:pStyle w:val="BodyText"/>
        <w:spacing w:line="316" w:lineRule="auto" w:before="44"/>
        <w:ind w:left="154" w:right="0" w:firstLine="360"/>
        <w:jc w:val="left"/>
      </w:pPr>
      <w:r>
        <w:rPr>
          <w:spacing w:val="-2"/>
        </w:rPr>
        <w:t>经营租赁费系租赁湖南广播影视物业管理中心办公及节目制作场所的费用，以及各子公司租赁办公场所及仓储设施的费</w:t>
      </w:r>
      <w:r>
        <w:rPr/>
        <w:t> 用。</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320" w:bottom="1160" w:left="980" w:right="980"/>
        </w:sectPr>
      </w:pPr>
    </w:p>
    <w:p>
      <w:pPr>
        <w:pStyle w:val="BodyText"/>
        <w:spacing w:line="316" w:lineRule="auto" w:before="44"/>
        <w:ind w:left="513" w:right="-19"/>
        <w:jc w:val="left"/>
      </w:pPr>
      <w:r>
        <w:rPr/>
        <w:t>其他承诺事项 入网合作费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513" w:right="0"/>
        <w:jc w:val="left"/>
      </w:pPr>
      <w:r>
        <w:rPr/>
        <w:t>单位：人民币千元</w:t>
      </w:r>
    </w:p>
    <w:p>
      <w:pPr>
        <w:spacing w:after="0" w:line="240" w:lineRule="auto"/>
        <w:jc w:val="left"/>
        <w:sectPr>
          <w:type w:val="continuous"/>
          <w:pgSz w:w="11910" w:h="16840"/>
          <w:pgMar w:top="1320" w:bottom="1160" w:left="980" w:right="980"/>
          <w:cols w:num="2" w:equalWidth="0">
            <w:col w:w="1595" w:space="6245"/>
            <w:col w:w="2110"/>
          </w:cols>
        </w:sectPr>
      </w:pP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011"/>
        <w:gridCol w:w="2824"/>
        <w:gridCol w:w="2824"/>
      </w:tblGrid>
      <w:tr>
        <w:trPr>
          <w:trHeight w:val="347" w:hRule="exact"/>
        </w:trPr>
        <w:tc>
          <w:tcPr>
            <w:tcW w:w="4011" w:type="dxa"/>
            <w:tcBorders>
              <w:top w:val="single" w:sz="6" w:space="0" w:color="000000"/>
              <w:left w:val="single" w:sz="6" w:space="0" w:color="000000"/>
              <w:bottom w:val="single" w:sz="6" w:space="0" w:color="000000"/>
              <w:right w:val="single" w:sz="6" w:space="0" w:color="000000"/>
            </w:tcBorders>
            <w:shd w:val="clear" w:color="auto" w:fill="CCCCCC"/>
          </w:tcPr>
          <w:p>
            <w:pPr/>
          </w:p>
        </w:tc>
        <w:tc>
          <w:tcPr>
            <w:tcW w:w="28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7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8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7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401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66,577</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87,032</w:t>
            </w:r>
          </w:p>
        </w:tc>
      </w:tr>
      <w:tr>
        <w:trPr>
          <w:trHeight w:val="348" w:hRule="exact"/>
        </w:trPr>
        <w:tc>
          <w:tcPr>
            <w:tcW w:w="401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37,758</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70,124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20" w:bottom="1160" w:left="980" w:right="980"/>
        </w:sectPr>
      </w:pP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011"/>
        <w:gridCol w:w="2824"/>
        <w:gridCol w:w="2824"/>
      </w:tblGrid>
      <w:tr>
        <w:trPr>
          <w:trHeight w:val="341" w:hRule="exact"/>
        </w:trPr>
        <w:tc>
          <w:tcPr>
            <w:tcW w:w="401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28,280</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33,077</w:t>
            </w:r>
          </w:p>
        </w:tc>
      </w:tr>
      <w:tr>
        <w:trPr>
          <w:trHeight w:val="347" w:hRule="exact"/>
        </w:trPr>
        <w:tc>
          <w:tcPr>
            <w:tcW w:w="401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33,654</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53,723</w:t>
            </w:r>
          </w:p>
        </w:tc>
      </w:tr>
      <w:tr>
        <w:trPr>
          <w:trHeight w:val="348" w:hRule="exact"/>
        </w:trPr>
        <w:tc>
          <w:tcPr>
            <w:tcW w:w="401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166,269</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243,956</w:t>
            </w:r>
          </w:p>
        </w:tc>
      </w:tr>
    </w:tbl>
    <w:p>
      <w:pPr>
        <w:spacing w:line="240" w:lineRule="auto" w:before="4"/>
        <w:rPr>
          <w:rFonts w:ascii="宋体" w:hAnsi="宋体" w:cs="宋体" w:eastAsia="宋体" w:hint="default"/>
          <w:sz w:val="21"/>
          <w:szCs w:val="21"/>
        </w:rPr>
      </w:pPr>
    </w:p>
    <w:p>
      <w:pPr>
        <w:pStyle w:val="BodyText"/>
        <w:spacing w:line="240" w:lineRule="auto" w:before="44"/>
        <w:ind w:left="514" w:right="92"/>
        <w:jc w:val="left"/>
      </w:pPr>
      <w:r>
        <w:rPr/>
        <w:t>入网合作费系根据公司与各地方合作电视台签订的有关协议，公司在各相关的协议期间应支付的使用费。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4"/>
        <w:spacing w:line="240" w:lineRule="auto" w:before="0"/>
        <w:ind w:left="153" w:right="5193"/>
        <w:jc w:val="left"/>
        <w:rPr>
          <w:b w:val="0"/>
          <w:bCs w:val="0"/>
        </w:rPr>
      </w:pPr>
      <w:bookmarkStart w:name="2、或有事项" w:id="236"/>
      <w:bookmarkEnd w:id="23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5193"/>
        <w:jc w:val="left"/>
        <w:rPr>
          <w:b w:val="0"/>
          <w:bCs w:val="0"/>
        </w:rPr>
      </w:pPr>
      <w:bookmarkStart w:name="（1）资产负债表日存在的重要或有事项" w:id="237"/>
      <w:bookmarkEnd w:id="23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18"/>
          <w:szCs w:val="18"/>
        </w:rPr>
      </w:pPr>
    </w:p>
    <w:p>
      <w:pPr>
        <w:pStyle w:val="BodyText"/>
        <w:spacing w:line="307" w:lineRule="auto" w:before="127"/>
        <w:ind w:right="92"/>
        <w:jc w:val="left"/>
      </w:pPr>
      <w:r>
        <w:rPr/>
        <w:t>富思商贸（上海）有限公司（以下简称</w:t>
      </w:r>
      <w:r>
        <w:rPr>
          <w:rFonts w:ascii="Times New Roman" w:hAnsi="Times New Roman" w:cs="Times New Roman" w:eastAsia="Times New Roman" w:hint="default"/>
        </w:rPr>
        <w:t>“</w:t>
      </w:r>
      <w:r>
        <w:rPr/>
        <w:t>富思商贸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日以侵犯注册商标专用权、企业名称权及不正 当竞争为由向浙江省杭州市中级人民法院（以下简称</w:t>
      </w:r>
      <w:r>
        <w:rPr>
          <w:rFonts w:ascii="Times New Roman" w:hAnsi="Times New Roman" w:cs="Times New Roman" w:eastAsia="Times New Roman" w:hint="default"/>
        </w:rPr>
        <w:t>“</w:t>
      </w:r>
      <w:r>
        <w:rPr/>
        <w:t>杭州中院</w:t>
      </w:r>
      <w:r>
        <w:rPr>
          <w:rFonts w:ascii="Times New Roman" w:hAnsi="Times New Roman" w:cs="Times New Roman" w:eastAsia="Times New Roman" w:hint="default"/>
        </w:rPr>
        <w:t>”</w:t>
      </w:r>
      <w:r>
        <w:rPr/>
        <w:t>）起诉杭州睿登贸易有限公司（作为第一被告）、</w:t>
      </w:r>
      <w:r>
        <w:rPr>
          <w:spacing w:val="-68"/>
        </w:rPr>
        <w:t> </w:t>
      </w:r>
      <w:r>
        <w:rPr>
          <w:spacing w:val="-6"/>
        </w:rPr>
        <w:t>本公司（作为第二被告）、湖南广播电视台（作为第三被告）和杭州睿登贸易有限公司三位负责人（分别作为第四、</w:t>
      </w:r>
      <w:r>
        <w:rPr>
          <w:spacing w:val="-50"/>
        </w:rPr>
        <w:t> </w:t>
      </w:r>
      <w:r>
        <w:rPr>
          <w:spacing w:val="-50"/>
        </w:rPr>
      </w:r>
      <w:r>
        <w:rPr>
          <w:spacing w:val="-4"/>
        </w:rPr>
        <w:t>第五和第六被告），诉讼请求包括要求被告立即停止侵权等行为，并要求被告赔偿其经济损失共计人民币</w:t>
      </w:r>
      <w:r>
        <w:rPr>
          <w:rFonts w:ascii="Times New Roman" w:hAnsi="Times New Roman" w:cs="Times New Roman" w:eastAsia="Times New Roman" w:hint="default"/>
          <w:spacing w:val="-4"/>
        </w:rPr>
        <w:t>600</w:t>
      </w:r>
      <w:r>
        <w:rPr>
          <w:spacing w:val="-4"/>
        </w:rPr>
        <w:t>万元，</w:t>
      </w:r>
      <w:r>
        <w:rPr>
          <w:spacing w:val="-56"/>
        </w:rPr>
        <w:t> </w:t>
      </w:r>
      <w:r>
        <w:rPr>
          <w:spacing w:val="-2"/>
        </w:rPr>
        <w:t>杭州中院已受理该诉讼。截至审计报告日，该诉讼尚未一审判决。本公司认为该诉讼不会对本公司财务状况造成重</w:t>
      </w:r>
      <w:r>
        <w:rPr>
          <w:spacing w:val="-74"/>
        </w:rPr>
        <w:t> </w:t>
      </w:r>
      <w:r>
        <w:rPr>
          <w:spacing w:val="-74"/>
        </w:rPr>
      </w:r>
      <w:r>
        <w:rPr/>
        <w:t>大影响。</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BodyText"/>
        <w:spacing w:line="300" w:lineRule="auto"/>
        <w:ind w:left="839" w:right="190"/>
        <w:jc w:val="both"/>
      </w:pPr>
      <w:r>
        <w:rPr>
          <w:rFonts w:ascii="Times New Roman" w:hAnsi="Times New Roman" w:cs="Times New Roman" w:eastAsia="Times New Roman" w:hint="default"/>
          <w:spacing w:val="-2"/>
        </w:rPr>
        <w:t>2012</w:t>
      </w:r>
      <w:r>
        <w:rPr>
          <w:spacing w:val="-2"/>
        </w:rPr>
        <w:t>年公司与深圳全程物流服务有限公司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深圳全程</w:t>
      </w:r>
      <w:r>
        <w:rPr>
          <w:rFonts w:ascii="Times New Roman" w:hAnsi="Times New Roman" w:cs="Times New Roman" w:eastAsia="Times New Roman" w:hint="default"/>
          <w:spacing w:val="-2"/>
        </w:rPr>
        <w:t>”)</w:t>
      </w:r>
      <w:r>
        <w:rPr>
          <w:spacing w:val="-2"/>
        </w:rPr>
        <w:t>签订仓库代管协议，同年</w:t>
      </w:r>
      <w:r>
        <w:rPr>
          <w:rFonts w:ascii="Times New Roman" w:hAnsi="Times New Roman" w:cs="Times New Roman" w:eastAsia="Times New Roman" w:hint="default"/>
          <w:spacing w:val="-2"/>
        </w:rPr>
        <w:t>7</w:t>
      </w:r>
      <w:r>
        <w:rPr>
          <w:spacing w:val="-2"/>
        </w:rPr>
        <w:t>月份公司发现部分存货被</w:t>
      </w:r>
      <w:r>
        <w:rPr>
          <w:spacing w:val="-40"/>
        </w:rPr>
        <w:t> </w:t>
      </w:r>
      <w:r>
        <w:rPr/>
        <w:t>盗，因此就委托保管货物灭失事项对深圳全程提起诉讼，法院判决深圳全程赔偿公司货物损失人民币</w:t>
      </w:r>
      <w:r>
        <w:rPr>
          <w:rFonts w:ascii="Times New Roman" w:hAnsi="Times New Roman" w:cs="Times New Roman" w:eastAsia="Times New Roman" w:hint="default"/>
        </w:rPr>
        <w:t>6,921,153.84 </w:t>
      </w:r>
      <w:r>
        <w:rPr/>
        <w:t>元及利益损失人民币</w:t>
      </w:r>
      <w:r>
        <w:rPr>
          <w:rFonts w:ascii="Times New Roman" w:hAnsi="Times New Roman" w:cs="Times New Roman" w:eastAsia="Times New Roman" w:hint="default"/>
        </w:rPr>
        <w:t>1,525,320.16</w:t>
      </w:r>
      <w:r>
        <w:rPr/>
        <w:t>元；长沙中院于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日对深圳全程账户资金进行强制执行，公司已收回上 </w:t>
      </w:r>
      <w:r>
        <w:rPr>
          <w:spacing w:val="-2"/>
        </w:rPr>
        <w:t>述判决金额。</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日，深圳全程不服法院判决，向最高人民法院申请再审，法院于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日受理了再</w:t>
      </w:r>
      <w:r>
        <w:rPr>
          <w:spacing w:val="-60"/>
        </w:rPr>
        <w:t> </w:t>
      </w:r>
      <w:r>
        <w:rPr/>
        <w:t>审申请，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日裁定驳回深圳全程的再审申请。</w:t>
      </w:r>
    </w:p>
    <w:p>
      <w:pPr>
        <w:pStyle w:val="BodyText"/>
        <w:spacing w:line="300" w:lineRule="auto" w:before="51"/>
        <w:ind w:left="804" w:right="92" w:firstLine="34"/>
        <w:jc w:val="left"/>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日向长沙市开福区人民法院提请新的诉讼，请求判令深圳全程赔偿剩余库存货物损失共计人民 </w:t>
      </w:r>
      <w:r>
        <w:rPr>
          <w:spacing w:val="-2"/>
        </w:rPr>
        <w:t>币</w:t>
      </w:r>
      <w:r>
        <w:rPr>
          <w:rFonts w:ascii="Times New Roman" w:hAnsi="Times New Roman" w:cs="Times New Roman" w:eastAsia="Times New Roman" w:hint="default"/>
          <w:spacing w:val="-2"/>
        </w:rPr>
        <w:t>3,141,274.18</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月该诉讼一审已结案，法院判决深圳全程赔偿公司货物损失人民币</w:t>
      </w:r>
      <w:r>
        <w:rPr>
          <w:rFonts w:ascii="Times New Roman" w:hAnsi="Times New Roman" w:cs="Times New Roman" w:eastAsia="Times New Roman" w:hint="default"/>
          <w:spacing w:val="-2"/>
        </w:rPr>
        <w:t>3,141,274.18</w:t>
      </w:r>
      <w:r>
        <w:rPr>
          <w:spacing w:val="-2"/>
        </w:rPr>
        <w:t>元。深圳</w:t>
      </w:r>
      <w:r>
        <w:rPr>
          <w:spacing w:val="-46"/>
        </w:rPr>
        <w:t> </w:t>
      </w:r>
      <w:r>
        <w:rPr>
          <w:spacing w:val="-46"/>
        </w:rPr>
      </w:r>
      <w:r>
        <w:rPr/>
        <w:t>全程提起上诉，</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月二审已开庭审理，判决深圳全程赔偿剩余库存货物损失、可得利润共计人民币 </w:t>
      </w:r>
      <w:r>
        <w:rPr>
          <w:rFonts w:ascii="Times New Roman" w:hAnsi="Times New Roman" w:cs="Times New Roman" w:eastAsia="Times New Roman" w:hint="default"/>
        </w:rPr>
        <w:t>2,619,207.78</w:t>
      </w:r>
      <w:r>
        <w:rPr/>
        <w:t>元，并于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日强制执行。公司将无法收回的款项人民币</w:t>
      </w:r>
      <w:r>
        <w:rPr>
          <w:rFonts w:ascii="Times New Roman" w:hAnsi="Times New Roman" w:cs="Times New Roman" w:eastAsia="Times New Roman" w:hint="default"/>
        </w:rPr>
        <w:t>522,066.40</w:t>
      </w:r>
      <w:r>
        <w:rPr/>
        <w:t>元计入本期损益。</w:t>
      </w:r>
    </w:p>
    <w:p>
      <w:pPr>
        <w:spacing w:line="240" w:lineRule="auto" w:before="0"/>
        <w:rPr>
          <w:rFonts w:ascii="宋体" w:hAnsi="宋体" w:cs="宋体" w:eastAsia="宋体" w:hint="default"/>
          <w:sz w:val="18"/>
          <w:szCs w:val="18"/>
        </w:rPr>
      </w:pPr>
    </w:p>
    <w:p>
      <w:pPr>
        <w:pStyle w:val="BodyText"/>
        <w:spacing w:line="300" w:lineRule="auto" w:before="128"/>
        <w:ind w:right="92" w:hanging="70"/>
        <w:jc w:val="left"/>
      </w:pPr>
      <w:r>
        <w:rPr>
          <w:spacing w:val="-1"/>
        </w:rPr>
        <w:t>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日及</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日，本集团不存在其他未决诉讼仲裁以及为其他单位提供债务担保等形成的或有</w:t>
      </w:r>
      <w:r>
        <w:rPr>
          <w:spacing w:val="-47"/>
        </w:rPr>
        <w:t> </w:t>
      </w:r>
      <w:r>
        <w:rPr>
          <w:spacing w:val="-47"/>
        </w:rPr>
      </w:r>
      <w:r>
        <w:rPr/>
        <w:t>负债。</w:t>
      </w:r>
    </w:p>
    <w:p>
      <w:pPr>
        <w:spacing w:line="240" w:lineRule="auto" w:before="6"/>
        <w:rPr>
          <w:rFonts w:ascii="宋体" w:hAnsi="宋体" w:cs="宋体" w:eastAsia="宋体" w:hint="default"/>
          <w:sz w:val="25"/>
          <w:szCs w:val="25"/>
        </w:rPr>
      </w:pPr>
    </w:p>
    <w:p>
      <w:pPr>
        <w:spacing w:line="607" w:lineRule="auto" w:before="0"/>
        <w:ind w:left="153" w:right="5386" w:firstLine="0"/>
        <w:jc w:val="left"/>
        <w:rPr>
          <w:rFonts w:ascii="宋体" w:hAnsi="宋体" w:cs="宋体" w:eastAsia="宋体" w:hint="default"/>
          <w:sz w:val="18"/>
          <w:szCs w:val="18"/>
        </w:rPr>
      </w:pPr>
      <w:bookmarkStart w:name="（2）公司没有需要披露的重要或有事项，也应予以说明" w:id="238"/>
      <w:bookmarkEnd w:id="238"/>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）公司没有需要披露的重要或有事项，也应予以说明</w:t>
      </w:r>
      <w:r>
        <w:rPr>
          <w:rFonts w:ascii="宋体" w:hAnsi="宋体" w:cs="宋体" w:eastAsia="宋体" w:hint="default"/>
          <w:b/>
          <w:bCs/>
          <w:w w:val="99"/>
          <w:sz w:val="18"/>
          <w:szCs w:val="18"/>
        </w:rPr>
        <w:t> </w:t>
      </w:r>
      <w:r>
        <w:rPr>
          <w:rFonts w:ascii="宋体" w:hAnsi="宋体" w:cs="宋体" w:eastAsia="宋体" w:hint="default"/>
          <w:sz w:val="18"/>
          <w:szCs w:val="18"/>
        </w:rPr>
        <w:t>公司不存在需要披露的重要或有事项。 </w:t>
      </w:r>
      <w:bookmarkStart w:name="十三、资产负债表日后事项" w:id="239"/>
      <w:bookmarkEnd w:id="239"/>
      <w:r>
        <w:rPr>
          <w:rFonts w:ascii="宋体" w:hAnsi="宋体" w:cs="宋体" w:eastAsia="宋体" w:hint="default"/>
          <w:sz w:val="18"/>
          <w:szCs w:val="18"/>
        </w:rPr>
      </w:r>
      <w:r>
        <w:rPr>
          <w:rFonts w:ascii="宋体" w:hAnsi="宋体" w:cs="宋体" w:eastAsia="宋体" w:hint="default"/>
          <w:b/>
          <w:bCs/>
          <w:sz w:val="18"/>
          <w:szCs w:val="18"/>
        </w:rPr>
        <w:t>十三、资产负债表日后事项</w:t>
      </w:r>
      <w:r>
        <w:rPr>
          <w:rFonts w:ascii="宋体" w:hAnsi="宋体" w:cs="宋体" w:eastAsia="宋体" w:hint="default"/>
          <w:sz w:val="18"/>
          <w:szCs w:val="18"/>
        </w:rPr>
      </w:r>
    </w:p>
    <w:p>
      <w:pPr>
        <w:pStyle w:val="Heading4"/>
        <w:spacing w:line="240" w:lineRule="auto" w:before="103"/>
        <w:ind w:left="153" w:right="5193"/>
        <w:jc w:val="left"/>
        <w:rPr>
          <w:b w:val="0"/>
          <w:bCs w:val="0"/>
        </w:rPr>
      </w:pPr>
      <w:bookmarkStart w:name="1、利润分配情况" w:id="240"/>
      <w:bookmarkEnd w:id="240"/>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40"/>
        </w:sectPr>
      </w:pPr>
    </w:p>
    <w:p>
      <w:pPr>
        <w:pStyle w:val="Heading4"/>
        <w:spacing w:line="590" w:lineRule="auto" w:before="116"/>
        <w:ind w:left="153" w:right="6792"/>
        <w:jc w:val="left"/>
        <w:rPr>
          <w:b w:val="0"/>
          <w:bCs w:val="0"/>
        </w:rPr>
      </w:pPr>
      <w:bookmarkStart w:name="2、其他资产负债表日后事项说明：无" w:id="241"/>
      <w:bookmarkEnd w:id="241"/>
      <w:r>
        <w:rPr>
          <w:b w:val="0"/>
          <w:bCs w:val="0"/>
        </w:rPr>
      </w:r>
      <w:r>
        <w:rPr>
          <w:rFonts w:ascii="Times New Roman" w:hAnsi="Times New Roman" w:cs="Times New Roman" w:eastAsia="Times New Roman" w:hint="default"/>
        </w:rPr>
        <w:t>2</w:t>
      </w:r>
      <w:r>
        <w:rPr/>
        <w:t>、其他资产负债表日后事项说明：无</w:t>
      </w:r>
      <w:r>
        <w:rPr>
          <w:w w:val="99"/>
        </w:rPr>
        <w:t> </w:t>
      </w:r>
      <w:bookmarkStart w:name="十四、其他重要事项" w:id="242"/>
      <w:bookmarkEnd w:id="242"/>
      <w:r>
        <w:rPr/>
        <w:t>十</w:t>
      </w:r>
      <w:r>
        <w:rPr/>
        <w:t>四、其他重要事项</w:t>
      </w:r>
      <w:r>
        <w:rPr>
          <w:b w:val="0"/>
          <w:bCs w:val="0"/>
        </w:rPr>
      </w:r>
    </w:p>
    <w:p>
      <w:pPr>
        <w:pStyle w:val="Heading4"/>
        <w:spacing w:line="240" w:lineRule="auto" w:before="115"/>
        <w:ind w:left="153" w:right="0"/>
        <w:jc w:val="left"/>
        <w:rPr>
          <w:b w:val="0"/>
          <w:bCs w:val="0"/>
        </w:rPr>
      </w:pPr>
      <w:bookmarkStart w:name="1、债务重组：无" w:id="243"/>
      <w:bookmarkEnd w:id="243"/>
      <w:r>
        <w:rPr>
          <w:b w:val="0"/>
          <w:bCs w:val="0"/>
        </w:rPr>
      </w:r>
      <w:r>
        <w:rPr>
          <w:rFonts w:ascii="Times New Roman" w:hAnsi="Times New Roman" w:cs="Times New Roman" w:eastAsia="Times New Roman" w:hint="default"/>
        </w:rPr>
        <w:t>1</w:t>
      </w:r>
      <w:r>
        <w:rPr/>
        <w:t>、债务重组：无</w:t>
      </w:r>
      <w:r>
        <w:rPr>
          <w:b w:val="0"/>
          <w:bCs w:val="0"/>
        </w:rPr>
      </w:r>
    </w:p>
    <w:p>
      <w:pPr>
        <w:spacing w:line="240" w:lineRule="auto" w:before="0"/>
        <w:rPr>
          <w:rFonts w:ascii="宋体" w:hAnsi="宋体" w:cs="宋体" w:eastAsia="宋体" w:hint="default"/>
          <w:b/>
          <w:bCs/>
          <w:sz w:val="18"/>
          <w:szCs w:val="18"/>
        </w:rPr>
      </w:pPr>
    </w:p>
    <w:p>
      <w:pPr>
        <w:spacing w:line="607" w:lineRule="auto" w:before="128"/>
        <w:ind w:left="153" w:right="8418" w:firstLine="0"/>
        <w:jc w:val="left"/>
        <w:rPr>
          <w:rFonts w:ascii="宋体" w:hAnsi="宋体" w:cs="宋体" w:eastAsia="宋体" w:hint="default"/>
          <w:sz w:val="18"/>
          <w:szCs w:val="18"/>
        </w:rPr>
      </w:pPr>
      <w:bookmarkStart w:name="2、终止经营：无" w:id="244"/>
      <w:bookmarkEnd w:id="244"/>
      <w:r>
        <w:rPr/>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、终止经营：无</w:t>
      </w:r>
      <w:r>
        <w:rPr>
          <w:rFonts w:ascii="宋体" w:hAnsi="宋体" w:cs="宋体" w:eastAsia="宋体" w:hint="default"/>
          <w:b/>
          <w:bCs/>
          <w:w w:val="99"/>
          <w:sz w:val="18"/>
          <w:szCs w:val="18"/>
        </w:rPr>
        <w:t> </w:t>
      </w:r>
      <w:r>
        <w:rPr>
          <w:rFonts w:ascii="宋体" w:hAnsi="宋体" w:cs="宋体" w:eastAsia="宋体" w:hint="default"/>
          <w:sz w:val="18"/>
          <w:szCs w:val="18"/>
        </w:rPr>
        <w:t>其他说明：无 </w:t>
      </w:r>
      <w:bookmarkStart w:name="3、分部信息" w:id="245"/>
      <w:bookmarkEnd w:id="245"/>
      <w:r>
        <w:rPr>
          <w:rFonts w:ascii="宋体" w:hAnsi="宋体" w:cs="宋体" w:eastAsia="宋体" w:hint="default"/>
          <w:sz w:val="18"/>
          <w:szCs w:val="18"/>
        </w:rPr>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、分部信息</w:t>
      </w:r>
      <w:r>
        <w:rPr>
          <w:rFonts w:ascii="宋体" w:hAnsi="宋体" w:cs="宋体" w:eastAsia="宋体" w:hint="default"/>
          <w:sz w:val="18"/>
          <w:szCs w:val="18"/>
        </w:rPr>
      </w:r>
    </w:p>
    <w:p>
      <w:pPr>
        <w:pStyle w:val="Heading4"/>
        <w:spacing w:line="240" w:lineRule="auto" w:before="59"/>
        <w:ind w:right="0"/>
        <w:jc w:val="left"/>
        <w:rPr>
          <w:b w:val="0"/>
          <w:bCs w:val="0"/>
        </w:rPr>
      </w:pPr>
      <w:bookmarkStart w:name="（1）报告分部的确定依据与会计政策" w:id="246"/>
      <w:bookmarkEnd w:id="24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153" w:right="151"/>
        <w:jc w:val="both"/>
      </w:pPr>
      <w:r>
        <w:rPr>
          <w:spacing w:val="-2"/>
        </w:rPr>
        <w:t>根据本集团的内部组织结构、管理要求及内部报告制度，本集团的经营业务划分为四个报告分部，分别为电视通路、网络通</w:t>
      </w:r>
      <w:r>
        <w:rPr>
          <w:spacing w:val="-66"/>
        </w:rPr>
        <w:t> </w:t>
      </w:r>
      <w:r>
        <w:rPr>
          <w:spacing w:val="-66"/>
        </w:rPr>
      </w:r>
      <w:r>
        <w:rPr>
          <w:spacing w:val="-2"/>
        </w:rPr>
        <w:t>路、外呼通路及其他。这些报告分部是以业务通路为基础确定的。本集团的管理层定期评价这些报告分部的经营成果，以决</w:t>
      </w:r>
      <w:r>
        <w:rPr>
          <w:spacing w:val="-66"/>
        </w:rPr>
        <w:t> </w:t>
      </w:r>
      <w:r>
        <w:rPr>
          <w:spacing w:val="-66"/>
        </w:rPr>
      </w:r>
      <w:r>
        <w:rPr/>
        <w:t>定向其分配资源及评价其业绩。</w:t>
      </w:r>
    </w:p>
    <w:p>
      <w:pPr>
        <w:spacing w:line="240" w:lineRule="auto" w:before="4"/>
        <w:rPr>
          <w:rFonts w:ascii="宋体" w:hAnsi="宋体" w:cs="宋体" w:eastAsia="宋体" w:hint="default"/>
          <w:sz w:val="25"/>
          <w:szCs w:val="25"/>
        </w:rPr>
      </w:pPr>
    </w:p>
    <w:p>
      <w:pPr>
        <w:pStyle w:val="BodyText"/>
        <w:spacing w:line="316" w:lineRule="auto"/>
        <w:ind w:left="153" w:right="0"/>
        <w:jc w:val="left"/>
      </w:pPr>
      <w:r>
        <w:rPr>
          <w:spacing w:val="-2"/>
        </w:rPr>
        <w:t>分部报告信息根据各分部向管理层报告时采用的会计政策及计量标准披露，这些计量基础与编制财务报表时的会计与计量基</w:t>
      </w:r>
      <w:r>
        <w:rPr>
          <w:spacing w:val="-64"/>
        </w:rPr>
        <w:t> </w:t>
      </w:r>
      <w:r>
        <w:rPr>
          <w:spacing w:val="-64"/>
        </w:rPr>
      </w:r>
      <w:r>
        <w:rPr/>
        <w:t>础保持一致。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61"/>
        <w:ind w:left="153" w:right="0"/>
        <w:jc w:val="left"/>
        <w:rPr>
          <w:b w:val="0"/>
          <w:bCs w:val="0"/>
        </w:rPr>
      </w:pPr>
      <w:bookmarkStart w:name="（2）报告分部的财务信息" w:id="247"/>
      <w:bookmarkEnd w:id="24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53" w:right="0"/>
        <w:jc w:val="left"/>
      </w:pPr>
      <w:r>
        <w:rPr>
          <w:rFonts w:ascii="Times New Roman" w:hAnsi="Times New Roman" w:cs="Times New Roman" w:eastAsia="Times New Roman" w:hint="default"/>
        </w:rPr>
        <w:t>2014</w:t>
      </w:r>
      <w:r>
        <w:rPr/>
        <w:t>年度：</w:t>
      </w:r>
    </w:p>
    <w:p>
      <w:pPr>
        <w:pStyle w:val="BodyText"/>
        <w:spacing w:line="240" w:lineRule="auto" w:before="63"/>
        <w:ind w:left="0" w:right="330"/>
        <w:jc w:val="right"/>
      </w:pPr>
      <w:r>
        <w:rPr/>
        <w:t>单位：人民币元</w:t>
      </w:r>
    </w:p>
    <w:p>
      <w:pPr>
        <w:spacing w:line="240" w:lineRule="auto" w:before="13"/>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690"/>
        <w:gridCol w:w="1630"/>
        <w:gridCol w:w="1559"/>
        <w:gridCol w:w="1559"/>
        <w:gridCol w:w="1419"/>
        <w:gridCol w:w="1559"/>
      </w:tblGrid>
      <w:tr>
        <w:trPr>
          <w:trHeight w:val="334"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
        </w:tc>
        <w:tc>
          <w:tcPr>
            <w:tcW w:w="16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left="446"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left="411"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410"/>
              <w:jc w:val="right"/>
              <w:rPr>
                <w:rFonts w:ascii="宋体" w:hAnsi="宋体" w:cs="宋体" w:eastAsia="宋体" w:hint="default"/>
                <w:sz w:val="18"/>
                <w:szCs w:val="18"/>
              </w:rPr>
            </w:pPr>
            <w:r>
              <w:rPr>
                <w:rFonts w:ascii="宋体" w:hAnsi="宋体" w:cs="宋体" w:eastAsia="宋体" w:hint="default"/>
                <w:sz w:val="18"/>
                <w:szCs w:val="18"/>
              </w:rPr>
              <w:t>外呼通路</w:t>
            </w:r>
          </w:p>
        </w:tc>
        <w:tc>
          <w:tcPr>
            <w:tcW w:w="14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分部营业收入</w:t>
            </w:r>
          </w:p>
        </w:tc>
        <w:tc>
          <w:tcPr>
            <w:tcW w:w="1630"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left="357" w:right="0"/>
              <w:jc w:val="left"/>
              <w:rPr>
                <w:rFonts w:ascii="Times New Roman" w:hAnsi="Times New Roman" w:cs="Times New Roman" w:eastAsia="Times New Roman" w:hint="default"/>
                <w:sz w:val="18"/>
                <w:szCs w:val="18"/>
              </w:rPr>
            </w:pPr>
            <w:r>
              <w:rPr>
                <w:rFonts w:ascii="Times New Roman"/>
                <w:sz w:val="18"/>
              </w:rPr>
              <w:t>1,836,887,114.05</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261,408,731.63</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415"/>
              <w:jc w:val="right"/>
              <w:rPr>
                <w:rFonts w:ascii="Times New Roman" w:hAnsi="Times New Roman" w:cs="Times New Roman" w:eastAsia="Times New Roman" w:hint="default"/>
                <w:sz w:val="18"/>
                <w:szCs w:val="18"/>
              </w:rPr>
            </w:pPr>
            <w:r>
              <w:rPr>
                <w:rFonts w:ascii="Times New Roman"/>
                <w:spacing w:val="-1"/>
                <w:sz w:val="18"/>
              </w:rPr>
              <w:t>394,369,155.94</w:t>
            </w:r>
          </w:p>
        </w:tc>
        <w:tc>
          <w:tcPr>
            <w:tcW w:w="14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245,346,402.42</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2,738,011,404.04</w:t>
            </w:r>
          </w:p>
        </w:tc>
      </w:tr>
      <w:tr>
        <w:trPr>
          <w:trHeight w:val="347"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分部营业成本</w:t>
            </w:r>
          </w:p>
        </w:tc>
        <w:tc>
          <w:tcPr>
            <w:tcW w:w="163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1,331,033,151.28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197,863,017.79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5"/>
              <w:jc w:val="right"/>
              <w:rPr>
                <w:rFonts w:ascii="Times New Roman" w:hAnsi="Times New Roman" w:cs="Times New Roman" w:eastAsia="Times New Roman" w:hint="default"/>
                <w:sz w:val="18"/>
                <w:szCs w:val="18"/>
              </w:rPr>
            </w:pPr>
            <w:r>
              <w:rPr>
                <w:rFonts w:ascii="Times New Roman"/>
                <w:spacing w:val="-1"/>
                <w:sz w:val="18"/>
              </w:rPr>
              <w:t>262,901,176.37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183,142,201.27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1,974,939,546.71</w:t>
            </w:r>
          </w:p>
        </w:tc>
      </w:tr>
      <w:tr>
        <w:trPr>
          <w:trHeight w:val="347"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分部营业利润</w:t>
            </w:r>
          </w:p>
        </w:tc>
        <w:tc>
          <w:tcPr>
            <w:tcW w:w="163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505,853,962.77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63,545,713.84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5"/>
              <w:jc w:val="right"/>
              <w:rPr>
                <w:rFonts w:ascii="Times New Roman" w:hAnsi="Times New Roman" w:cs="Times New Roman" w:eastAsia="Times New Roman" w:hint="default"/>
                <w:sz w:val="18"/>
                <w:szCs w:val="18"/>
              </w:rPr>
            </w:pPr>
            <w:r>
              <w:rPr>
                <w:rFonts w:ascii="Times New Roman"/>
                <w:spacing w:val="-1"/>
                <w:sz w:val="18"/>
              </w:rPr>
              <w:t>131,467,979.57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62,204,201.15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763,071,857.33</w:t>
            </w:r>
          </w:p>
        </w:tc>
      </w:tr>
      <w:tr>
        <w:trPr>
          <w:trHeight w:val="347"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减：营业税金及附加</w:t>
            </w:r>
          </w:p>
        </w:tc>
        <w:tc>
          <w:tcPr>
            <w:tcW w:w="1630" w:type="dxa"/>
            <w:tcBorders>
              <w:top w:val="single" w:sz="6" w:space="0" w:color="000000"/>
              <w:left w:val="single" w:sz="7"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13,653,910.12</w:t>
            </w:r>
          </w:p>
        </w:tc>
      </w:tr>
      <w:tr>
        <w:trPr>
          <w:trHeight w:val="348"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0" w:type="dxa"/>
            <w:tcBorders>
              <w:top w:val="single" w:sz="6" w:space="0" w:color="000000"/>
              <w:left w:val="single" w:sz="7"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547,182,336.61</w:t>
            </w:r>
          </w:p>
        </w:tc>
      </w:tr>
      <w:tr>
        <w:trPr>
          <w:trHeight w:val="347"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3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0" w:type="dxa"/>
            <w:tcBorders>
              <w:top w:val="single" w:sz="6" w:space="0" w:color="000000"/>
              <w:left w:val="single" w:sz="7"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94,840,431.42</w:t>
            </w:r>
          </w:p>
        </w:tc>
      </w:tr>
      <w:tr>
        <w:trPr>
          <w:trHeight w:val="347"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0" w:type="dxa"/>
            <w:tcBorders>
              <w:top w:val="single" w:sz="6" w:space="0" w:color="000000"/>
              <w:left w:val="single" w:sz="7"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(24,723,572.28)</w:t>
            </w:r>
          </w:p>
        </w:tc>
      </w:tr>
      <w:tr>
        <w:trPr>
          <w:trHeight w:val="347"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0" w:type="dxa"/>
            <w:tcBorders>
              <w:top w:val="single" w:sz="6" w:space="0" w:color="000000"/>
              <w:left w:val="single" w:sz="7"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1,120,980.00</w:t>
            </w:r>
          </w:p>
        </w:tc>
      </w:tr>
      <w:tr>
        <w:trPr>
          <w:trHeight w:val="347"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报表营业利润</w:t>
            </w:r>
          </w:p>
        </w:tc>
        <w:tc>
          <w:tcPr>
            <w:tcW w:w="1630" w:type="dxa"/>
            <w:tcBorders>
              <w:top w:val="single" w:sz="6" w:space="0" w:color="000000"/>
              <w:left w:val="single" w:sz="7"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130,997,771.46</w:t>
            </w:r>
          </w:p>
        </w:tc>
      </w:tr>
      <w:tr>
        <w:trPr>
          <w:trHeight w:val="347" w:hRule="exact"/>
        </w:trPr>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30" w:type="dxa"/>
            <w:tcBorders>
              <w:top w:val="single" w:sz="6" w:space="0" w:color="000000"/>
              <w:left w:val="single" w:sz="7"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154,111,442.7</w:t>
            </w:r>
          </w:p>
        </w:tc>
      </w:tr>
    </w:tbl>
    <w:p>
      <w:pPr>
        <w:spacing w:line="240" w:lineRule="auto" w:before="4"/>
        <w:rPr>
          <w:rFonts w:ascii="宋体" w:hAnsi="宋体" w:cs="宋体" w:eastAsia="宋体" w:hint="default"/>
          <w:sz w:val="21"/>
          <w:szCs w:val="21"/>
        </w:rPr>
      </w:pPr>
    </w:p>
    <w:p>
      <w:pPr>
        <w:pStyle w:val="BodyText"/>
        <w:spacing w:line="300" w:lineRule="auto" w:before="44"/>
        <w:ind w:left="153" w:right="188" w:firstLine="180"/>
        <w:jc w:val="left"/>
      </w:pPr>
      <w:r>
        <w:rPr/>
        <w:t>注：其他中包括针对集团客户的批量销售。在</w:t>
      </w:r>
      <w:r>
        <w:rPr>
          <w:rFonts w:ascii="Times New Roman" w:hAnsi="Times New Roman" w:cs="Times New Roman" w:eastAsia="Times New Roman" w:hint="default"/>
        </w:rPr>
        <w:t>2014</w:t>
      </w:r>
      <w:r>
        <w:rPr/>
        <w:t>年度，公司的集团客户业务收入和成本分别为人民币</w:t>
      </w:r>
      <w:r>
        <w:rPr>
          <w:rFonts w:ascii="Times New Roman" w:hAnsi="Times New Roman" w:cs="Times New Roman" w:eastAsia="Times New Roman" w:hint="default"/>
        </w:rPr>
        <w:t>140,890,958.81</w:t>
      </w:r>
      <w:r>
        <w:rPr/>
        <w:t>和 人民币</w:t>
      </w:r>
      <w:r>
        <w:rPr>
          <w:rFonts w:ascii="Times New Roman" w:hAnsi="Times New Roman" w:cs="Times New Roman" w:eastAsia="Times New Roman" w:hint="default"/>
        </w:rPr>
        <w:t>136,905,621.64</w:t>
      </w:r>
      <w:r>
        <w:rPr/>
        <w:t>元，集团客户业务利润为人民币</w:t>
      </w:r>
      <w:r>
        <w:rPr>
          <w:rFonts w:ascii="Times New Roman" w:hAnsi="Times New Roman" w:cs="Times New Roman" w:eastAsia="Times New Roman" w:hint="default"/>
        </w:rPr>
        <w:t>3,985,337.17</w:t>
      </w:r>
      <w:r>
        <w:rPr/>
        <w:t>元。</w:t>
      </w:r>
    </w:p>
    <w:p>
      <w:pPr>
        <w:spacing w:line="240" w:lineRule="auto" w:before="6"/>
        <w:rPr>
          <w:rFonts w:ascii="宋体" w:hAnsi="宋体" w:cs="宋体" w:eastAsia="宋体" w:hint="default"/>
          <w:sz w:val="21"/>
          <w:szCs w:val="21"/>
        </w:rPr>
      </w:pPr>
    </w:p>
    <w:p>
      <w:pPr>
        <w:pStyle w:val="BodyText"/>
        <w:spacing w:line="240" w:lineRule="auto" w:before="44"/>
        <w:ind w:left="227" w:right="0"/>
        <w:jc w:val="left"/>
      </w:pPr>
      <w:r>
        <w:rPr>
          <w:rFonts w:ascii="Times New Roman" w:hAnsi="Times New Roman" w:cs="Times New Roman" w:eastAsia="Times New Roman" w:hint="default"/>
        </w:rPr>
        <w:t>(2)</w:t>
      </w:r>
      <w:r>
        <w:rPr/>
        <w:t>分部按产品或业务划分的商品销售收入</w:t>
      </w:r>
    </w:p>
    <w:p>
      <w:pPr>
        <w:pStyle w:val="BodyText"/>
        <w:spacing w:line="240" w:lineRule="auto" w:before="63"/>
        <w:ind w:left="0" w:right="177"/>
        <w:jc w:val="right"/>
      </w:pPr>
      <w:r>
        <w:rPr/>
        <w:t>单位：人民币元</w:t>
      </w:r>
    </w:p>
    <w:p>
      <w:pPr>
        <w:spacing w:after="0" w:line="240" w:lineRule="auto"/>
        <w:jc w:val="right"/>
        <w:sectPr>
          <w:pgSz w:w="11910" w:h="16840"/>
          <w:pgMar w:header="851" w:footer="979" w:top="1320" w:bottom="1160" w:left="980" w:right="980"/>
        </w:sectPr>
      </w:pPr>
    </w:p>
    <w:p>
      <w:pPr>
        <w:spacing w:line="240" w:lineRule="auto" w:before="12"/>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3879"/>
        <w:gridCol w:w="2747"/>
        <w:gridCol w:w="2746"/>
      </w:tblGrid>
      <w:tr>
        <w:trPr>
          <w:trHeight w:val="340" w:hRule="exact"/>
        </w:trPr>
        <w:tc>
          <w:tcPr>
            <w:tcW w:w="3879" w:type="dxa"/>
            <w:tcBorders>
              <w:top w:val="single" w:sz="6" w:space="0" w:color="000000"/>
              <w:left w:val="single" w:sz="6" w:space="0" w:color="000000"/>
              <w:bottom w:val="single" w:sz="10"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74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341" w:hRule="exact"/>
        </w:trPr>
        <w:tc>
          <w:tcPr>
            <w:tcW w:w="38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1,339,145,258.18</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1,496,782,852.61</w:t>
            </w:r>
          </w:p>
        </w:tc>
      </w:tr>
      <w:tr>
        <w:trPr>
          <w:trHeight w:val="347" w:hRule="exact"/>
        </w:trPr>
        <w:tc>
          <w:tcPr>
            <w:tcW w:w="38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宋体" w:hAnsi="宋体" w:cs="宋体" w:eastAsia="宋体" w:hint="default"/>
                <w:sz w:val="18"/>
                <w:szCs w:val="18"/>
              </w:rPr>
              <w:t>数码</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430,614,984.62</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494,846,012.91</w:t>
            </w:r>
          </w:p>
        </w:tc>
      </w:tr>
      <w:tr>
        <w:trPr>
          <w:trHeight w:val="348" w:hRule="exact"/>
        </w:trPr>
        <w:tc>
          <w:tcPr>
            <w:tcW w:w="38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246,465,072.92</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383,979,707.32</w:t>
            </w:r>
          </w:p>
        </w:tc>
      </w:tr>
      <w:tr>
        <w:trPr>
          <w:trHeight w:val="347" w:hRule="exact"/>
        </w:trPr>
        <w:tc>
          <w:tcPr>
            <w:tcW w:w="38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613,738,182.45</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711,077,693.77</w:t>
            </w:r>
          </w:p>
        </w:tc>
      </w:tr>
      <w:tr>
        <w:trPr>
          <w:trHeight w:val="347" w:hRule="exact"/>
        </w:trPr>
        <w:tc>
          <w:tcPr>
            <w:tcW w:w="38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3,449,426.11</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2,727,725.67</w:t>
            </w:r>
          </w:p>
        </w:tc>
      </w:tr>
      <w:tr>
        <w:trPr>
          <w:trHeight w:val="348" w:hRule="exact"/>
        </w:trPr>
        <w:tc>
          <w:tcPr>
            <w:tcW w:w="38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销售商品收入小计</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2,633,412,924.28</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3,089,413,992.28</w:t>
            </w:r>
          </w:p>
        </w:tc>
      </w:tr>
    </w:tbl>
    <w:p>
      <w:pPr>
        <w:spacing w:line="240" w:lineRule="auto" w:before="3"/>
        <w:rPr>
          <w:rFonts w:ascii="宋体" w:hAnsi="宋体" w:cs="宋体" w:eastAsia="宋体" w:hint="default"/>
          <w:sz w:val="21"/>
          <w:szCs w:val="21"/>
        </w:rPr>
      </w:pPr>
    </w:p>
    <w:p>
      <w:pPr>
        <w:pStyle w:val="BodyText"/>
        <w:spacing w:line="240" w:lineRule="auto" w:before="44"/>
        <w:ind w:left="154" w:right="0"/>
        <w:jc w:val="left"/>
      </w:pPr>
      <w:r>
        <w:rPr>
          <w:rFonts w:ascii="Times New Roman" w:hAnsi="Times New Roman" w:cs="Times New Roman" w:eastAsia="Times New Roman" w:hint="default"/>
        </w:rPr>
        <w:t>(3)</w:t>
      </w:r>
      <w:r>
        <w:rPr/>
        <w:t>分部按产品或业务划分的商品销售成本</w:t>
      </w:r>
    </w:p>
    <w:p>
      <w:pPr>
        <w:pStyle w:val="BodyText"/>
        <w:spacing w:line="240" w:lineRule="auto" w:before="63"/>
        <w:ind w:left="0" w:right="177"/>
        <w:jc w:val="right"/>
      </w:pPr>
      <w:r>
        <w:rPr/>
        <w:t>单位：人民币元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3849"/>
        <w:gridCol w:w="2761"/>
        <w:gridCol w:w="2762"/>
      </w:tblGrid>
      <w:tr>
        <w:trPr>
          <w:trHeight w:val="329" w:hRule="exact"/>
        </w:trPr>
        <w:tc>
          <w:tcPr>
            <w:tcW w:w="384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6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7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365" w:hRule="exact"/>
        </w:trPr>
        <w:tc>
          <w:tcPr>
            <w:tcW w:w="3849" w:type="dxa"/>
            <w:tcBorders>
              <w:top w:val="single" w:sz="10"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27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pacing w:val="-1"/>
                <w:sz w:val="18"/>
              </w:rPr>
              <w:t>1,016,412,548.03</w:t>
            </w:r>
          </w:p>
        </w:tc>
        <w:tc>
          <w:tcPr>
            <w:tcW w:w="276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pacing w:val="-1"/>
                <w:sz w:val="18"/>
              </w:rPr>
              <w:t>1,165,611,323.43</w:t>
            </w:r>
          </w:p>
        </w:tc>
      </w:tr>
      <w:tr>
        <w:trPr>
          <w:trHeight w:val="347" w:hRule="exact"/>
        </w:trPr>
        <w:tc>
          <w:tcPr>
            <w:tcW w:w="38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宋体" w:hAnsi="宋体" w:cs="宋体" w:eastAsia="宋体" w:hint="default"/>
                <w:sz w:val="18"/>
                <w:szCs w:val="18"/>
              </w:rPr>
              <w:t>数码</w:t>
            </w:r>
          </w:p>
        </w:tc>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388,386,825.32</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452,809,526.32</w:t>
            </w:r>
          </w:p>
        </w:tc>
      </w:tr>
      <w:tr>
        <w:trPr>
          <w:trHeight w:val="347" w:hRule="exact"/>
        </w:trPr>
        <w:tc>
          <w:tcPr>
            <w:tcW w:w="38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151,927,217.13</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235,065,892.74</w:t>
            </w:r>
          </w:p>
        </w:tc>
      </w:tr>
      <w:tr>
        <w:trPr>
          <w:trHeight w:val="347" w:hRule="exact"/>
        </w:trPr>
        <w:tc>
          <w:tcPr>
            <w:tcW w:w="38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369,186,091.25</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453,049,257.61</w:t>
            </w:r>
          </w:p>
        </w:tc>
      </w:tr>
      <w:tr>
        <w:trPr>
          <w:trHeight w:val="348" w:hRule="exact"/>
        </w:trPr>
        <w:tc>
          <w:tcPr>
            <w:tcW w:w="38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2,790,285.35</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2,323,803.23</w:t>
            </w:r>
          </w:p>
        </w:tc>
      </w:tr>
      <w:tr>
        <w:trPr>
          <w:trHeight w:val="347" w:hRule="exact"/>
        </w:trPr>
        <w:tc>
          <w:tcPr>
            <w:tcW w:w="38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销售商品成本小计</w:t>
            </w:r>
          </w:p>
        </w:tc>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1,928,702,967.08</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2,308,859,803.33</w:t>
            </w:r>
          </w:p>
        </w:tc>
      </w:tr>
    </w:tbl>
    <w:p>
      <w:pPr>
        <w:spacing w:line="240" w:lineRule="auto" w:before="3"/>
        <w:rPr>
          <w:rFonts w:ascii="宋体" w:hAnsi="宋体" w:cs="宋体" w:eastAsia="宋体" w:hint="default"/>
          <w:sz w:val="21"/>
          <w:szCs w:val="21"/>
        </w:rPr>
      </w:pPr>
    </w:p>
    <w:p>
      <w:pPr>
        <w:pStyle w:val="BodyText"/>
        <w:spacing w:line="240" w:lineRule="auto" w:before="44"/>
        <w:ind w:left="154" w:right="0"/>
        <w:jc w:val="left"/>
      </w:pPr>
      <w:r>
        <w:rPr>
          <w:rFonts w:ascii="Times New Roman" w:hAnsi="Times New Roman" w:cs="Times New Roman" w:eastAsia="Times New Roman" w:hint="default"/>
        </w:rPr>
        <w:t>(4)</w:t>
      </w:r>
      <w:r>
        <w:rPr/>
        <w:t>按收入来源地划分的对外交易收入和资产所在地划分的非流动资产</w:t>
      </w:r>
    </w:p>
    <w:p>
      <w:pPr>
        <w:pStyle w:val="BodyText"/>
        <w:spacing w:line="240" w:lineRule="auto" w:before="63"/>
        <w:ind w:left="0" w:right="177"/>
        <w:jc w:val="right"/>
      </w:pPr>
      <w:r>
        <w:rPr/>
        <w:t>单位：人民币元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3872"/>
        <w:gridCol w:w="2748"/>
        <w:gridCol w:w="2752"/>
      </w:tblGrid>
      <w:tr>
        <w:trPr>
          <w:trHeight w:val="347" w:hRule="exact"/>
        </w:trPr>
        <w:tc>
          <w:tcPr>
            <w:tcW w:w="38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7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348" w:hRule="exact"/>
        </w:trPr>
        <w:tc>
          <w:tcPr>
            <w:tcW w:w="3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来源于本国的对外交易收入</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2,738,011,404.04</w:t>
            </w:r>
          </w:p>
        </w:tc>
        <w:tc>
          <w:tcPr>
            <w:tcW w:w="2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3,149,875,201.33</w:t>
            </w:r>
          </w:p>
        </w:tc>
      </w:tr>
      <w:tr>
        <w:trPr>
          <w:trHeight w:val="347" w:hRule="exact"/>
        </w:trPr>
        <w:tc>
          <w:tcPr>
            <w:tcW w:w="3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2,738,011,404.04</w:t>
            </w:r>
          </w:p>
        </w:tc>
        <w:tc>
          <w:tcPr>
            <w:tcW w:w="2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3,149,875,201.33</w:t>
            </w:r>
          </w:p>
        </w:tc>
      </w:tr>
    </w:tbl>
    <w:p>
      <w:pPr>
        <w:pStyle w:val="BodyText"/>
        <w:spacing w:line="316" w:lineRule="auto" w:before="10"/>
        <w:ind w:left="299" w:right="6567"/>
        <w:jc w:val="left"/>
      </w:pPr>
      <w:r>
        <w:rPr/>
        <w:t>本集团的对外交易收入均来源于本国。 本集团的非流动资产均位于本国。</w:t>
      </w:r>
    </w:p>
    <w:p>
      <w:pPr>
        <w:pStyle w:val="BodyText"/>
        <w:spacing w:line="300" w:lineRule="auto" w:before="19"/>
        <w:ind w:left="154" w:right="5302"/>
        <w:jc w:val="left"/>
      </w:pPr>
      <w:r>
        <w:rPr>
          <w:rFonts w:ascii="Times New Roman" w:hAnsi="Times New Roman" w:cs="Times New Roman" w:eastAsia="Times New Roman" w:hint="default"/>
        </w:rPr>
        <w:t>(5)</w:t>
      </w:r>
      <w:r>
        <w:rPr/>
        <w:t>对主要客户的依赖程度</w:t>
      </w:r>
      <w:r>
        <w:rPr>
          <w:w w:val="99"/>
        </w:rPr>
        <w:t> </w:t>
      </w:r>
      <w:r>
        <w:rPr/>
        <w:t>于报告期内，本集团均无占收入总额</w:t>
      </w:r>
      <w:r>
        <w:rPr>
          <w:rFonts w:ascii="Times New Roman" w:hAnsi="Times New Roman" w:cs="Times New Roman" w:eastAsia="Times New Roman" w:hint="default"/>
        </w:rPr>
        <w:t>10%</w:t>
      </w:r>
      <w:r>
        <w:rPr/>
        <w:t>及以上的客户。</w:t>
      </w:r>
    </w:p>
    <w:p>
      <w:pPr>
        <w:spacing w:line="240" w:lineRule="auto" w:before="0"/>
        <w:rPr>
          <w:rFonts w:ascii="宋体" w:hAnsi="宋体" w:cs="宋体" w:eastAsia="宋体" w:hint="default"/>
          <w:sz w:val="24"/>
          <w:szCs w:val="24"/>
        </w:rPr>
      </w:pPr>
    </w:p>
    <w:p>
      <w:pPr>
        <w:pStyle w:val="Heading4"/>
        <w:spacing w:line="590" w:lineRule="auto" w:before="0"/>
        <w:ind w:right="2696"/>
        <w:jc w:val="left"/>
        <w:rPr>
          <w:rFonts w:ascii="宋体" w:hAnsi="宋体" w:cs="宋体" w:eastAsia="宋体" w:hint="default"/>
          <w:b w:val="0"/>
          <w:bCs w:val="0"/>
        </w:rPr>
      </w:pPr>
      <w:bookmarkStart w:name="（3）公司无报告分部的，或者上能披露各报告分部的资产总额和负债总额的，应说明原因" w:id="248"/>
      <w:bookmarkEnd w:id="248"/>
      <w:r>
        <w:rPr>
          <w:b w:val="0"/>
          <w:bCs w:val="0"/>
        </w:rPr>
      </w:r>
      <w:r>
        <w:rPr>
          <w:w w:val="95"/>
        </w:rPr>
        <w:t>（</w:t>
      </w:r>
      <w:r>
        <w:rPr>
          <w:rFonts w:ascii="Times New Roman" w:hAnsi="Times New Roman" w:cs="Times New Roman" w:eastAsia="Times New Roman" w:hint="default"/>
          <w:w w:val="95"/>
        </w:rPr>
        <w:t>3</w:t>
      </w:r>
      <w:r>
        <w:rPr>
          <w:w w:val="95"/>
        </w:rPr>
        <w:t>）公司无报告分部的，或者不能披露各报告分部的资产总额和负债总额的，应说明原因。   </w:t>
      </w:r>
      <w:r>
        <w:rPr>
          <w:spacing w:val="13"/>
          <w:w w:val="95"/>
        </w:rPr>
        <w:t> </w:t>
      </w:r>
      <w:r>
        <w:rPr>
          <w:spacing w:val="13"/>
          <w:w w:val="95"/>
        </w:rPr>
      </w:r>
      <w:r>
        <w:rPr>
          <w:rFonts w:ascii="宋体" w:hAnsi="宋体" w:cs="宋体" w:eastAsia="宋体" w:hint="default"/>
          <w:b w:val="0"/>
          <w:bCs w:val="0"/>
        </w:rPr>
        <w:t>无</w:t>
      </w:r>
    </w:p>
    <w:p>
      <w:pPr>
        <w:pStyle w:val="Heading4"/>
        <w:spacing w:line="607" w:lineRule="auto" w:before="113"/>
        <w:ind w:left="153" w:right="6882"/>
        <w:jc w:val="left"/>
        <w:rPr>
          <w:b w:val="0"/>
          <w:bCs w:val="0"/>
        </w:rPr>
      </w:pPr>
      <w:bookmarkStart w:name="（4）其他说明：无" w:id="249"/>
      <w:bookmarkEnd w:id="249"/>
      <w:r>
        <w:rPr>
          <w:b w:val="0"/>
          <w:bCs w:val="0"/>
        </w:rPr>
      </w:r>
      <w:r>
        <w:rPr/>
        <w:t>（</w:t>
      </w:r>
      <w:r>
        <w:rPr>
          <w:rFonts w:ascii="Times New Roman" w:hAnsi="Times New Roman" w:cs="Times New Roman" w:eastAsia="Times New Roman" w:hint="default"/>
        </w:rPr>
        <w:t>4</w:t>
      </w:r>
      <w:r>
        <w:rPr/>
        <w:t>）其他说明：无</w:t>
      </w:r>
      <w:r>
        <w:rPr>
          <w:spacing w:val="1"/>
          <w:w w:val="99"/>
        </w:rPr>
        <w:t> </w:t>
      </w:r>
      <w:bookmarkStart w:name="十五、母公司财务报表主要项目注释" w:id="250"/>
      <w:bookmarkEnd w:id="250"/>
      <w:r>
        <w:rPr/>
        <w:t>十</w:t>
      </w:r>
      <w:r>
        <w:rPr/>
        <w:t>五、母公司财务报表主要项目注释</w:t>
      </w:r>
      <w:r>
        <w:rPr>
          <w:w w:val="99"/>
        </w:rPr>
        <w:t> </w:t>
      </w:r>
      <w:bookmarkStart w:name="1、应收账款" w:id="251"/>
      <w:bookmarkEnd w:id="251"/>
      <w:r>
        <w:rPr>
          <w:w w:val="99"/>
        </w:rPr>
      </w:r>
      <w:r>
        <w:rPr>
          <w:rFonts w:ascii="Times New Roman" w:hAnsi="Times New Roman" w:cs="Times New Roman" w:eastAsia="Times New Roman" w:hint="default"/>
        </w:rPr>
        <w:t>1</w:t>
      </w:r>
      <w:r>
        <w:rPr/>
        <w:t>、应收账款</w:t>
      </w:r>
      <w:r>
        <w:rPr>
          <w:b w:val="0"/>
          <w:bCs w:val="0"/>
        </w:rPr>
      </w:r>
    </w:p>
    <w:p>
      <w:pPr>
        <w:pStyle w:val="Heading4"/>
        <w:spacing w:line="240" w:lineRule="auto" w:before="59"/>
        <w:ind w:right="0"/>
        <w:jc w:val="left"/>
        <w:rPr>
          <w:b w:val="0"/>
          <w:bCs w:val="0"/>
        </w:rPr>
      </w:pPr>
      <w:bookmarkStart w:name="（1）应收账款分类披露" w:id="252"/>
      <w:bookmarkEnd w:id="25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3,880,65</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3,880,65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3,880,6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8,142,24</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5.43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8,142,245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9,911,6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04.50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9,911,604.5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12,022,8</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96.53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3,880,65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32.28%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8,142,245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13,792,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255.60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28.14%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9,911,604.5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期末单项金额重大并单项计提坏账准备的应收账款：</w:t>
      </w:r>
    </w:p>
    <w:p>
      <w:pPr>
        <w:pStyle w:val="BodyText"/>
        <w:spacing w:line="338" w:lineRule="auto" w:before="117"/>
        <w:ind w:left="153"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left="153"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0" w:lineRule="auto" w:before="42"/>
        <w:ind w:left="153"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2"/>
          <w:szCs w:val="22"/>
        </w:rPr>
      </w:pPr>
    </w:p>
    <w:p>
      <w:pPr>
        <w:pStyle w:val="Heading4"/>
        <w:spacing w:line="240" w:lineRule="auto" w:before="0"/>
        <w:ind w:left="153" w:right="0"/>
        <w:jc w:val="left"/>
        <w:rPr>
          <w:b w:val="0"/>
          <w:bCs w:val="0"/>
        </w:rPr>
      </w:pPr>
      <w:bookmarkStart w:name="2、其他应收款" w:id="253"/>
      <w:bookmarkEnd w:id="25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30"/>
        <w:ind w:right="0"/>
        <w:jc w:val="left"/>
        <w:rPr>
          <w:b w:val="0"/>
          <w:bCs w:val="0"/>
        </w:rPr>
      </w:pPr>
      <w:bookmarkStart w:name="（1）其他应收款分类披露" w:id="254"/>
      <w:bookmarkEnd w:id="25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50,159,0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60.71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50,159,06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46,859,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283.17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88.64%</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46,859,283.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10,153,7</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42.10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10,153,74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5,590,8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04.75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10.57%</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5,590,804.7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416,499</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416,499.2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60,312,8</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02.81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60,312,80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2.81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52,866,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587.12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416,499.2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52,450,087.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spacing w:after="0" w:line="240" w:lineRule="auto"/>
        <w:jc w:val="left"/>
        <w:sectPr>
          <w:pgSz w:w="11910" w:h="16840"/>
          <w:pgMar w:header="851" w:footer="979" w:top="1320" w:bottom="1160" w:left="980" w:right="980"/>
        </w:sectPr>
      </w:pPr>
    </w:p>
    <w:p>
      <w:pPr>
        <w:pStyle w:val="BodyText"/>
        <w:spacing w:line="338" w:lineRule="auto" w:before="116"/>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153" w:right="0"/>
        <w:jc w:val="left"/>
      </w:pPr>
      <w:r>
        <w:rPr/>
        <w:t>单位： 元</w:t>
      </w:r>
    </w:p>
    <w:p>
      <w:pPr>
        <w:spacing w:after="0" w:line="240" w:lineRule="auto"/>
        <w:jc w:val="left"/>
        <w:sectPr>
          <w:pgSz w:w="11910" w:h="16840"/>
          <w:pgMar w:header="851" w:footer="979" w:top="132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25,774,431.83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24,551,717.30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9,378,149.41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608,504.27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60,312,802.81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left="154" w:right="5272"/>
        <w:jc w:val="left"/>
      </w:pPr>
      <w:r>
        <w:rPr/>
        <w:t>确定该组合依据的说明： 组合中，采用余额百分比法计提坏账准备的其他应收款：</w:t>
      </w:r>
    </w:p>
    <w:p>
      <w:pPr>
        <w:pStyle w:val="BodyText"/>
        <w:spacing w:line="338" w:lineRule="auto" w:before="29"/>
        <w:ind w:left="153"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7"/>
        <w:ind w:left="153" w:right="0"/>
        <w:jc w:val="left"/>
        <w:rPr>
          <w:b w:val="0"/>
          <w:bCs w:val="0"/>
        </w:rPr>
      </w:pPr>
      <w:bookmarkStart w:name="（2）本期实际核销的其他应收款情况" w:id="255"/>
      <w:bookmarkEnd w:id="255"/>
      <w:r>
        <w:rPr>
          <w:b w:val="0"/>
          <w:bCs w:val="0"/>
        </w:rPr>
      </w:r>
      <w:r>
        <w:rPr/>
        <w:t>（</w:t>
      </w:r>
      <w:r>
        <w:rPr>
          <w:rFonts w:ascii="Times New Roman" w:hAnsi="Times New Roman" w:cs="Times New Roman" w:eastAsia="Times New Roman" w:hint="default"/>
        </w:rPr>
        <w:t>2</w:t>
      </w:r>
      <w:r>
        <w:rPr/>
        <w:t>）本期实际核销的其他应收款情况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416,499.20</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41"/>
        <w:ind w:right="0"/>
        <w:jc w:val="left"/>
        <w:rPr>
          <w:b w:val="0"/>
          <w:bCs w:val="0"/>
        </w:rPr>
      </w:pPr>
      <w:bookmarkStart w:name="（3）其他应收款按款项性质分类情况" w:id="256"/>
      <w:bookmarkEnd w:id="256"/>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52,615,346.22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45,960,839.84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其他第三方往来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7,697,456.59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6,905,747.28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60,312,802.81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52,866,587.12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20" w:bottom="1160" w:left="980" w:right="980"/>
        </w:sectPr>
      </w:pPr>
    </w:p>
    <w:p>
      <w:pPr>
        <w:pStyle w:val="Heading4"/>
        <w:spacing w:line="590" w:lineRule="auto" w:before="116"/>
        <w:ind w:left="153" w:right="5346"/>
        <w:jc w:val="left"/>
        <w:rPr>
          <w:rFonts w:ascii="宋体" w:hAnsi="宋体" w:cs="宋体" w:eastAsia="宋体" w:hint="default"/>
          <w:b w:val="0"/>
          <w:bCs w:val="0"/>
        </w:rPr>
      </w:pPr>
      <w:bookmarkStart w:name="（4）转移其他应收款且继续涉入形成的资产、负债金额" w:id="257"/>
      <w:bookmarkEnd w:id="257"/>
      <w:r>
        <w:rPr>
          <w:b w:val="0"/>
          <w:bCs w:val="0"/>
        </w:rPr>
      </w:r>
      <w:r>
        <w:rPr/>
        <w:t>（</w:t>
      </w:r>
      <w:r>
        <w:rPr>
          <w:rFonts w:ascii="Times New Roman" w:hAnsi="Times New Roman" w:cs="Times New Roman" w:eastAsia="Times New Roman" w:hint="default"/>
        </w:rPr>
        <w:t>4</w:t>
      </w:r>
      <w:r>
        <w:rPr/>
        <w:t>）转移其他应收款且继续涉入形成的资产、负债金额</w:t>
      </w:r>
      <w:r>
        <w:rPr>
          <w:w w:val="99"/>
        </w:rPr>
        <w:t> </w:t>
      </w:r>
      <w:r>
        <w:rPr>
          <w:rFonts w:ascii="宋体" w:hAnsi="宋体" w:cs="宋体" w:eastAsia="宋体" w:hint="default"/>
          <w:b w:val="0"/>
          <w:bCs w:val="0"/>
        </w:rPr>
        <w:t>其他说明：无</w:t>
      </w:r>
    </w:p>
    <w:p>
      <w:pPr>
        <w:spacing w:line="240" w:lineRule="auto" w:before="4"/>
        <w:rPr>
          <w:rFonts w:ascii="宋体" w:hAnsi="宋体" w:cs="宋体" w:eastAsia="宋体" w:hint="default"/>
          <w:sz w:val="12"/>
          <w:szCs w:val="12"/>
        </w:rPr>
      </w:pPr>
    </w:p>
    <w:p>
      <w:pPr>
        <w:pStyle w:val="BodyText"/>
        <w:spacing w:line="240" w:lineRule="auto" w:before="44"/>
        <w:ind w:left="514" w:right="0"/>
        <w:jc w:val="left"/>
      </w:pPr>
      <w:r>
        <w:rPr/>
        <w:t>应收子公司款项</w:t>
      </w:r>
    </w:p>
    <w:p>
      <w:pPr>
        <w:pStyle w:val="BodyText"/>
        <w:spacing w:line="240" w:lineRule="auto" w:before="76"/>
        <w:ind w:left="0" w:right="150"/>
        <w:jc w:val="right"/>
      </w:pPr>
      <w:r>
        <w:rPr/>
        <w:t>单位：人民币元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738"/>
        <w:gridCol w:w="1398"/>
        <w:gridCol w:w="1790"/>
        <w:gridCol w:w="966"/>
        <w:gridCol w:w="1683"/>
        <w:gridCol w:w="1084"/>
      </w:tblGrid>
      <w:tr>
        <w:trPr>
          <w:trHeight w:val="347" w:hRule="exact"/>
        </w:trPr>
        <w:tc>
          <w:tcPr>
            <w:tcW w:w="2738"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8"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21"/>
              <w:ind w:left="1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756"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66"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971" w:hRule="exact"/>
        </w:trPr>
        <w:tc>
          <w:tcPr>
            <w:tcW w:w="2738" w:type="dxa"/>
            <w:vMerge/>
            <w:tcBorders>
              <w:left w:val="single" w:sz="6" w:space="0" w:color="000000"/>
              <w:bottom w:val="single" w:sz="6" w:space="0" w:color="000000"/>
              <w:right w:val="single" w:sz="6" w:space="0" w:color="000000"/>
            </w:tcBorders>
            <w:shd w:val="clear" w:color="auto" w:fill="CCCCCC"/>
          </w:tcPr>
          <w:p>
            <w:pPr/>
          </w:p>
        </w:tc>
        <w:tc>
          <w:tcPr>
            <w:tcW w:w="1398" w:type="dxa"/>
            <w:vMerge/>
            <w:tcBorders>
              <w:left w:val="single" w:sz="6" w:space="0" w:color="000000"/>
              <w:bottom w:val="single" w:sz="6" w:space="0" w:color="000000"/>
              <w:right w:val="single" w:sz="6" w:space="0" w:color="000000"/>
            </w:tcBorders>
            <w:shd w:val="clear" w:color="auto" w:fill="CCCCCC"/>
          </w:tcPr>
          <w:p>
            <w:pPr/>
          </w:p>
        </w:tc>
        <w:tc>
          <w:tcPr>
            <w:tcW w:w="17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21"/>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 款总额的比 例</w:t>
            </w:r>
            <w:r>
              <w:rPr>
                <w:rFonts w:ascii="Times New Roman" w:hAnsi="Times New Roman" w:cs="Times New Roman" w:eastAsia="Times New Roman" w:hint="default"/>
                <w:sz w:val="18"/>
                <w:szCs w:val="18"/>
              </w:rPr>
              <w:t>(%)</w:t>
            </w:r>
          </w:p>
        </w:tc>
        <w:tc>
          <w:tcPr>
            <w:tcW w:w="16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21"/>
              <w:ind w:left="83"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 款总额的比 例</w:t>
            </w:r>
            <w:r>
              <w:rPr>
                <w:rFonts w:ascii="Times New Roman" w:hAnsi="Times New Roman" w:cs="Times New Roman" w:eastAsia="Times New Roman" w:hint="default"/>
                <w:sz w:val="18"/>
                <w:szCs w:val="18"/>
              </w:rPr>
              <w:t>(%)</w:t>
            </w:r>
          </w:p>
        </w:tc>
      </w:tr>
      <w:tr>
        <w:trPr>
          <w:trHeight w:val="659"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湖南快乐的狗汽车文化传播有限公</w:t>
            </w:r>
            <w:r>
              <w:rPr>
                <w:rFonts w:ascii="宋体" w:hAnsi="宋体" w:cs="宋体" w:eastAsia="宋体" w:hint="default"/>
                <w:spacing w:val="-76"/>
                <w:sz w:val="18"/>
                <w:szCs w:val="18"/>
              </w:rPr>
              <w:t> </w:t>
            </w:r>
            <w:r>
              <w:rPr>
                <w:rFonts w:ascii="宋体" w:hAnsi="宋体" w:cs="宋体" w:eastAsia="宋体" w:hint="default"/>
                <w:sz w:val="18"/>
                <w:szCs w:val="18"/>
              </w:rPr>
              <w:t>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2,211,285.51</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Calibri" w:hAnsi="Calibri" w:cs="Calibri" w:eastAsia="Calibri" w:hint="default"/>
                <w:sz w:val="21"/>
                <w:szCs w:val="21"/>
              </w:rPr>
            </w:pPr>
            <w:r>
              <w:rPr>
                <w:rFonts w:ascii="Calibri"/>
                <w:sz w:val="21"/>
              </w:rPr>
              <w:t>3.67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2,242,830.67</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Calibri" w:hAnsi="Calibri" w:cs="Calibri" w:eastAsia="Calibri" w:hint="default"/>
                <w:sz w:val="21"/>
                <w:szCs w:val="21"/>
              </w:rPr>
            </w:pPr>
            <w:r>
              <w:rPr>
                <w:rFonts w:ascii="Calibri"/>
                <w:sz w:val="21"/>
              </w:rPr>
              <w:t>4.24</w:t>
            </w:r>
          </w:p>
        </w:tc>
      </w:tr>
      <w:tr>
        <w:trPr>
          <w:trHeight w:val="347"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上海快乐购企业发展有限公司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9015239.41</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Calibri" w:hAnsi="Calibri" w:cs="Calibri" w:eastAsia="Calibri" w:hint="default"/>
                <w:sz w:val="21"/>
                <w:szCs w:val="21"/>
              </w:rPr>
            </w:pPr>
            <w:r>
              <w:rPr>
                <w:rFonts w:ascii="Calibri"/>
                <w:spacing w:val="-1"/>
                <w:sz w:val="21"/>
              </w:rPr>
              <w:t>14.95</w:t>
            </w:r>
            <w:r>
              <w:rPr>
                <w:rFonts w:ascii="Calibri"/>
                <w:sz w:val="21"/>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9,015,239.41</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Calibri" w:hAnsi="Calibri" w:cs="Calibri" w:eastAsia="Calibri" w:hint="default"/>
                <w:sz w:val="21"/>
                <w:szCs w:val="21"/>
              </w:rPr>
            </w:pPr>
            <w:r>
              <w:rPr>
                <w:rFonts w:ascii="Calibri"/>
                <w:spacing w:val="-1"/>
                <w:sz w:val="21"/>
              </w:rPr>
              <w:t>17.05</w:t>
            </w:r>
            <w:r>
              <w:rPr>
                <w:rFonts w:ascii="Calibri"/>
                <w:sz w:val="21"/>
              </w:rPr>
            </w:r>
          </w:p>
        </w:tc>
      </w:tr>
      <w:tr>
        <w:trPr>
          <w:trHeight w:val="660"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4"/>
                <w:sz w:val="18"/>
                <w:szCs w:val="18"/>
              </w:rPr>
              <w:t>快乐的狗</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北京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新媒体技术有限责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任公司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9838306.77</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Calibri" w:hAnsi="Calibri" w:cs="Calibri" w:eastAsia="Calibri" w:hint="default"/>
                <w:sz w:val="21"/>
                <w:szCs w:val="21"/>
              </w:rPr>
            </w:pPr>
            <w:r>
              <w:rPr>
                <w:rFonts w:ascii="Calibri"/>
                <w:spacing w:val="-1"/>
                <w:sz w:val="21"/>
              </w:rPr>
              <w:t>16.31</w:t>
            </w:r>
            <w:r>
              <w:rPr>
                <w:rFonts w:ascii="Calibri"/>
                <w:sz w:val="21"/>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13,975,628.47</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Calibri" w:hAnsi="Calibri" w:cs="Calibri" w:eastAsia="Calibri" w:hint="default"/>
                <w:sz w:val="21"/>
                <w:szCs w:val="21"/>
              </w:rPr>
            </w:pPr>
            <w:r>
              <w:rPr>
                <w:rFonts w:ascii="Calibri"/>
                <w:spacing w:val="-1"/>
                <w:sz w:val="21"/>
              </w:rPr>
              <w:t>26.44</w:t>
            </w:r>
            <w:r>
              <w:rPr>
                <w:rFonts w:ascii="Calibri"/>
                <w:sz w:val="21"/>
              </w:rPr>
            </w:r>
          </w:p>
        </w:tc>
      </w:tr>
      <w:tr>
        <w:trPr>
          <w:trHeight w:val="347"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上海快乐讯广告传播有限公司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2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12594451.7</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Calibri" w:hAnsi="Calibri" w:cs="Calibri" w:eastAsia="Calibri" w:hint="default"/>
                <w:sz w:val="21"/>
                <w:szCs w:val="21"/>
              </w:rPr>
            </w:pPr>
            <w:r>
              <w:rPr>
                <w:rFonts w:ascii="Calibri"/>
                <w:spacing w:val="-1"/>
                <w:sz w:val="21"/>
              </w:rPr>
              <w:t>20.88</w:t>
            </w:r>
            <w:r>
              <w:rPr>
                <w:rFonts w:ascii="Calibri"/>
                <w:sz w:val="21"/>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12,587,562.14</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Calibri" w:hAnsi="Calibri" w:cs="Calibri" w:eastAsia="Calibri" w:hint="default"/>
                <w:sz w:val="21"/>
                <w:szCs w:val="21"/>
              </w:rPr>
            </w:pPr>
            <w:r>
              <w:rPr>
                <w:rFonts w:ascii="Calibri"/>
                <w:spacing w:val="-1"/>
                <w:sz w:val="21"/>
              </w:rPr>
              <w:t>23.81</w:t>
            </w:r>
            <w:r>
              <w:rPr>
                <w:rFonts w:ascii="Calibri"/>
                <w:sz w:val="21"/>
              </w:rPr>
            </w:r>
          </w:p>
        </w:tc>
      </w:tr>
      <w:tr>
        <w:trPr>
          <w:trHeight w:val="347"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供应链管理有限公司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18711062.83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Calibri" w:hAnsi="Calibri" w:cs="Calibri" w:eastAsia="Calibri" w:hint="default"/>
                <w:sz w:val="21"/>
                <w:szCs w:val="21"/>
              </w:rPr>
            </w:pPr>
            <w:r>
              <w:rPr>
                <w:rFonts w:ascii="Calibri"/>
                <w:spacing w:val="-1"/>
                <w:sz w:val="21"/>
              </w:rPr>
              <w:t>31.02</w:t>
            </w:r>
            <w:r>
              <w:rPr>
                <w:rFonts w:ascii="Calibri"/>
                <w:sz w:val="21"/>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8,139,579.15</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Calibri" w:hAnsi="Calibri" w:cs="Calibri" w:eastAsia="Calibri" w:hint="default"/>
                <w:sz w:val="21"/>
                <w:szCs w:val="21"/>
              </w:rPr>
            </w:pPr>
            <w:r>
              <w:rPr>
                <w:rFonts w:ascii="Calibri"/>
                <w:spacing w:val="-1"/>
                <w:sz w:val="21"/>
              </w:rPr>
              <w:t>15.40</w:t>
            </w:r>
            <w:r>
              <w:rPr>
                <w:rFonts w:ascii="Calibri"/>
                <w:sz w:val="21"/>
              </w:rPr>
            </w:r>
          </w:p>
        </w:tc>
      </w:tr>
      <w:tr>
        <w:trPr>
          <w:trHeight w:val="659"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道格云商（湖南）贸易有限责任公</w:t>
            </w:r>
            <w:r>
              <w:rPr>
                <w:rFonts w:ascii="宋体" w:hAnsi="宋体" w:cs="宋体" w:eastAsia="宋体" w:hint="default"/>
                <w:spacing w:val="-76"/>
                <w:sz w:val="18"/>
                <w:szCs w:val="18"/>
              </w:rPr>
              <w:t> </w:t>
            </w:r>
            <w:r>
              <w:rPr>
                <w:rFonts w:ascii="宋体" w:hAnsi="宋体" w:cs="宋体" w:eastAsia="宋体" w:hint="default"/>
                <w:sz w:val="18"/>
                <w:szCs w:val="18"/>
              </w:rPr>
              <w:t>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235,000.80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Calibri" w:hAnsi="Calibri" w:cs="Calibri" w:eastAsia="Calibri" w:hint="default"/>
                <w:sz w:val="21"/>
                <w:szCs w:val="21"/>
              </w:rPr>
            </w:pPr>
            <w:r>
              <w:rPr>
                <w:rFonts w:ascii="Calibri"/>
                <w:sz w:val="21"/>
              </w:rPr>
              <w:t>0.39</w:t>
            </w:r>
          </w:p>
        </w:tc>
        <w:tc>
          <w:tcPr>
            <w:tcW w:w="1683" w:type="dxa"/>
            <w:tcBorders>
              <w:top w:val="single" w:sz="6" w:space="0" w:color="000000"/>
              <w:left w:val="single" w:sz="6" w:space="0" w:color="000000"/>
              <w:bottom w:val="single" w:sz="6" w:space="0" w:color="000000"/>
              <w:right w:val="single" w:sz="6" w:space="0" w:color="000000"/>
            </w:tcBorders>
          </w:tcPr>
          <w:p>
            <w:pP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Calibri" w:hAnsi="Calibri" w:cs="Calibri" w:eastAsia="Calibri" w:hint="default"/>
                <w:sz w:val="21"/>
                <w:szCs w:val="21"/>
              </w:rPr>
            </w:pPr>
            <w:r>
              <w:rPr>
                <w:rFonts w:ascii="Calibri"/>
                <w:sz w:val="21"/>
              </w:rPr>
              <w:t>0.00</w:t>
            </w:r>
          </w:p>
        </w:tc>
      </w:tr>
      <w:tr>
        <w:trPr>
          <w:trHeight w:val="659"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芒果生活（湖南）电子商务有限责</w:t>
            </w:r>
            <w:r>
              <w:rPr>
                <w:rFonts w:ascii="宋体" w:hAnsi="宋体" w:cs="宋体" w:eastAsia="宋体" w:hint="default"/>
                <w:spacing w:val="-76"/>
                <w:sz w:val="18"/>
                <w:szCs w:val="18"/>
              </w:rPr>
              <w:t> </w:t>
            </w:r>
            <w:r>
              <w:rPr>
                <w:rFonts w:ascii="宋体" w:hAnsi="宋体" w:cs="宋体" w:eastAsia="宋体" w:hint="default"/>
                <w:sz w:val="18"/>
                <w:szCs w:val="18"/>
              </w:rPr>
              <w:t>任公司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Calibri" w:hAnsi="Calibri" w:cs="Calibri" w:eastAsia="Calibri" w:hint="default"/>
                <w:sz w:val="21"/>
                <w:szCs w:val="21"/>
              </w:rPr>
            </w:pPr>
            <w:r>
              <w:rPr>
                <w:rFonts w:ascii="Calibri"/>
                <w:sz w:val="21"/>
              </w:rPr>
              <w:t>0.02</w:t>
            </w:r>
          </w:p>
        </w:tc>
        <w:tc>
          <w:tcPr>
            <w:tcW w:w="1683" w:type="dxa"/>
            <w:tcBorders>
              <w:top w:val="single" w:sz="6" w:space="0" w:color="000000"/>
              <w:left w:val="single" w:sz="6" w:space="0" w:color="000000"/>
              <w:bottom w:val="single" w:sz="6" w:space="0" w:color="000000"/>
              <w:right w:val="single" w:sz="6" w:space="0" w:color="000000"/>
            </w:tcBorders>
          </w:tcPr>
          <w:p>
            <w:pP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Calibri" w:hAnsi="Calibri" w:cs="Calibri" w:eastAsia="Calibri" w:hint="default"/>
                <w:sz w:val="21"/>
                <w:szCs w:val="21"/>
              </w:rPr>
            </w:pPr>
            <w:r>
              <w:rPr>
                <w:rFonts w:ascii="Calibri"/>
                <w:sz w:val="21"/>
              </w:rPr>
              <w:t>0.00</w:t>
            </w:r>
          </w:p>
        </w:tc>
      </w:tr>
      <w:tr>
        <w:trPr>
          <w:trHeight w:val="741"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52,615,347.02</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Calibri" w:hAnsi="Calibri" w:cs="Calibri" w:eastAsia="Calibri" w:hint="default"/>
                <w:sz w:val="21"/>
                <w:szCs w:val="21"/>
              </w:rPr>
            </w:pPr>
            <w:r>
              <w:rPr>
                <w:rFonts w:ascii="Calibri"/>
                <w:spacing w:val="-1"/>
                <w:sz w:val="21"/>
              </w:rPr>
              <w:t>87.24</w:t>
            </w:r>
            <w:r>
              <w:rPr>
                <w:rFonts w:ascii="Calibri"/>
                <w:sz w:val="21"/>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45,960,839.84</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Calibri" w:hAnsi="Calibri" w:cs="Calibri" w:eastAsia="Calibri" w:hint="default"/>
                <w:sz w:val="21"/>
                <w:szCs w:val="21"/>
              </w:rPr>
            </w:pPr>
            <w:r>
              <w:rPr>
                <w:rFonts w:ascii="Calibri"/>
                <w:spacing w:val="-1"/>
                <w:sz w:val="21"/>
              </w:rPr>
              <w:t>86.94</w:t>
            </w:r>
            <w:r>
              <w:rPr>
                <w:rFonts w:ascii="Calibri"/>
                <w:sz w:val="21"/>
              </w:rPr>
            </w:r>
          </w:p>
        </w:tc>
      </w:tr>
    </w:tbl>
    <w:p>
      <w:pPr>
        <w:spacing w:line="240" w:lineRule="auto" w:before="3"/>
        <w:rPr>
          <w:rFonts w:ascii="宋体" w:hAnsi="宋体" w:cs="宋体" w:eastAsia="宋体" w:hint="default"/>
          <w:sz w:val="21"/>
          <w:szCs w:val="21"/>
        </w:rPr>
      </w:pPr>
    </w:p>
    <w:p>
      <w:pPr>
        <w:pStyle w:val="BodyText"/>
        <w:spacing w:line="300" w:lineRule="auto" w:before="44"/>
        <w:ind w:left="153" w:right="173" w:firstLine="360"/>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日，本公司其他应收款中无应收其他持有公司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 或关联方的情况。</w:t>
      </w:r>
    </w:p>
    <w:p>
      <w:pPr>
        <w:spacing w:line="240" w:lineRule="auto" w:before="6"/>
        <w:rPr>
          <w:rFonts w:ascii="宋体" w:hAnsi="宋体" w:cs="宋体" w:eastAsia="宋体" w:hint="default"/>
          <w:sz w:val="25"/>
          <w:szCs w:val="25"/>
        </w:rPr>
      </w:pPr>
    </w:p>
    <w:p>
      <w:pPr>
        <w:pStyle w:val="Heading4"/>
        <w:spacing w:line="240" w:lineRule="auto" w:before="0"/>
        <w:ind w:left="153" w:right="0"/>
        <w:jc w:val="left"/>
        <w:rPr>
          <w:b w:val="0"/>
          <w:bCs w:val="0"/>
        </w:rPr>
      </w:pPr>
      <w:bookmarkStart w:name="3、长期股权投资" w:id="258"/>
      <w:bookmarkEnd w:id="25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166,811,533.90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56,811,533.90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166,811,533.90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56,811,533.90</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1）对子公司投资" w:id="259"/>
      <w:bookmarkEnd w:id="25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湖南快乐的狗汽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车文化传播有限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上海快乐购企业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上海快乐讯广告 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新 媒体技术有限责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供应 链管理有限公司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26,811,533.90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76,811,533.90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道格云商（湖南） 贸易有限责任公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芒果生活（湖南） 电子商务有限责 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64,811,533.90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174,811,533.90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4、营业收入和营业成本" w:id="260"/>
      <w:bookmarkEnd w:id="26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2,768,744,817.78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2,117,562,706.57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3,296,845,178.48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2,579,124,483.44</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61,295,851.37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10,513,840.97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65,472,974.57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14,743,701.98</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2,830,040,669.15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2,128,076,547.54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3,362,318,153.05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2,593,868,185.42</w:t>
            </w:r>
          </w:p>
        </w:tc>
      </w:tr>
    </w:tbl>
    <w:p>
      <w:pPr>
        <w:spacing w:line="607" w:lineRule="auto" w:before="51"/>
        <w:ind w:left="153" w:right="8689" w:firstLine="0"/>
        <w:jc w:val="left"/>
        <w:rPr>
          <w:rFonts w:ascii="宋体" w:hAnsi="宋体" w:cs="宋体" w:eastAsia="宋体" w:hint="default"/>
          <w:sz w:val="18"/>
          <w:szCs w:val="18"/>
        </w:rPr>
      </w:pPr>
      <w:r>
        <w:rPr>
          <w:rFonts w:ascii="宋体" w:hAnsi="宋体" w:cs="宋体" w:eastAsia="宋体" w:hint="default"/>
          <w:sz w:val="18"/>
          <w:szCs w:val="18"/>
        </w:rPr>
        <w:t>其他说明：无 </w:t>
      </w:r>
      <w:bookmarkStart w:name="5、其他" w:id="261"/>
      <w:bookmarkEnd w:id="261"/>
      <w:r>
        <w:rPr>
          <w:rFonts w:ascii="宋体" w:hAnsi="宋体" w:cs="宋体" w:eastAsia="宋体" w:hint="default"/>
          <w:sz w:val="18"/>
          <w:szCs w:val="18"/>
        </w:rPr>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一、应付账款</w:t>
      </w:r>
      <w:r>
        <w:rPr>
          <w:rFonts w:ascii="宋体" w:hAnsi="宋体" w:cs="宋体" w:eastAsia="宋体" w:hint="default"/>
          <w:sz w:val="18"/>
          <w:szCs w:val="18"/>
        </w:rPr>
      </w:r>
    </w:p>
    <w:p>
      <w:pPr>
        <w:pStyle w:val="BodyText"/>
        <w:spacing w:line="240" w:lineRule="auto" w:before="113"/>
        <w:ind w:left="153" w:right="0"/>
        <w:jc w:val="left"/>
      </w:pPr>
      <w:r>
        <w:rPr>
          <w:rFonts w:ascii="Times New Roman" w:hAnsi="Times New Roman" w:cs="Times New Roman" w:eastAsia="Times New Roman" w:hint="default"/>
        </w:rPr>
        <w:t>(1)</w:t>
      </w:r>
      <w:r>
        <w:rPr/>
        <w:t>应付账款明细如下：</w:t>
      </w:r>
    </w:p>
    <w:p>
      <w:pPr>
        <w:pStyle w:val="BodyText"/>
        <w:spacing w:line="240" w:lineRule="auto" w:before="63"/>
        <w:ind w:left="0" w:right="150"/>
        <w:jc w:val="right"/>
      </w:pPr>
      <w:r>
        <w:rPr/>
        <w:t>单位：人民币元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486"/>
        <w:gridCol w:w="2548"/>
        <w:gridCol w:w="2543"/>
      </w:tblGrid>
      <w:tr>
        <w:trPr>
          <w:trHeight w:val="347" w:hRule="exact"/>
        </w:trPr>
        <w:tc>
          <w:tcPr>
            <w:tcW w:w="4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4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4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308,697,124.92</w:t>
            </w:r>
          </w:p>
        </w:tc>
        <w:tc>
          <w:tcPr>
            <w:tcW w:w="2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348,913,582.12</w:t>
            </w:r>
          </w:p>
        </w:tc>
      </w:tr>
      <w:tr>
        <w:trPr>
          <w:trHeight w:val="348" w:hRule="exact"/>
        </w:trPr>
        <w:tc>
          <w:tcPr>
            <w:tcW w:w="4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308,697,124.92</w:t>
            </w:r>
          </w:p>
        </w:tc>
        <w:tc>
          <w:tcPr>
            <w:tcW w:w="2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348,913,582.12</w:t>
            </w:r>
          </w:p>
        </w:tc>
      </w:tr>
    </w:tbl>
    <w:p>
      <w:pPr>
        <w:spacing w:line="240" w:lineRule="auto" w:before="3"/>
        <w:rPr>
          <w:rFonts w:ascii="宋体" w:hAnsi="宋体" w:cs="宋体" w:eastAsia="宋体" w:hint="default"/>
          <w:sz w:val="21"/>
          <w:szCs w:val="21"/>
        </w:rPr>
      </w:pPr>
    </w:p>
    <w:p>
      <w:pPr>
        <w:pStyle w:val="BodyText"/>
        <w:spacing w:line="240" w:lineRule="auto" w:before="44"/>
        <w:ind w:left="153" w:right="0"/>
        <w:jc w:val="left"/>
      </w:pPr>
      <w:r>
        <w:rPr>
          <w:rFonts w:ascii="Times New Roman" w:hAnsi="Times New Roman" w:cs="Times New Roman" w:eastAsia="Times New Roman" w:hint="default"/>
        </w:rPr>
        <w:t>(2)</w:t>
      </w:r>
      <w:r>
        <w:rPr/>
        <w:t>本报告期应付账款中应付持有公司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以上表决权股份的股东单位或关联方的款项情况</w:t>
      </w:r>
    </w:p>
    <w:p>
      <w:pPr>
        <w:spacing w:after="0" w:line="240" w:lineRule="auto"/>
        <w:jc w:val="left"/>
        <w:sectPr>
          <w:pgSz w:w="11910" w:h="16840"/>
          <w:pgMar w:header="851" w:footer="979" w:top="1320" w:bottom="1160" w:left="980" w:right="980"/>
        </w:sectPr>
      </w:pPr>
    </w:p>
    <w:p>
      <w:pPr>
        <w:pStyle w:val="BodyText"/>
        <w:spacing w:line="240" w:lineRule="auto" w:before="114"/>
        <w:ind w:left="0" w:right="150"/>
        <w:jc w:val="right"/>
      </w:pPr>
      <w:r>
        <w:rPr/>
        <w:t>单位：人民币元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484"/>
        <w:gridCol w:w="2548"/>
        <w:gridCol w:w="2545"/>
      </w:tblGrid>
      <w:tr>
        <w:trPr>
          <w:trHeight w:val="347" w:hRule="exact"/>
        </w:trPr>
        <w:tc>
          <w:tcPr>
            <w:tcW w:w="44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4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4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4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道格云商（湖南）贸易有限责任公司</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6,211,699.63</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上海快乐讯广告传播有限公司</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7,291,498.89</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5,993,796.63</w:t>
            </w:r>
          </w:p>
        </w:tc>
      </w:tr>
      <w:tr>
        <w:trPr>
          <w:trHeight w:val="348" w:hRule="exact"/>
        </w:trPr>
        <w:tc>
          <w:tcPr>
            <w:tcW w:w="44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13,503,198.52</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5,993,796.63</w:t>
            </w:r>
          </w:p>
        </w:tc>
      </w:tr>
    </w:tbl>
    <w:p>
      <w:pPr>
        <w:pStyle w:val="Heading4"/>
        <w:spacing w:line="240" w:lineRule="auto" w:before="10"/>
        <w:ind w:right="0"/>
        <w:jc w:val="left"/>
        <w:rPr>
          <w:b w:val="0"/>
          <w:bCs w:val="0"/>
        </w:rPr>
      </w:pPr>
      <w:r>
        <w:rPr/>
        <w:t>二、其他应付款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44"/>
        <w:ind w:left="154" w:right="0"/>
        <w:jc w:val="left"/>
      </w:pPr>
      <w:r>
        <w:rPr>
          <w:rFonts w:ascii="Times New Roman" w:hAnsi="Times New Roman" w:cs="Times New Roman" w:eastAsia="Times New Roman" w:hint="default"/>
        </w:rPr>
        <w:t>(1)</w:t>
      </w:r>
      <w:r>
        <w:rPr/>
        <w:t>其他应付款明细如下：</w:t>
      </w:r>
    </w:p>
    <w:p>
      <w:pPr>
        <w:pStyle w:val="BodyText"/>
        <w:spacing w:line="240" w:lineRule="auto" w:before="63"/>
        <w:ind w:left="0" w:right="150"/>
        <w:jc w:val="right"/>
      </w:pPr>
      <w:r>
        <w:rPr/>
        <w:t>单位：人民币元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486"/>
        <w:gridCol w:w="2548"/>
        <w:gridCol w:w="2543"/>
      </w:tblGrid>
      <w:tr>
        <w:trPr>
          <w:trHeight w:val="352" w:hRule="exact"/>
        </w:trPr>
        <w:tc>
          <w:tcPr>
            <w:tcW w:w="4486" w:type="dxa"/>
            <w:tcBorders>
              <w:top w:val="single" w:sz="6" w:space="0" w:color="000000"/>
              <w:left w:val="single" w:sz="6" w:space="0" w:color="000000"/>
              <w:bottom w:val="single" w:sz="10"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4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44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场地租赁费</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4,196,082.20</w:t>
            </w:r>
          </w:p>
        </w:tc>
        <w:tc>
          <w:tcPr>
            <w:tcW w:w="2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4,196,082.20</w:t>
            </w:r>
          </w:p>
        </w:tc>
      </w:tr>
      <w:tr>
        <w:trPr>
          <w:trHeight w:val="348" w:hRule="exact"/>
        </w:trPr>
        <w:tc>
          <w:tcPr>
            <w:tcW w:w="44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设备采购款</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3,050,875.47</w:t>
            </w:r>
          </w:p>
        </w:tc>
        <w:tc>
          <w:tcPr>
            <w:tcW w:w="2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2,965,299.65</w:t>
            </w:r>
          </w:p>
        </w:tc>
      </w:tr>
      <w:tr>
        <w:trPr>
          <w:trHeight w:val="347" w:hRule="exact"/>
        </w:trPr>
        <w:tc>
          <w:tcPr>
            <w:tcW w:w="44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11,216,655.90</w:t>
            </w:r>
          </w:p>
        </w:tc>
        <w:tc>
          <w:tcPr>
            <w:tcW w:w="2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13,648,305.92</w:t>
            </w:r>
          </w:p>
        </w:tc>
      </w:tr>
      <w:tr>
        <w:trPr>
          <w:trHeight w:val="347" w:hRule="exact"/>
        </w:trPr>
        <w:tc>
          <w:tcPr>
            <w:tcW w:w="44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8,007,039.66</w:t>
            </w:r>
          </w:p>
        </w:tc>
        <w:tc>
          <w:tcPr>
            <w:tcW w:w="2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8,671,116.43</w:t>
            </w:r>
          </w:p>
        </w:tc>
      </w:tr>
      <w:tr>
        <w:trPr>
          <w:trHeight w:val="348" w:hRule="exact"/>
        </w:trPr>
        <w:tc>
          <w:tcPr>
            <w:tcW w:w="44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26,470,653.23</w:t>
            </w:r>
          </w:p>
        </w:tc>
        <w:tc>
          <w:tcPr>
            <w:tcW w:w="2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29,480,804.20</w:t>
            </w:r>
          </w:p>
        </w:tc>
      </w:tr>
    </w:tbl>
    <w:p>
      <w:pPr>
        <w:spacing w:line="240" w:lineRule="auto" w:before="3"/>
        <w:rPr>
          <w:rFonts w:ascii="宋体" w:hAnsi="宋体" w:cs="宋体" w:eastAsia="宋体" w:hint="default"/>
          <w:sz w:val="21"/>
          <w:szCs w:val="21"/>
        </w:rPr>
      </w:pPr>
    </w:p>
    <w:p>
      <w:pPr>
        <w:pStyle w:val="BodyText"/>
        <w:spacing w:line="240" w:lineRule="auto" w:before="44"/>
        <w:ind w:left="153" w:right="0"/>
        <w:jc w:val="left"/>
      </w:pPr>
      <w:r>
        <w:rPr>
          <w:rFonts w:ascii="Times New Roman" w:hAnsi="Times New Roman" w:cs="Times New Roman" w:eastAsia="Times New Roman" w:hint="default"/>
        </w:rPr>
        <w:t>(2)</w:t>
      </w:r>
      <w:r>
        <w:rPr/>
        <w:t>本报告期其他应付款中应付持有公司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以上表决权股份的股东单位或关联方情况</w:t>
      </w:r>
    </w:p>
    <w:p>
      <w:pPr>
        <w:pStyle w:val="BodyText"/>
        <w:spacing w:line="240" w:lineRule="auto" w:before="63"/>
        <w:ind w:left="0" w:right="150"/>
        <w:jc w:val="right"/>
      </w:pPr>
      <w:r>
        <w:rPr/>
        <w:t>单位：人民币元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478"/>
        <w:gridCol w:w="2550"/>
        <w:gridCol w:w="2549"/>
      </w:tblGrid>
      <w:tr>
        <w:trPr>
          <w:trHeight w:val="346" w:hRule="exact"/>
        </w:trPr>
        <w:tc>
          <w:tcPr>
            <w:tcW w:w="44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6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4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6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44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湖南广播电视台</w:t>
            </w:r>
            <w:r>
              <w:rPr>
                <w:rFonts w:ascii="Times New Roman" w:hAnsi="Times New Roman" w:cs="Times New Roman" w:eastAsia="Times New Roman" w:hint="default"/>
                <w:sz w:val="18"/>
                <w:szCs w:val="18"/>
              </w:rPr>
              <w:t>(</w:t>
            </w:r>
            <w:r>
              <w:rPr>
                <w:rFonts w:ascii="宋体" w:hAnsi="宋体" w:cs="宋体" w:eastAsia="宋体" w:hint="default"/>
                <w:sz w:val="18"/>
                <w:szCs w:val="18"/>
              </w:rPr>
              <w:t>原湖南电视台</w:t>
            </w:r>
            <w:r>
              <w:rPr>
                <w:rFonts w:ascii="Times New Roman" w:hAnsi="Times New Roman" w:cs="Times New Roman" w:eastAsia="Times New Roman" w:hint="default"/>
                <w:sz w:val="18"/>
                <w:szCs w:val="18"/>
              </w:rPr>
              <w:t>)</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4,196,082.20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4,196,082.20</w:t>
            </w:r>
          </w:p>
        </w:tc>
      </w:tr>
      <w:tr>
        <w:trPr>
          <w:trHeight w:val="348" w:hRule="exact"/>
        </w:trPr>
        <w:tc>
          <w:tcPr>
            <w:tcW w:w="44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4,196,082.20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4,196,082.20</w:t>
            </w:r>
          </w:p>
        </w:tc>
      </w:tr>
    </w:tbl>
    <w:p>
      <w:pPr>
        <w:spacing w:line="240" w:lineRule="auto" w:before="3"/>
        <w:rPr>
          <w:rFonts w:ascii="宋体" w:hAnsi="宋体" w:cs="宋体" w:eastAsia="宋体" w:hint="default"/>
          <w:sz w:val="21"/>
          <w:szCs w:val="21"/>
        </w:rPr>
      </w:pPr>
    </w:p>
    <w:p>
      <w:pPr>
        <w:pStyle w:val="Heading4"/>
        <w:spacing w:line="240" w:lineRule="auto"/>
        <w:ind w:left="153" w:right="0"/>
        <w:jc w:val="left"/>
        <w:rPr>
          <w:b w:val="0"/>
          <w:bCs w:val="0"/>
        </w:rPr>
      </w:pPr>
      <w:r>
        <w:rPr/>
        <w:t>三、现金流量表补充资料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44"/>
        <w:ind w:left="153" w:right="0"/>
        <w:jc w:val="left"/>
      </w:pPr>
      <w:r>
        <w:rPr>
          <w:rFonts w:ascii="Times New Roman" w:hAnsi="Times New Roman" w:cs="Times New Roman" w:eastAsia="Times New Roman" w:hint="default"/>
        </w:rPr>
        <w:t>(1)</w:t>
      </w:r>
      <w:r>
        <w:rPr/>
        <w:t>现金流量表补充资料</w:t>
      </w:r>
    </w:p>
    <w:p>
      <w:pPr>
        <w:pStyle w:val="BodyText"/>
        <w:spacing w:line="240" w:lineRule="auto" w:before="63"/>
        <w:ind w:left="0" w:right="150"/>
        <w:jc w:val="right"/>
      </w:pPr>
      <w:r>
        <w:rPr/>
        <w:t>单位：人民币元</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965"/>
        <w:gridCol w:w="2124"/>
        <w:gridCol w:w="2489"/>
      </w:tblGrid>
      <w:tr>
        <w:trPr>
          <w:trHeight w:val="341"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1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left="69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年度</w:t>
            </w:r>
            <w:r>
              <w:rPr>
                <w:rFonts w:ascii="宋体" w:hAnsi="宋体" w:cs="宋体" w:eastAsia="宋体" w:hint="default"/>
                <w:sz w:val="18"/>
                <w:szCs w:val="18"/>
              </w:rPr>
            </w:r>
          </w:p>
        </w:tc>
        <w:tc>
          <w:tcPr>
            <w:tcW w:w="248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7"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124" w:type="dxa"/>
            <w:tcBorders>
              <w:top w:val="single" w:sz="10" w:space="0" w:color="000000"/>
              <w:left w:val="single" w:sz="6" w:space="0" w:color="000000"/>
              <w:bottom w:val="single" w:sz="6" w:space="0" w:color="000000"/>
              <w:right w:val="single" w:sz="6" w:space="0" w:color="000000"/>
            </w:tcBorders>
          </w:tcPr>
          <w:p>
            <w:pPr/>
          </w:p>
        </w:tc>
        <w:tc>
          <w:tcPr>
            <w:tcW w:w="2489"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161,164,862.93</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177,764,686.73</w:t>
            </w:r>
          </w:p>
        </w:tc>
      </w:tr>
      <w:tr>
        <w:trPr>
          <w:trHeight w:val="347"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(11,066,697.85)</w:t>
            </w:r>
          </w:p>
        </w:tc>
      </w:tr>
      <w:tr>
        <w:trPr>
          <w:trHeight w:val="347"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89"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10,633,570.03</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10,440,605.08</w:t>
            </w:r>
          </w:p>
        </w:tc>
      </w:tr>
      <w:tr>
        <w:trPr>
          <w:trHeight w:val="348"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8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3,574,111.40</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2,299,523.64</w:t>
            </w:r>
          </w:p>
        </w:tc>
      </w:tr>
      <w:tr>
        <w:trPr>
          <w:trHeight w:val="347"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68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2,042,545.85</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2,301,391.02</w:t>
            </w:r>
          </w:p>
        </w:tc>
      </w:tr>
      <w:tr>
        <w:trPr>
          <w:trHeight w:val="659"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00" w:lineRule="auto" w:before="21"/>
              <w:ind w:left="689"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6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5,634.72</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10,006.99</w:t>
            </w:r>
          </w:p>
        </w:tc>
      </w:tr>
      <w:tr>
        <w:trPr>
          <w:trHeight w:val="347"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9,450,906.78</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1,513,487.92</w:t>
            </w:r>
          </w:p>
        </w:tc>
      </w:tr>
      <w:tr>
        <w:trPr>
          <w:trHeight w:val="348"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(34,948,248.84)</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(32,564,405.63)</w:t>
            </w:r>
          </w:p>
        </w:tc>
      </w:tr>
      <w:tr>
        <w:trPr>
          <w:trHeight w:val="347"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6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(38,316,743.28)</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67,509,539.04</w:t>
            </w:r>
          </w:p>
        </w:tc>
      </w:tr>
      <w:tr>
        <w:trPr>
          <w:trHeight w:val="347" w:hRule="exact"/>
        </w:trPr>
        <w:tc>
          <w:tcPr>
            <w:tcW w:w="49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8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113,606,639.59</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218,208,136.94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5"/>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4964"/>
        <w:gridCol w:w="2124"/>
        <w:gridCol w:w="2489"/>
      </w:tblGrid>
      <w:tr>
        <w:trPr>
          <w:trHeight w:val="341" w:hRule="exact"/>
        </w:trPr>
        <w:tc>
          <w:tcPr>
            <w:tcW w:w="49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124"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871,720,655.43</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960,195,097.79</w:t>
            </w:r>
          </w:p>
        </w:tc>
      </w:tr>
      <w:tr>
        <w:trPr>
          <w:trHeight w:val="347" w:hRule="exact"/>
        </w:trPr>
        <w:tc>
          <w:tcPr>
            <w:tcW w:w="49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960,195,097.79</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841,181,498.68</w:t>
            </w:r>
          </w:p>
        </w:tc>
      </w:tr>
      <w:tr>
        <w:trPr>
          <w:trHeight w:val="348" w:hRule="exact"/>
        </w:trPr>
        <w:tc>
          <w:tcPr>
            <w:tcW w:w="49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9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80"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9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(88,474,442.36)</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119,013,599.11</w:t>
            </w:r>
          </w:p>
        </w:tc>
      </w:tr>
    </w:tbl>
    <w:p>
      <w:pPr>
        <w:spacing w:line="240" w:lineRule="auto" w:before="3"/>
        <w:rPr>
          <w:rFonts w:ascii="宋体" w:hAnsi="宋体" w:cs="宋体" w:eastAsia="宋体" w:hint="default"/>
          <w:sz w:val="21"/>
          <w:szCs w:val="21"/>
        </w:rPr>
      </w:pPr>
    </w:p>
    <w:p>
      <w:pPr>
        <w:pStyle w:val="BodyText"/>
        <w:spacing w:line="240" w:lineRule="auto" w:before="44"/>
        <w:ind w:left="227" w:right="0"/>
        <w:jc w:val="left"/>
      </w:pPr>
      <w:r>
        <w:rPr>
          <w:rFonts w:ascii="Times New Roman" w:hAnsi="Times New Roman" w:cs="Times New Roman" w:eastAsia="Times New Roman" w:hint="default"/>
        </w:rPr>
        <w:t>(2)</w:t>
      </w:r>
      <w:r>
        <w:rPr/>
        <w:t>现金和现金等价物的构成</w:t>
      </w:r>
    </w:p>
    <w:p>
      <w:pPr>
        <w:pStyle w:val="BodyText"/>
        <w:spacing w:line="240" w:lineRule="auto" w:before="63"/>
        <w:ind w:left="0" w:right="538"/>
        <w:jc w:val="right"/>
      </w:pPr>
      <w:r>
        <w:rPr>
          <w:spacing w:val="-1"/>
        </w:rPr>
        <w:t>单位：人民币元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710"/>
        <w:gridCol w:w="2388"/>
        <w:gridCol w:w="2388"/>
      </w:tblGrid>
      <w:tr>
        <w:trPr>
          <w:trHeight w:val="347" w:hRule="exact"/>
        </w:trPr>
        <w:tc>
          <w:tcPr>
            <w:tcW w:w="47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3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347" w:hRule="exact"/>
        </w:trPr>
        <w:tc>
          <w:tcPr>
            <w:tcW w:w="4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388"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其中：库存现金</w:t>
            </w:r>
            <w:r>
              <w:rPr>
                <w:rFonts w:ascii="Times New Roman" w:hAnsi="Times New Roman" w:cs="Times New Roman" w:eastAsia="Times New Roman" w:hint="default"/>
                <w:sz w:val="18"/>
                <w:szCs w:val="18"/>
              </w:rPr>
              <w:t>(</w:t>
            </w:r>
            <w:r>
              <w:rPr>
                <w:rFonts w:ascii="宋体" w:hAnsi="宋体" w:cs="宋体" w:eastAsia="宋体" w:hint="default"/>
                <w:sz w:val="18"/>
                <w:szCs w:val="18"/>
              </w:rPr>
              <w:t>附注</w:t>
            </w:r>
            <w:r>
              <w:rPr>
                <w:rFonts w:ascii="Times New Roman" w:hAnsi="Times New Roman" w:cs="Times New Roman" w:eastAsia="Times New Roman" w:hint="default"/>
                <w:sz w:val="18"/>
                <w:szCs w:val="18"/>
              </w:rPr>
              <w:t>(</w:t>
            </w:r>
            <w:r>
              <w:rPr>
                <w:rFonts w:ascii="宋体" w:hAnsi="宋体" w:cs="宋体" w:eastAsia="宋体" w:hint="default"/>
                <w:sz w:val="18"/>
                <w:szCs w:val="18"/>
              </w:rPr>
              <w:t>十</w:t>
            </w:r>
            <w:r>
              <w:rPr>
                <w:rFonts w:ascii="Times New Roman" w:hAnsi="Times New Roman" w:cs="Times New Roman" w:eastAsia="Times New Roman" w:hint="default"/>
                <w:sz w:val="18"/>
                <w:szCs w:val="18"/>
              </w:rPr>
              <w:t>)1)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177,007.70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170,959.29</w:t>
            </w:r>
          </w:p>
        </w:tc>
      </w:tr>
      <w:tr>
        <w:trPr>
          <w:trHeight w:val="347" w:hRule="exact"/>
        </w:trPr>
        <w:tc>
          <w:tcPr>
            <w:tcW w:w="4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6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可随时用于支付的银行存款</w:t>
            </w:r>
            <w:r>
              <w:rPr>
                <w:rFonts w:ascii="Times New Roman" w:hAnsi="Times New Roman" w:cs="Times New Roman" w:eastAsia="Times New Roman" w:hint="default"/>
                <w:sz w:val="18"/>
                <w:szCs w:val="18"/>
              </w:rPr>
              <w:t>(</w:t>
            </w:r>
            <w:r>
              <w:rPr>
                <w:rFonts w:ascii="宋体" w:hAnsi="宋体" w:cs="宋体" w:eastAsia="宋体" w:hint="default"/>
                <w:sz w:val="18"/>
                <w:szCs w:val="18"/>
              </w:rPr>
              <w:t>附注</w:t>
            </w:r>
            <w:r>
              <w:rPr>
                <w:rFonts w:ascii="Times New Roman" w:hAnsi="Times New Roman" w:cs="Times New Roman" w:eastAsia="Times New Roman" w:hint="default"/>
                <w:sz w:val="18"/>
                <w:szCs w:val="18"/>
              </w:rPr>
              <w:t>(</w:t>
            </w:r>
            <w:r>
              <w:rPr>
                <w:rFonts w:ascii="宋体" w:hAnsi="宋体" w:cs="宋体" w:eastAsia="宋体" w:hint="default"/>
                <w:sz w:val="18"/>
                <w:szCs w:val="18"/>
              </w:rPr>
              <w:t>十</w:t>
            </w:r>
            <w:r>
              <w:rPr>
                <w:rFonts w:ascii="Times New Roman" w:hAnsi="Times New Roman" w:cs="Times New Roman" w:eastAsia="Times New Roman" w:hint="default"/>
                <w:sz w:val="18"/>
                <w:szCs w:val="18"/>
              </w:rPr>
              <w:t>)1)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871,543,647.73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960,024,138.50</w:t>
            </w:r>
          </w:p>
        </w:tc>
      </w:tr>
      <w:tr>
        <w:trPr>
          <w:trHeight w:val="347" w:hRule="exact"/>
        </w:trPr>
        <w:tc>
          <w:tcPr>
            <w:tcW w:w="4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388"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871,720,655.43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960,195,097.79</w:t>
            </w:r>
          </w:p>
        </w:tc>
      </w:tr>
    </w:tbl>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1" w:footer="979" w:top="1320" w:bottom="1160" w:left="980" w:right="980"/>
        </w:sectPr>
      </w:pPr>
    </w:p>
    <w:p>
      <w:pPr>
        <w:spacing w:line="316" w:lineRule="auto" w:before="44"/>
        <w:ind w:left="154" w:right="-20" w:firstLine="354"/>
        <w:jc w:val="left"/>
        <w:rPr>
          <w:rFonts w:ascii="宋体" w:hAnsi="宋体" w:cs="宋体" w:eastAsia="宋体" w:hint="default"/>
          <w:sz w:val="18"/>
          <w:szCs w:val="18"/>
        </w:rPr>
      </w:pPr>
      <w:r>
        <w:rPr>
          <w:rFonts w:ascii="宋体" w:hAnsi="宋体" w:cs="宋体" w:eastAsia="宋体" w:hint="default"/>
          <w:b/>
          <w:bCs/>
          <w:sz w:val="18"/>
          <w:szCs w:val="18"/>
        </w:rPr>
        <w:t>四、关联方及关联交易</w:t>
      </w:r>
      <w:r>
        <w:rPr>
          <w:rFonts w:ascii="宋体" w:hAnsi="宋体" w:cs="宋体" w:eastAsia="宋体" w:hint="default"/>
          <w:b/>
          <w:bCs/>
          <w:w w:val="99"/>
          <w:sz w:val="18"/>
          <w:szCs w:val="18"/>
        </w:rPr>
        <w:t> </w:t>
      </w:r>
      <w:r>
        <w:rPr>
          <w:rFonts w:ascii="宋体" w:hAnsi="宋体" w:cs="宋体" w:eastAsia="宋体" w:hint="default"/>
          <w:sz w:val="18"/>
          <w:szCs w:val="18"/>
        </w:rPr>
        <w:t>除附注</w:t>
      </w: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中披露的关联方及关联交易外，母公司与子公司还发生如下关联采购和销售交易。</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53" w:right="0"/>
        <w:jc w:val="left"/>
      </w:pPr>
      <w:r>
        <w:rPr/>
        <w:t>单位：人民币元</w:t>
      </w:r>
    </w:p>
    <w:p>
      <w:pPr>
        <w:spacing w:after="0" w:line="240" w:lineRule="auto"/>
        <w:jc w:val="left"/>
        <w:sectPr>
          <w:type w:val="continuous"/>
          <w:pgSz w:w="11910" w:h="16840"/>
          <w:pgMar w:top="1320" w:bottom="1160" w:left="980" w:right="980"/>
          <w:cols w:num="2" w:equalWidth="0">
            <w:col w:w="7475" w:space="734"/>
            <w:col w:w="1741"/>
          </w:cols>
        </w:sectPr>
      </w:pP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720"/>
        <w:gridCol w:w="740"/>
        <w:gridCol w:w="1476"/>
        <w:gridCol w:w="1397"/>
        <w:gridCol w:w="1111"/>
        <w:gridCol w:w="2094"/>
        <w:gridCol w:w="1120"/>
      </w:tblGrid>
      <w:tr>
        <w:trPr>
          <w:trHeight w:val="347" w:hRule="exact"/>
        </w:trPr>
        <w:tc>
          <w:tcPr>
            <w:tcW w:w="172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21"/>
              <w:ind w:left="401" w:right="0"/>
              <w:jc w:val="left"/>
              <w:rPr>
                <w:rFonts w:ascii="宋体" w:hAnsi="宋体" w:cs="宋体" w:eastAsia="宋体" w:hint="default"/>
                <w:sz w:val="18"/>
                <w:szCs w:val="18"/>
              </w:rPr>
            </w:pPr>
            <w:r>
              <w:rPr>
                <w:rFonts w:ascii="宋体" w:hAnsi="宋体" w:cs="宋体" w:eastAsia="宋体" w:hint="default"/>
                <w:sz w:val="18"/>
                <w:szCs w:val="18"/>
              </w:rPr>
              <w:t>交易方名称</w:t>
            </w:r>
          </w:p>
        </w:tc>
        <w:tc>
          <w:tcPr>
            <w:tcW w:w="740" w:type="dxa"/>
            <w:vMerge w:val="restart"/>
            <w:tcBorders>
              <w:top w:val="single" w:sz="6" w:space="0" w:color="000000"/>
              <w:left w:val="single" w:sz="6" w:space="0" w:color="000000"/>
              <w:right w:val="single" w:sz="6" w:space="0" w:color="000000"/>
            </w:tcBorders>
            <w:shd w:val="clear" w:color="auto" w:fill="CCCCCC"/>
          </w:tcPr>
          <w:p>
            <w:pPr>
              <w:pStyle w:val="TableParagraph"/>
              <w:spacing w:line="316" w:lineRule="auto" w:before="21"/>
              <w:ind w:left="183" w:right="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476" w:type="dxa"/>
            <w:vMerge w:val="restart"/>
            <w:tcBorders>
              <w:top w:val="single" w:sz="6" w:space="0" w:color="000000"/>
              <w:left w:val="single" w:sz="6" w:space="0" w:color="000000"/>
              <w:right w:val="single" w:sz="6" w:space="0" w:color="000000"/>
            </w:tcBorders>
            <w:shd w:val="clear" w:color="auto" w:fill="CCCCCC"/>
          </w:tcPr>
          <w:p>
            <w:pPr>
              <w:pStyle w:val="TableParagraph"/>
              <w:spacing w:line="316" w:lineRule="auto" w:before="21"/>
              <w:ind w:left="99" w:right="100" w:firstLine="90"/>
              <w:jc w:val="left"/>
              <w:rPr>
                <w:rFonts w:ascii="宋体" w:hAnsi="宋体" w:cs="宋体" w:eastAsia="宋体" w:hint="default"/>
                <w:sz w:val="18"/>
                <w:szCs w:val="18"/>
              </w:rPr>
            </w:pPr>
            <w:r>
              <w:rPr>
                <w:rFonts w:ascii="宋体" w:hAnsi="宋体" w:cs="宋体" w:eastAsia="宋体" w:hint="default"/>
                <w:sz w:val="18"/>
                <w:szCs w:val="18"/>
              </w:rPr>
              <w:t>关联交易定价 方式及决策程序</w:t>
            </w:r>
          </w:p>
        </w:tc>
        <w:tc>
          <w:tcPr>
            <w:tcW w:w="250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3214"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971" w:hRule="exact"/>
        </w:trPr>
        <w:tc>
          <w:tcPr>
            <w:tcW w:w="1720" w:type="dxa"/>
            <w:vMerge/>
            <w:tcBorders>
              <w:left w:val="single" w:sz="6" w:space="0" w:color="000000"/>
              <w:bottom w:val="single" w:sz="6" w:space="0" w:color="000000"/>
              <w:right w:val="single" w:sz="6" w:space="0" w:color="000000"/>
            </w:tcBorders>
            <w:shd w:val="clear" w:color="auto" w:fill="CCCCCC"/>
          </w:tcPr>
          <w:p>
            <w:pPr/>
          </w:p>
        </w:tc>
        <w:tc>
          <w:tcPr>
            <w:tcW w:w="740" w:type="dxa"/>
            <w:vMerge/>
            <w:tcBorders>
              <w:left w:val="single" w:sz="6" w:space="0" w:color="000000"/>
              <w:bottom w:val="single" w:sz="6" w:space="0" w:color="000000"/>
              <w:right w:val="single" w:sz="6" w:space="0" w:color="000000"/>
            </w:tcBorders>
            <w:shd w:val="clear" w:color="auto" w:fill="CCCCCC"/>
          </w:tcPr>
          <w:p>
            <w:pPr/>
          </w:p>
        </w:tc>
        <w:tc>
          <w:tcPr>
            <w:tcW w:w="1476" w:type="dxa"/>
            <w:vMerge/>
            <w:tcBorders>
              <w:left w:val="single" w:sz="6" w:space="0" w:color="000000"/>
              <w:bottom w:val="single" w:sz="6" w:space="0" w:color="000000"/>
              <w:right w:val="single" w:sz="6" w:space="0" w:color="000000"/>
            </w:tcBorders>
            <w:shd w:val="clear" w:color="auto" w:fill="CCCCCC"/>
          </w:tcPr>
          <w:p>
            <w:pPr/>
          </w:p>
        </w:tc>
        <w:tc>
          <w:tcPr>
            <w:tcW w:w="139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38" w:lineRule="auto" w:before="21"/>
              <w:ind w:left="97" w:right="9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占同类交易 金额的比例 </w:t>
            </w:r>
            <w:r>
              <w:rPr>
                <w:rFonts w:ascii="Times New Roman" w:hAnsi="Times New Roman" w:cs="Times New Roman" w:eastAsia="Times New Roman" w:hint="default"/>
                <w:sz w:val="18"/>
                <w:szCs w:val="18"/>
              </w:rPr>
              <w:t>(%)</w:t>
            </w:r>
          </w:p>
        </w:tc>
        <w:tc>
          <w:tcPr>
            <w:tcW w:w="209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38" w:lineRule="auto" w:before="21"/>
              <w:ind w:left="101" w:right="10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占同类交易 金额的比例 </w:t>
            </w:r>
            <w:r>
              <w:rPr>
                <w:rFonts w:ascii="Times New Roman" w:hAnsi="Times New Roman" w:cs="Times New Roman" w:eastAsia="Times New Roman" w:hint="default"/>
                <w:sz w:val="18"/>
                <w:szCs w:val="18"/>
              </w:rPr>
              <w:t>(%)</w:t>
            </w:r>
          </w:p>
        </w:tc>
      </w:tr>
      <w:tr>
        <w:trPr>
          <w:trHeight w:val="659"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81"/>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新媒 体技术有限责任公司</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70"/>
              <w:jc w:val="right"/>
              <w:rPr>
                <w:rFonts w:ascii="宋体" w:hAnsi="宋体" w:cs="宋体" w:eastAsia="宋体" w:hint="default"/>
                <w:sz w:val="18"/>
                <w:szCs w:val="18"/>
              </w:rPr>
            </w:pPr>
            <w:r>
              <w:rPr>
                <w:rFonts w:ascii="宋体" w:hAnsi="宋体" w:cs="宋体" w:eastAsia="宋体" w:hint="default"/>
                <w:sz w:val="18"/>
                <w:szCs w:val="18"/>
              </w:rPr>
              <w:t>合同定价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207,743,210.10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9.76</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205,620,583.73</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7.93</w:t>
            </w:r>
          </w:p>
        </w:tc>
      </w:tr>
      <w:tr>
        <w:trPr>
          <w:trHeight w:val="660"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1"/>
              <w:jc w:val="left"/>
              <w:rPr>
                <w:rFonts w:ascii="宋体" w:hAnsi="宋体" w:cs="宋体" w:eastAsia="宋体" w:hint="default"/>
                <w:sz w:val="18"/>
                <w:szCs w:val="18"/>
              </w:rPr>
            </w:pPr>
            <w:r>
              <w:rPr>
                <w:rFonts w:ascii="宋体" w:hAnsi="宋体" w:cs="宋体" w:eastAsia="宋体" w:hint="default"/>
                <w:sz w:val="18"/>
                <w:szCs w:val="18"/>
              </w:rPr>
              <w:t>上海快乐讯广告传播 有限公司</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70"/>
              <w:jc w:val="right"/>
              <w:rPr>
                <w:rFonts w:ascii="宋体" w:hAnsi="宋体" w:cs="宋体" w:eastAsia="宋体" w:hint="default"/>
                <w:sz w:val="18"/>
                <w:szCs w:val="18"/>
              </w:rPr>
            </w:pPr>
            <w:r>
              <w:rPr>
                <w:rFonts w:ascii="宋体" w:hAnsi="宋体" w:cs="宋体" w:eastAsia="宋体" w:hint="default"/>
                <w:sz w:val="18"/>
                <w:szCs w:val="18"/>
              </w:rPr>
              <w:t>合同定价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91,887,026.92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4.32</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30,632,444.96</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1.18</w:t>
            </w:r>
          </w:p>
        </w:tc>
      </w:tr>
      <w:tr>
        <w:trPr>
          <w:trHeight w:val="659"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1"/>
              <w:jc w:val="left"/>
              <w:rPr>
                <w:rFonts w:ascii="宋体" w:hAnsi="宋体" w:cs="宋体" w:eastAsia="宋体" w:hint="default"/>
                <w:sz w:val="18"/>
                <w:szCs w:val="18"/>
              </w:rPr>
            </w:pPr>
            <w:r>
              <w:rPr>
                <w:rFonts w:ascii="宋体" w:hAnsi="宋体" w:cs="宋体" w:eastAsia="宋体" w:hint="default"/>
                <w:sz w:val="18"/>
                <w:szCs w:val="18"/>
              </w:rPr>
              <w:t>道格云商（湖南）贸 易有限责任公司</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70"/>
              <w:jc w:val="right"/>
              <w:rPr>
                <w:rFonts w:ascii="宋体" w:hAnsi="宋体" w:cs="宋体" w:eastAsia="宋体" w:hint="default"/>
                <w:sz w:val="18"/>
                <w:szCs w:val="18"/>
              </w:rPr>
            </w:pPr>
            <w:r>
              <w:rPr>
                <w:rFonts w:ascii="宋体" w:hAnsi="宋体" w:cs="宋体" w:eastAsia="宋体" w:hint="default"/>
                <w:sz w:val="18"/>
                <w:szCs w:val="18"/>
              </w:rPr>
              <w:t>合同定价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5,526,965.07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0.26</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305,157,202.09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14.34</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236,253,028.69</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9.11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240" w:lineRule="auto"/>
        <w:ind w:right="0"/>
        <w:jc w:val="left"/>
        <w:rPr>
          <w:b w:val="0"/>
          <w:bCs w:val="0"/>
        </w:rPr>
      </w:pPr>
      <w:bookmarkStart w:name="十六、补充资料" w:id="262"/>
      <w:bookmarkEnd w:id="262"/>
      <w:r>
        <w:rPr>
          <w:b w:val="0"/>
          <w:bCs w:val="0"/>
        </w:rPr>
      </w:r>
      <w:r>
        <w:rPr/>
        <w:t>十六、补充资料</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3"/>
        <w:ind w:right="0"/>
        <w:jc w:val="left"/>
        <w:rPr>
          <w:b w:val="0"/>
          <w:bCs w:val="0"/>
        </w:rPr>
      </w:pPr>
      <w:bookmarkStart w:name="1、当期非经常性损益明细表" w:id="263"/>
      <w:bookmarkEnd w:id="26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-3,621.75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22,168,473.79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9"/>
              <w:jc w:val="center"/>
              <w:rPr>
                <w:rFonts w:ascii="宋体" w:hAnsi="宋体" w:cs="宋体" w:eastAsia="宋体" w:hint="default"/>
                <w:sz w:val="18"/>
                <w:szCs w:val="18"/>
              </w:rPr>
            </w:pPr>
            <w:r>
              <w:rPr>
                <w:rFonts w:ascii="宋体" w:hAnsi="宋体" w:cs="宋体" w:eastAsia="宋体" w:hint="default"/>
                <w:sz w:val="18"/>
                <w:szCs w:val="18"/>
              </w:rPr>
              <w:t>主要为产业扶持奖励、直接融资补贴、</w:t>
            </w:r>
          </w:p>
        </w:tc>
      </w:tr>
    </w:tbl>
    <w:p>
      <w:pPr>
        <w:spacing w:after="0" w:line="240" w:lineRule="auto"/>
        <w:jc w:val="center"/>
        <w:rPr>
          <w:rFonts w:ascii="宋体" w:hAnsi="宋体" w:cs="宋体" w:eastAsia="宋体" w:hint="default"/>
          <w:sz w:val="18"/>
          <w:szCs w:val="18"/>
        </w:rPr>
        <w:sectPr>
          <w:type w:val="continuous"/>
          <w:pgSz w:w="11910" w:h="16840"/>
          <w:pgMar w:top="1320" w:bottom="1160" w:left="980" w:right="980"/>
        </w:sectPr>
      </w:pPr>
    </w:p>
    <w:p>
      <w:pPr>
        <w:spacing w:line="240" w:lineRule="auto" w:before="1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1"/>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文化企业引导资金补助等。</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1,753,718.77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23,918,570.81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left="153" w:right="0"/>
        <w:jc w:val="left"/>
        <w:rPr>
          <w:b w:val="0"/>
          <w:bCs w:val="0"/>
        </w:rPr>
      </w:pPr>
      <w:bookmarkStart w:name="2、净资产收益率及每股收益" w:id="264"/>
      <w:bookmarkEnd w:id="26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20" w:bottom="1160" w:left="980" w:right="9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Heading1"/>
        <w:spacing w:line="240" w:lineRule="auto"/>
        <w:ind w:right="2989"/>
        <w:jc w:val="center"/>
        <w:rPr>
          <w:b w:val="0"/>
          <w:bCs w:val="0"/>
        </w:rPr>
      </w:pPr>
      <w:bookmarkStart w:name="_TOC_250000" w:id="265"/>
      <w:bookmarkStart w:name="第十节 备查文件目录" w:id="266"/>
      <w:r>
        <w:rPr>
          <w:b w:val="0"/>
          <w:bCs w:val="0"/>
        </w:rPr>
      </w:r>
      <w:bookmarkStart w:name="_bookmark9" w:id="267"/>
      <w:bookmarkEnd w:id="267"/>
      <w:r>
        <w:rPr>
          <w:b w:val="0"/>
          <w:bCs w:val="0"/>
        </w:rPr>
      </w:r>
      <w:r>
        <w:rPr/>
        <w:t>第十节</w:t>
      </w:r>
      <w:r>
        <w:rPr>
          <w:spacing w:val="-7"/>
        </w:rPr>
        <w:t> </w:t>
      </w:r>
      <w:r>
        <w:rPr/>
        <w:t>备查文件目录</w:t>
      </w:r>
      <w:bookmarkEnd w:id="265"/>
      <w:r>
        <w:rPr>
          <w:b w:val="0"/>
          <w:bCs w:val="0"/>
        </w:rPr>
      </w:r>
    </w:p>
    <w:p>
      <w:pPr>
        <w:spacing w:line="240" w:lineRule="auto" w:before="7"/>
        <w:rPr>
          <w:rFonts w:ascii="宋体" w:hAnsi="宋体" w:cs="宋体" w:eastAsia="宋体" w:hint="default"/>
          <w:b/>
          <w:bCs/>
          <w:sz w:val="42"/>
          <w:szCs w:val="42"/>
        </w:rPr>
      </w:pPr>
    </w:p>
    <w:p>
      <w:pPr>
        <w:pStyle w:val="BodyText"/>
        <w:spacing w:line="240" w:lineRule="auto"/>
        <w:ind w:left="444" w:right="0"/>
        <w:jc w:val="left"/>
      </w:pPr>
      <w:r>
        <w:rPr>
          <w:rFonts w:ascii="Times New Roman" w:hAnsi="Times New Roman" w:cs="Times New Roman" w:eastAsia="Times New Roman" w:hint="default"/>
        </w:rPr>
        <w:t>1</w:t>
      </w:r>
      <w:r>
        <w:rPr/>
        <w:t>、载有法定代表人签名的</w:t>
      </w:r>
      <w:r>
        <w:rPr>
          <w:rFonts w:ascii="Times New Roman" w:hAnsi="Times New Roman" w:cs="Times New Roman" w:eastAsia="Times New Roman" w:hint="default"/>
        </w:rPr>
        <w:t>2014</w:t>
      </w:r>
      <w:r>
        <w:rPr/>
        <w:t>年年度报告文本；</w:t>
      </w:r>
    </w:p>
    <w:p>
      <w:pPr>
        <w:pStyle w:val="BodyText"/>
        <w:spacing w:line="240" w:lineRule="auto" w:before="63"/>
        <w:ind w:left="444" w:right="0"/>
        <w:jc w:val="left"/>
      </w:pPr>
      <w:r>
        <w:rPr>
          <w:rFonts w:ascii="Times New Roman" w:hAnsi="Times New Roman" w:cs="Times New Roman" w:eastAsia="Times New Roman" w:hint="default"/>
        </w:rPr>
        <w:t>2</w:t>
      </w:r>
      <w:r>
        <w:rPr/>
        <w:t>、载有法定代表人、主管会计工作负责人、会计机构负责签名并盖章的财务报表；</w:t>
      </w:r>
    </w:p>
    <w:p>
      <w:pPr>
        <w:pStyle w:val="BodyText"/>
        <w:spacing w:line="240" w:lineRule="auto" w:before="63"/>
        <w:ind w:left="444" w:right="0"/>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3"/>
        <w:ind w:left="444" w:right="0"/>
        <w:jc w:val="left"/>
      </w:pPr>
      <w:r>
        <w:rPr>
          <w:rFonts w:ascii="Times New Roman" w:hAnsi="Times New Roman" w:cs="Times New Roman" w:eastAsia="Times New Roman" w:hint="default"/>
        </w:rPr>
        <w:t>4</w:t>
      </w:r>
      <w:r>
        <w:rPr/>
        <w:t>、其他相关资料。</w:t>
      </w:r>
    </w:p>
    <w:sectPr>
      <w:pgSz w:w="11910" w:h="16840"/>
      <w:pgMar w:header="851" w:footer="979" w:top="132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6554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55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55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55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55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55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655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655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49.76561pt;width:177.55pt;height:11.5pt;mso-position-horizontal-relative:page;mso-position-vertical-relative:page;z-index:-655432" type="#_x0000_t202" filled="false" stroked="false">
          <v:textbox inset="0,0,0,0">
            <w:txbxContent>
              <w:p>
                <w:pPr>
                  <w:pStyle w:val="BodyText"/>
                  <w:spacing w:line="214" w:lineRule="exact"/>
                  <w:ind w:left="20" w:right="0"/>
                  <w:jc w:val="left"/>
                </w:pPr>
                <w:r>
                  <w:rPr/>
                  <w:t>快乐购物股份有限公司</w:t>
                </w:r>
                <w:r>
                  <w:rPr>
                    <w:spacing w:val="-46"/>
                  </w:rPr>
                  <w:t> </w:t>
                </w:r>
                <w:r>
                  <w:rPr>
                    <w:rFonts w:ascii="Times New Roman" w:hAnsi="Times New Roman" w:cs="Times New Roman" w:eastAsia="Times New Roman" w:hint="default"/>
                  </w:rPr>
                  <w:t>2014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100006pt;margin-top:42.549988pt;width:64.5pt;height:22.5pt;mso-position-horizontal-relative:page;mso-position-vertical-relative:page;z-index:-655360" type="#_x0000_t75" stroked="false">
          <v:imagedata r:id="rId1" o:title=""/>
        </v:shape>
      </w:pict>
    </w:r>
    <w:r>
      <w:rPr/>
      <w:pict>
        <v:group style="position:absolute;margin-left:55.200001pt;margin-top:69.059982pt;width:485pt;height:.1pt;mso-position-horizontal-relative:page;mso-position-vertical-relative:page;z-index:-655336" coordorigin="1104,1381" coordsize="9700,2">
          <v:shape style="position:absolute;left:1104;top:1381;width:9700;height:2" coordorigin="1104,1381" coordsize="9700,0" path="m1104,1381l10804,1381e" filled="false" stroked="true" strokeweight=".72pt" strokecolor="#000000">
            <v:path arrowok="t"/>
          </v:shape>
          <w10:wrap type="none"/>
        </v:group>
      </w:pict>
    </w:r>
    <w:r>
      <w:rPr/>
      <w:pict>
        <v:shape style="position:absolute;margin-left:362.160004pt;margin-top:56.305607pt;width:177.55pt;height:11.5pt;mso-position-horizontal-relative:page;mso-position-vertical-relative:page;z-index:-655312" type="#_x0000_t202" filled="false" stroked="false">
          <v:textbox inset="0,0,0,0">
            <w:txbxContent>
              <w:p>
                <w:pPr>
                  <w:pStyle w:val="BodyText"/>
                  <w:spacing w:line="214" w:lineRule="exact"/>
                  <w:ind w:left="20" w:right="0"/>
                  <w:jc w:val="left"/>
                </w:pPr>
                <w:r>
                  <w:rPr/>
                  <w:t>快乐购物股份有限公司</w:t>
                </w:r>
                <w:r>
                  <w:rPr>
                    <w:spacing w:val="-46"/>
                  </w:rPr>
                  <w:t> </w:t>
                </w:r>
                <w:r>
                  <w:rPr>
                    <w:rFonts w:ascii="Times New Roman" w:hAnsi="Times New Roman" w:cs="Times New Roman" w:eastAsia="Times New Roman" w:hint="default"/>
                  </w:rPr>
                  <w:t>2014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874"/>
    </w:pPr>
    <w:rPr>
      <w:rFonts w:ascii="宋体" w:hAnsi="宋体" w:eastAsia="宋体"/>
      <w:sz w:val="18"/>
      <w:szCs w:val="18"/>
    </w:rPr>
  </w:style>
  <w:style w:styleId="Heading1" w:type="paragraph">
    <w:name w:val="Heading 1"/>
    <w:basedOn w:val="Normal"/>
    <w:uiPriority w:val="1"/>
    <w:qFormat/>
    <w:pPr>
      <w:spacing w:before="1"/>
      <w:ind w:left="2989"/>
      <w:outlineLvl w:val="1"/>
    </w:pPr>
    <w:rPr>
      <w:rFonts w:ascii="宋体" w:hAnsi="宋体" w:eastAsia="宋体"/>
      <w:b/>
      <w:bCs/>
      <w:sz w:val="32"/>
      <w:szCs w:val="32"/>
    </w:rPr>
  </w:style>
  <w:style w:styleId="Heading2" w:type="paragraph">
    <w:name w:val="Heading 2"/>
    <w:basedOn w:val="Normal"/>
    <w:uiPriority w:val="1"/>
    <w:qFormat/>
    <w:pPr>
      <w:spacing w:before="26"/>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spacing w:before="44"/>
      <w:ind w:left="15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yperlink" Target="http://www.happigo.com/" TargetMode="External"/><Relationship Id="rId12" Type="http://schemas.openxmlformats.org/officeDocument/2006/relationships/hyperlink" Target="mailto:happigo@happigo.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2020-05-06T19:44:33Z</dcterms:created>
  <dcterms:modified xsi:type="dcterms:W3CDTF">2020-05-06T19:44:33Z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2015-04-17T00:00:00Z</vt:filetime>
  </property>
  <property fmtid="{D5CDD505-2E9C-101B-9397-08002B2CF9AE}" pid="3" name="Creator">
    <vt:lpwstr>Microsoft® Office Word 2007</vt:lpwstr>
  </property>
  <property fmtid="{D5CDD505-2E9C-101B-9397-08002B2CF9AE}" pid="4" name="LastSaved">
    <vt:filetime>2020-05-06T00:00:00Z</vt:filetime>
  </property>
</Properties>
</file>