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6"/>
          <w:szCs w:val="16"/>
        </w:rPr>
      </w:pPr>
    </w:p>
    <w:p>
      <w:pPr>
        <w:spacing w:line="1230" w:lineRule="exact"/>
        <w:ind w:left="386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4"/>
          <w:sz w:val="20"/>
          <w:szCs w:val="20"/>
        </w:rPr>
        <w:drawing>
          <wp:inline distT="0" distB="0" distL="0" distR="0">
            <wp:extent cx="1410334" cy="78105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410334" cy="781050"/>
                    </a:xfrm>
                    <a:prstGeom prst="rect">
                      <a:avLst/>
                    </a:prstGeom>
                  </pic:spPr>
                </pic:pic>
              </a:graphicData>
            </a:graphic>
          </wp:inline>
        </w:drawing>
      </w:r>
      <w:r>
        <w:rPr>
          <w:rFonts w:ascii="Times New Roman" w:hAnsi="Times New Roman" w:cs="Times New Roman" w:eastAsia="Times New Roman" w:hint="default"/>
          <w:position w:val="-24"/>
          <w:sz w:val="20"/>
          <w:szCs w:val="20"/>
        </w:rPr>
      </w:r>
    </w:p>
    <w:p>
      <w:pPr>
        <w:spacing w:line="240" w:lineRule="auto" w:before="3"/>
        <w:rPr>
          <w:rFonts w:ascii="Times New Roman" w:hAnsi="Times New Roman" w:cs="Times New Roman" w:eastAsia="Times New Roman" w:hint="default"/>
          <w:sz w:val="13"/>
          <w:szCs w:val="13"/>
        </w:rPr>
      </w:pPr>
    </w:p>
    <w:p>
      <w:pPr>
        <w:spacing w:line="501" w:lineRule="exact" w:before="0"/>
        <w:ind w:left="615" w:right="615"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北京昆仑万维科技股份有限公司</w:t>
      </w:r>
      <w:r>
        <w:rPr>
          <w:rFonts w:ascii="Microsoft JhengHei" w:hAnsi="Microsoft JhengHei" w:cs="Microsoft JhengHei" w:eastAsia="Microsoft JhengHei" w:hint="default"/>
          <w:sz w:val="36"/>
          <w:szCs w:val="36"/>
        </w:rPr>
      </w:r>
    </w:p>
    <w:p>
      <w:pPr>
        <w:spacing w:before="258"/>
        <w:ind w:left="615" w:right="616"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2015</w:t>
      </w:r>
      <w:r>
        <w:rPr>
          <w:rFonts w:ascii="Times New Roman" w:hAnsi="Times New Roman" w:cs="Times New Roman" w:eastAsia="Times New Roman" w:hint="default"/>
          <w:b/>
          <w:bCs/>
          <w:spacing w:val="2"/>
          <w:sz w:val="32"/>
          <w:szCs w:val="32"/>
        </w:rPr>
        <w:t> </w:t>
      </w:r>
      <w:r>
        <w:rPr>
          <w:rFonts w:ascii="Microsoft JhengHei" w:hAnsi="Microsoft JhengHei" w:cs="Microsoft JhengHei" w:eastAsia="Microsoft JhengHei" w:hint="default"/>
          <w:b/>
          <w:bCs/>
          <w:sz w:val="32"/>
          <w:szCs w:val="32"/>
        </w:rPr>
        <w:t>年年度报告</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10"/>
        <w:rPr>
          <w:rFonts w:ascii="Microsoft JhengHei" w:hAnsi="Microsoft JhengHei" w:cs="Microsoft JhengHei" w:eastAsia="Microsoft JhengHei" w:hint="default"/>
          <w:b/>
          <w:bCs/>
          <w:sz w:val="30"/>
          <w:szCs w:val="30"/>
        </w:rPr>
      </w:pPr>
    </w:p>
    <w:p>
      <w:pPr>
        <w:spacing w:before="0"/>
        <w:ind w:left="615" w:right="614"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2016 </w:t>
      </w:r>
      <w:r>
        <w:rPr>
          <w:rFonts w:ascii="Microsoft JhengHei" w:hAnsi="Microsoft JhengHei" w:cs="Microsoft JhengHei" w:eastAsia="Microsoft JhengHei" w:hint="default"/>
          <w:b/>
          <w:bCs/>
          <w:sz w:val="32"/>
          <w:szCs w:val="32"/>
        </w:rPr>
        <w:t>年 </w:t>
      </w:r>
      <w:r>
        <w:rPr>
          <w:rFonts w:ascii="Times New Roman" w:hAnsi="Times New Roman" w:cs="Times New Roman" w:eastAsia="Times New Roman" w:hint="default"/>
          <w:b/>
          <w:bCs/>
          <w:sz w:val="32"/>
          <w:szCs w:val="32"/>
        </w:rPr>
        <w:t>06</w:t>
      </w:r>
      <w:r>
        <w:rPr>
          <w:rFonts w:ascii="Times New Roman" w:hAnsi="Times New Roman" w:cs="Times New Roman" w:eastAsia="Times New Roman" w:hint="default"/>
          <w:b/>
          <w:bCs/>
          <w:spacing w:val="1"/>
          <w:sz w:val="32"/>
          <w:szCs w:val="32"/>
        </w:rPr>
        <w:t> </w:t>
      </w:r>
      <w:r>
        <w:rPr>
          <w:rFonts w:ascii="Microsoft JhengHei" w:hAnsi="Microsoft JhengHei" w:cs="Microsoft JhengHei" w:eastAsia="Microsoft JhengHei" w:hint="default"/>
          <w:b/>
          <w:bCs/>
          <w:sz w:val="32"/>
          <w:szCs w:val="32"/>
        </w:rPr>
        <w:t>月</w:t>
      </w:r>
      <w:r>
        <w:rPr>
          <w:rFonts w:ascii="Microsoft JhengHei" w:hAnsi="Microsoft JhengHei" w:cs="Microsoft JhengHei" w:eastAsia="Microsoft JhengHei" w:hint="default"/>
          <w:sz w:val="32"/>
          <w:szCs w:val="32"/>
        </w:rPr>
      </w:r>
    </w:p>
    <w:p>
      <w:pPr>
        <w:spacing w:after="0"/>
        <w:jc w:val="center"/>
        <w:rPr>
          <w:rFonts w:ascii="Microsoft JhengHei" w:hAnsi="Microsoft JhengHei" w:cs="Microsoft JhengHei" w:eastAsia="Microsoft JhengHei" w:hint="default"/>
          <w:sz w:val="32"/>
          <w:szCs w:val="32"/>
        </w:rPr>
        <w:sectPr>
          <w:headerReference w:type="default" r:id="rId5"/>
          <w:footerReference w:type="default" r:id="rId6"/>
          <w:type w:val="continuous"/>
          <w:pgSz w:w="11910" w:h="16840"/>
          <w:pgMar w:header="747" w:footer="979" w:top="1060" w:bottom="1160" w:left="980" w:right="980"/>
        </w:sectPr>
      </w:pPr>
    </w:p>
    <w:p>
      <w:pPr>
        <w:spacing w:line="240" w:lineRule="auto" w:before="3"/>
        <w:rPr>
          <w:rFonts w:ascii="Microsoft JhengHei" w:hAnsi="Microsoft JhengHei" w:cs="Microsoft JhengHei" w:eastAsia="Microsoft JhengHei" w:hint="default"/>
          <w:b/>
          <w:bCs/>
          <w:sz w:val="2"/>
          <w:szCs w:val="2"/>
        </w:rPr>
      </w:pPr>
    </w:p>
    <w:p>
      <w:pPr>
        <w:spacing w:line="20" w:lineRule="exact"/>
        <w:ind w:left="116"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4"/>
        <w:rPr>
          <w:rFonts w:ascii="Microsoft JhengHei" w:hAnsi="Microsoft JhengHei" w:cs="Microsoft JhengHei" w:eastAsia="Microsoft JhengHei" w:hint="default"/>
          <w:b/>
          <w:bCs/>
          <w:sz w:val="24"/>
          <w:szCs w:val="24"/>
        </w:rPr>
      </w:pPr>
    </w:p>
    <w:p>
      <w:pPr>
        <w:pStyle w:val="Heading1"/>
        <w:spacing w:line="457" w:lineRule="exact"/>
        <w:ind w:left="2805" w:right="0"/>
        <w:jc w:val="left"/>
        <w:rPr>
          <w:b w:val="0"/>
          <w:bCs w:val="0"/>
        </w:rPr>
      </w:pPr>
      <w:bookmarkStart w:name="_TOC_250010" w:id="1"/>
      <w:r>
        <w:rPr/>
        <w:t>第一节 </w:t>
      </w:r>
      <w:r>
        <w:rPr>
          <w:spacing w:val="8"/>
        </w:rPr>
        <w:t> </w:t>
      </w:r>
      <w:r>
        <w:rPr/>
        <w:t>重要提示、目录和释义</w:t>
      </w:r>
      <w:bookmarkEnd w:id="1"/>
      <w:r>
        <w:rPr>
          <w:b w:val="0"/>
          <w:bCs w:val="0"/>
        </w:rPr>
      </w:r>
    </w:p>
    <w:p>
      <w:pPr>
        <w:spacing w:line="240" w:lineRule="auto" w:before="0"/>
        <w:rPr>
          <w:rFonts w:ascii="Microsoft JhengHei" w:hAnsi="Microsoft JhengHei" w:cs="Microsoft JhengHei" w:eastAsia="Microsoft JhengHei" w:hint="default"/>
          <w:b/>
          <w:bCs/>
          <w:sz w:val="29"/>
          <w:szCs w:val="29"/>
        </w:rPr>
      </w:pPr>
    </w:p>
    <w:p>
      <w:pPr>
        <w:spacing w:line="307" w:lineRule="auto" w:before="0"/>
        <w:ind w:left="154" w:right="161" w:firstLine="562"/>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3"/>
          <w:sz w:val="28"/>
          <w:szCs w:val="28"/>
        </w:rPr>
        <w:t>本公司董事会、监事会及董事、监事、高级管理人员保证年度报告内容的</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真实、准确、完整，不存在虚假记载、误导性陈述或重大遗漏，并承担个别和</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z w:val="28"/>
          <w:szCs w:val="28"/>
        </w:rPr>
        <w:t>连带的法律责任。</w:t>
      </w:r>
      <w:r>
        <w:rPr>
          <w:rFonts w:ascii="Microsoft JhengHei" w:hAnsi="Microsoft JhengHei" w:cs="Microsoft JhengHei" w:eastAsia="Microsoft JhengHei" w:hint="default"/>
          <w:sz w:val="28"/>
          <w:szCs w:val="28"/>
        </w:rPr>
      </w:r>
    </w:p>
    <w:p>
      <w:pPr>
        <w:spacing w:line="307" w:lineRule="auto" w:before="132"/>
        <w:ind w:left="154" w:right="152" w:firstLine="562"/>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公司负责人周亚辉、主管会计工作负责人王立伟及会计机构负责人</w:t>
      </w:r>
      <w:r>
        <w:rPr>
          <w:rFonts w:ascii="Times New Roman" w:hAnsi="Times New Roman" w:cs="Times New Roman" w:eastAsia="Times New Roman" w:hint="default"/>
          <w:b/>
          <w:bCs/>
          <w:sz w:val="28"/>
          <w:szCs w:val="28"/>
        </w:rPr>
        <w:t>(</w:t>
      </w:r>
      <w:r>
        <w:rPr>
          <w:rFonts w:ascii="Microsoft JhengHei" w:hAnsi="Microsoft JhengHei" w:cs="Microsoft JhengHei" w:eastAsia="Microsoft JhengHei" w:hint="default"/>
          <w:b/>
          <w:bCs/>
          <w:sz w:val="28"/>
          <w:szCs w:val="28"/>
        </w:rPr>
        <w:t>会计主</w:t>
      </w:r>
      <w:r>
        <w:rPr>
          <w:rFonts w:ascii="Microsoft JhengHei" w:hAnsi="Microsoft JhengHei" w:cs="Microsoft JhengHei" w:eastAsia="Microsoft JhengHei" w:hint="default"/>
          <w:b/>
          <w:bCs/>
          <w:spacing w:val="1"/>
          <w:w w:val="99"/>
          <w:sz w:val="28"/>
          <w:szCs w:val="28"/>
        </w:rPr>
        <w:t> </w:t>
      </w:r>
      <w:r>
        <w:rPr>
          <w:rFonts w:ascii="Microsoft JhengHei" w:hAnsi="Microsoft JhengHei" w:cs="Microsoft JhengHei" w:eastAsia="Microsoft JhengHei" w:hint="default"/>
          <w:b/>
          <w:bCs/>
          <w:sz w:val="28"/>
          <w:szCs w:val="28"/>
        </w:rPr>
        <w:t>管人员</w:t>
      </w:r>
      <w:r>
        <w:rPr>
          <w:rFonts w:ascii="Times New Roman" w:hAnsi="Times New Roman" w:cs="Times New Roman" w:eastAsia="Times New Roman" w:hint="default"/>
          <w:b/>
          <w:bCs/>
          <w:sz w:val="28"/>
          <w:szCs w:val="28"/>
        </w:rPr>
        <w:t>)</w:t>
      </w:r>
      <w:r>
        <w:rPr>
          <w:rFonts w:ascii="Microsoft JhengHei" w:hAnsi="Microsoft JhengHei" w:cs="Microsoft JhengHei" w:eastAsia="Microsoft JhengHei" w:hint="default"/>
          <w:b/>
          <w:bCs/>
          <w:sz w:val="28"/>
          <w:szCs w:val="28"/>
        </w:rPr>
        <w:t>马苓月声明：保证年度报告中财务报告的真实、准确、完整。</w:t>
      </w:r>
      <w:r>
        <w:rPr>
          <w:rFonts w:ascii="Microsoft JhengHei" w:hAnsi="Microsoft JhengHei" w:cs="Microsoft JhengHei" w:eastAsia="Microsoft JhengHei" w:hint="default"/>
          <w:sz w:val="28"/>
          <w:szCs w:val="28"/>
        </w:rPr>
      </w:r>
    </w:p>
    <w:p>
      <w:pPr>
        <w:spacing w:before="132"/>
        <w:ind w:left="716"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所有董事均已出席了审议本报告的董事会会议。</w:t>
      </w:r>
      <w:r>
        <w:rPr>
          <w:rFonts w:ascii="Microsoft JhengHei" w:hAnsi="Microsoft JhengHei" w:cs="Microsoft JhengHei" w:eastAsia="Microsoft JhengHei" w:hint="default"/>
          <w:sz w:val="28"/>
          <w:szCs w:val="28"/>
        </w:rPr>
      </w:r>
    </w:p>
    <w:p>
      <w:pPr>
        <w:spacing w:line="307" w:lineRule="auto" w:before="235"/>
        <w:ind w:left="154" w:right="157" w:firstLine="562"/>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7"/>
          <w:sz w:val="28"/>
          <w:szCs w:val="28"/>
        </w:rPr>
        <w:t>一、行业监管政策风险</w:t>
      </w:r>
      <w:r>
        <w:rPr>
          <w:rFonts w:ascii="Microsoft JhengHei" w:hAnsi="Microsoft JhengHei" w:cs="Microsoft JhengHei" w:eastAsia="Microsoft JhengHei" w:hint="default"/>
          <w:b/>
          <w:bCs/>
          <w:spacing w:val="19"/>
          <w:sz w:val="28"/>
          <w:szCs w:val="28"/>
        </w:rPr>
        <w:t> </w:t>
      </w:r>
      <w:r>
        <w:rPr>
          <w:rFonts w:ascii="Microsoft JhengHei" w:hAnsi="Microsoft JhengHei" w:cs="Microsoft JhengHei" w:eastAsia="Microsoft JhengHei" w:hint="default"/>
          <w:b/>
          <w:bCs/>
          <w:spacing w:val="7"/>
          <w:sz w:val="28"/>
          <w:szCs w:val="28"/>
        </w:rPr>
        <w:t>互联网行业在我国乃至全球均处在快速发展的过</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程，公司目前涉及的网络游戏行业、互联网金融行业、软件工具、社交平台、</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视频直播等行业都属于国家鼓励的新兴互联网行业。伴随着技术的持续创新、</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业务模式的不断升级，我国互联网相关行业的法律监管体系也正处于不断发展</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和完善的过程中。如果国家对相关互联网行业监管政策发生不利变化，可能会</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对公司的经营业绩产生一定程度的不利影响。同时，由于公司计划开展的多个</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项目均在境外区域开展，当地行业监管政策变化也会对公司的发展产生一定程</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度的影响。公司在进入新的市场前，都会进行深入的市场环境和监管政策环境</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的调研，必要时向熟悉当地法律政策的机构或人员咨询监管政策，并根据相应</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的监管环境及政策要求开展业务运营，在实际业务运作的过程中，也会积极配</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合和落实监管要求，有效控制和降低监管政策的风险。二、市场竞争加剧的风</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险互联网产业日新月异，互联网用户对产品的要求也日益提升。如果未来市场</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竞争进一步加剧，将影响本公司未来业务的发展和产品推广，给公司带来一定</w:t>
      </w:r>
      <w:r>
        <w:rPr>
          <w:rFonts w:ascii="Microsoft JhengHei" w:hAnsi="Microsoft JhengHei" w:cs="Microsoft JhengHei" w:eastAsia="Microsoft JhengHei" w:hint="default"/>
          <w:spacing w:val="3"/>
          <w:sz w:val="28"/>
          <w:szCs w:val="28"/>
        </w:rPr>
      </w:r>
    </w:p>
    <w:p>
      <w:pPr>
        <w:spacing w:after="0" w:line="307" w:lineRule="auto"/>
        <w:jc w:val="both"/>
        <w:rPr>
          <w:rFonts w:ascii="Microsoft JhengHei" w:hAnsi="Microsoft JhengHei" w:cs="Microsoft JhengHei" w:eastAsia="Microsoft JhengHei" w:hint="default"/>
          <w:sz w:val="28"/>
          <w:szCs w:val="28"/>
        </w:rPr>
        <w:sectPr>
          <w:footerReference w:type="default" r:id="rId8"/>
          <w:pgSz w:w="11910" w:h="16840"/>
          <w:pgMar w:footer="979" w:header="747" w:top="1060" w:bottom="1160" w:left="980" w:right="980"/>
          <w:pgNumType w:start="2"/>
        </w:sectPr>
      </w:pPr>
    </w:p>
    <w:p>
      <w:pPr>
        <w:spacing w:line="240" w:lineRule="auto" w:before="3"/>
        <w:rPr>
          <w:rFonts w:ascii="Microsoft JhengHei" w:hAnsi="Microsoft JhengHei" w:cs="Microsoft JhengHei" w:eastAsia="Microsoft JhengHei" w:hint="default"/>
          <w:b/>
          <w:bCs/>
          <w:sz w:val="2"/>
          <w:szCs w:val="2"/>
        </w:rPr>
      </w:pPr>
    </w:p>
    <w:p>
      <w:pPr>
        <w:spacing w:line="20" w:lineRule="exact"/>
        <w:ind w:left="116"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240" w:lineRule="auto" w:before="3"/>
        <w:rPr>
          <w:rFonts w:ascii="Microsoft JhengHei" w:hAnsi="Microsoft JhengHei" w:cs="Microsoft JhengHei" w:eastAsia="Microsoft JhengHei" w:hint="default"/>
          <w:b/>
          <w:bCs/>
          <w:sz w:val="22"/>
          <w:szCs w:val="22"/>
        </w:rPr>
      </w:pPr>
    </w:p>
    <w:p>
      <w:pPr>
        <w:spacing w:line="412" w:lineRule="exact" w:before="0"/>
        <w:ind w:left="154"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3"/>
          <w:sz w:val="28"/>
          <w:szCs w:val="28"/>
        </w:rPr>
        <w:t>的发展压力。网络游戏行业在产品服务、市场渠道等方面已经形成激烈的行业</w:t>
      </w:r>
      <w:r>
        <w:rPr>
          <w:rFonts w:ascii="Microsoft JhengHei" w:hAnsi="Microsoft JhengHei" w:cs="Microsoft JhengHei" w:eastAsia="Microsoft JhengHei" w:hint="default"/>
          <w:spacing w:val="3"/>
          <w:sz w:val="28"/>
          <w:szCs w:val="28"/>
        </w:rPr>
      </w:r>
    </w:p>
    <w:p>
      <w:pPr>
        <w:spacing w:line="307" w:lineRule="auto" w:before="136"/>
        <w:ind w:left="154"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3"/>
          <w:sz w:val="28"/>
          <w:szCs w:val="28"/>
        </w:rPr>
        <w:t>竞争格局，平台化、精品化、泛娱乐化等趋势明显；浏览器行业竞争激烈，前</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五名市场占有率的总和占到市场九成；社交平台、互联网金融、视频直播等互</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联网行业竞争格局尚不明朗，产品迭代速度快，产品同质化现象较为严重。公</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司需保持持续创新能力，对抗市场竞争加剧的风险。公司上线项目均经过严格</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2"/>
          <w:sz w:val="28"/>
          <w:szCs w:val="28"/>
        </w:rPr>
        <w:t>筛选，有针对性的面向细分市场，通过玩法的持续创新和策划水平的不断提高，</w:t>
      </w:r>
      <w:r>
        <w:rPr>
          <w:rFonts w:ascii="Microsoft JhengHei" w:hAnsi="Microsoft JhengHei" w:cs="Microsoft JhengHei" w:eastAsia="Microsoft JhengHei" w:hint="default"/>
          <w:b/>
          <w:bCs/>
          <w:spacing w:val="-57"/>
          <w:sz w:val="28"/>
          <w:szCs w:val="28"/>
        </w:rPr>
        <w:t> </w:t>
      </w:r>
      <w:r>
        <w:rPr>
          <w:rFonts w:ascii="Microsoft JhengHei" w:hAnsi="Microsoft JhengHei" w:cs="Microsoft JhengHei" w:eastAsia="Microsoft JhengHei" w:hint="default"/>
          <w:b/>
          <w:bCs/>
          <w:spacing w:val="-57"/>
          <w:sz w:val="28"/>
          <w:szCs w:val="28"/>
        </w:rPr>
      </w:r>
      <w:r>
        <w:rPr>
          <w:rFonts w:ascii="Microsoft JhengHei" w:hAnsi="Microsoft JhengHei" w:cs="Microsoft JhengHei" w:eastAsia="Microsoft JhengHei" w:hint="default"/>
          <w:b/>
          <w:bCs/>
          <w:spacing w:val="3"/>
          <w:sz w:val="28"/>
          <w:szCs w:val="28"/>
        </w:rPr>
        <w:t>提升游戏的娱乐性与用户体验，提升核心玩家群体的粘性。同时，公司拥有经</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验丰富的市场推广队伍和反馈机制，在产品推出过程中通过分阶段的测试进行</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动态修改和调整，从而使产品能及时更新适应市场需求，并不断改进以规避市</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场风险。三、境外市场经营风险由于公司业务涉及的地域范围较广，各个国家</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或地区的政治环境、法律、税务等政策存在差异，如果公司对当地政局风险的</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把握不够、对相关法律法规、税务要求的了解不够全面，可能会面临境外运营</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的产品无法满足当地监管政策要求的风险。如果公司的运营触犯了当地政府的</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2"/>
          <w:sz w:val="28"/>
          <w:szCs w:val="28"/>
        </w:rPr>
        <w:t>法律法规，还可能会遭受处罚，甚至导致运营平台关闭，无法正常运营。此外，</w:t>
      </w:r>
      <w:r>
        <w:rPr>
          <w:rFonts w:ascii="Microsoft JhengHei" w:hAnsi="Microsoft JhengHei" w:cs="Microsoft JhengHei" w:eastAsia="Microsoft JhengHei" w:hint="default"/>
          <w:b/>
          <w:bCs/>
          <w:spacing w:val="-60"/>
          <w:sz w:val="28"/>
          <w:szCs w:val="28"/>
        </w:rPr>
        <w:t> </w:t>
      </w:r>
      <w:r>
        <w:rPr>
          <w:rFonts w:ascii="Microsoft JhengHei" w:hAnsi="Microsoft JhengHei" w:cs="Microsoft JhengHei" w:eastAsia="Microsoft JhengHei" w:hint="default"/>
          <w:b/>
          <w:bCs/>
          <w:spacing w:val="-60"/>
          <w:sz w:val="28"/>
          <w:szCs w:val="28"/>
        </w:rPr>
      </w:r>
      <w:r>
        <w:rPr>
          <w:rFonts w:ascii="Microsoft JhengHei" w:hAnsi="Microsoft JhengHei" w:cs="Microsoft JhengHei" w:eastAsia="Microsoft JhengHei" w:hint="default"/>
          <w:b/>
          <w:bCs/>
          <w:spacing w:val="3"/>
          <w:sz w:val="28"/>
          <w:szCs w:val="28"/>
        </w:rPr>
        <w:t>各个国家的文化背景和市场情况也各不相同，用户对于互联网产品的不同偏好</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可能导致公司在境内运营成功的产品不能很好地适应境外市场。公司在进行境</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外市场的开发时，如果对部分国家或地区的互联网产品运营模式不够了解，导</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致前期投入的市场开发资金不能达到预想的效果，可能会给公司未来的经营造</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成不利的影响。四、核心管理和技术人才流失的风险对于互联网公司而言，掌</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握行业核心技术与保持核心技术团队稳定是公司生存和发展的根本。互联网企</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业一般都面临人员流动大、知识结构更新快的问题，行业内的市场竞争也越来</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越体现为高素质人才之间的竞争。为了稳定公司的管理、技术和运营团队，公</w:t>
      </w:r>
      <w:r>
        <w:rPr>
          <w:rFonts w:ascii="Microsoft JhengHei" w:hAnsi="Microsoft JhengHei" w:cs="Microsoft JhengHei" w:eastAsia="Microsoft JhengHei" w:hint="default"/>
          <w:spacing w:val="3"/>
          <w:sz w:val="28"/>
          <w:szCs w:val="28"/>
        </w:rPr>
      </w:r>
    </w:p>
    <w:p>
      <w:pPr>
        <w:spacing w:after="0" w:line="307" w:lineRule="auto"/>
        <w:jc w:val="left"/>
        <w:rPr>
          <w:rFonts w:ascii="Microsoft JhengHei" w:hAnsi="Microsoft JhengHei" w:cs="Microsoft JhengHei" w:eastAsia="Microsoft JhengHei" w:hint="default"/>
          <w:sz w:val="28"/>
          <w:szCs w:val="28"/>
        </w:rPr>
        <w:sectPr>
          <w:pgSz w:w="11910" w:h="16840"/>
          <w:pgMar w:header="747" w:footer="979" w:top="1060" w:bottom="1160" w:left="980" w:right="900"/>
        </w:sectPr>
      </w:pPr>
    </w:p>
    <w:p>
      <w:pPr>
        <w:spacing w:line="240" w:lineRule="auto" w:before="9"/>
        <w:rPr>
          <w:rFonts w:ascii="Microsoft JhengHei" w:hAnsi="Microsoft JhengHei" w:cs="Microsoft JhengHei" w:eastAsia="Microsoft JhengHei" w:hint="default"/>
          <w:b/>
          <w:bCs/>
          <w:sz w:val="25"/>
          <w:szCs w:val="25"/>
        </w:rPr>
      </w:pPr>
    </w:p>
    <w:p>
      <w:pPr>
        <w:spacing w:line="412" w:lineRule="exact" w:before="0"/>
        <w:ind w:left="154"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3"/>
          <w:sz w:val="28"/>
          <w:szCs w:val="28"/>
        </w:rPr>
        <w:t>司提供有竞争力的薪酬福利和建立公平的竞争晋升机制，提供全面、完善的培</w:t>
      </w:r>
      <w:r>
        <w:rPr>
          <w:rFonts w:ascii="Microsoft JhengHei" w:hAnsi="Microsoft JhengHei" w:cs="Microsoft JhengHei" w:eastAsia="Microsoft JhengHei" w:hint="default"/>
          <w:spacing w:val="3"/>
          <w:sz w:val="28"/>
          <w:szCs w:val="28"/>
        </w:rPr>
      </w:r>
    </w:p>
    <w:p>
      <w:pPr>
        <w:spacing w:line="307" w:lineRule="auto" w:before="136"/>
        <w:ind w:left="154"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3"/>
          <w:sz w:val="28"/>
          <w:szCs w:val="28"/>
        </w:rPr>
        <w:t>训计划，创造开放、协作的工作环境，提倡</w:t>
      </w:r>
      <w:r>
        <w:rPr>
          <w:rFonts w:ascii="Times New Roman" w:hAnsi="Times New Roman" w:cs="Times New Roman" w:eastAsia="Times New Roman" w:hint="default"/>
          <w:b/>
          <w:bCs/>
          <w:spacing w:val="3"/>
          <w:sz w:val="28"/>
          <w:szCs w:val="28"/>
        </w:rPr>
        <w:t>“</w:t>
      </w:r>
      <w:r>
        <w:rPr>
          <w:rFonts w:ascii="Microsoft JhengHei" w:hAnsi="Microsoft JhengHei" w:cs="Microsoft JhengHei" w:eastAsia="Microsoft JhengHei" w:hint="default"/>
          <w:b/>
          <w:bCs/>
          <w:spacing w:val="3"/>
          <w:sz w:val="28"/>
          <w:szCs w:val="28"/>
        </w:rPr>
        <w:t>专注、创新</w:t>
      </w:r>
      <w:r>
        <w:rPr>
          <w:rFonts w:ascii="Times New Roman" w:hAnsi="Times New Roman" w:cs="Times New Roman" w:eastAsia="Times New Roman" w:hint="default"/>
          <w:b/>
          <w:bCs/>
          <w:spacing w:val="3"/>
          <w:sz w:val="28"/>
          <w:szCs w:val="28"/>
        </w:rPr>
        <w:t>”</w:t>
      </w:r>
      <w:r>
        <w:rPr>
          <w:rFonts w:ascii="Microsoft JhengHei" w:hAnsi="Microsoft JhengHei" w:cs="Microsoft JhengHei" w:eastAsia="Microsoft JhengHei" w:hint="default"/>
          <w:b/>
          <w:bCs/>
          <w:spacing w:val="3"/>
          <w:sz w:val="28"/>
          <w:szCs w:val="28"/>
        </w:rPr>
        <w:t>的企业文化，吸引并</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2"/>
          <w:sz w:val="28"/>
          <w:szCs w:val="28"/>
        </w:rPr>
        <w:t>培养管理和技术人才，公司的核心骨干人员也直接或间接持有公司股份。但是，</w:t>
      </w:r>
      <w:r>
        <w:rPr>
          <w:rFonts w:ascii="Microsoft JhengHei" w:hAnsi="Microsoft JhengHei" w:cs="Microsoft JhengHei" w:eastAsia="Microsoft JhengHei" w:hint="default"/>
          <w:b/>
          <w:bCs/>
          <w:spacing w:val="-58"/>
          <w:sz w:val="28"/>
          <w:szCs w:val="28"/>
        </w:rPr>
        <w:t> </w:t>
      </w:r>
      <w:r>
        <w:rPr>
          <w:rFonts w:ascii="Microsoft JhengHei" w:hAnsi="Microsoft JhengHei" w:cs="Microsoft JhengHei" w:eastAsia="Microsoft JhengHei" w:hint="default"/>
          <w:b/>
          <w:bCs/>
          <w:spacing w:val="-58"/>
          <w:sz w:val="28"/>
          <w:szCs w:val="28"/>
        </w:rPr>
      </w:r>
      <w:r>
        <w:rPr>
          <w:rFonts w:ascii="Microsoft JhengHei" w:hAnsi="Microsoft JhengHei" w:cs="Microsoft JhengHei" w:eastAsia="Microsoft JhengHei" w:hint="default"/>
          <w:b/>
          <w:bCs/>
          <w:spacing w:val="3"/>
          <w:sz w:val="28"/>
          <w:szCs w:val="28"/>
        </w:rPr>
        <w:t>如果公司之后核心骨干人员流失且无法吸引新的优秀人才加入，将对公司的经</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2"/>
          <w:sz w:val="28"/>
          <w:szCs w:val="28"/>
        </w:rPr>
        <w:t>营造成不利影响。公司将在保障现有人才队伍稳定及后续人才持续培养的同时，</w:t>
      </w:r>
      <w:r>
        <w:rPr>
          <w:rFonts w:ascii="Microsoft JhengHei" w:hAnsi="Microsoft JhengHei" w:cs="Microsoft JhengHei" w:eastAsia="Microsoft JhengHei" w:hint="default"/>
          <w:b/>
          <w:bCs/>
          <w:spacing w:val="-59"/>
          <w:sz w:val="28"/>
          <w:szCs w:val="28"/>
        </w:rPr>
        <w:t> </w:t>
      </w:r>
      <w:r>
        <w:rPr>
          <w:rFonts w:ascii="Microsoft JhengHei" w:hAnsi="Microsoft JhengHei" w:cs="Microsoft JhengHei" w:eastAsia="Microsoft JhengHei" w:hint="default"/>
          <w:b/>
          <w:bCs/>
          <w:spacing w:val="-59"/>
          <w:sz w:val="28"/>
          <w:szCs w:val="28"/>
        </w:rPr>
      </w:r>
      <w:r>
        <w:rPr>
          <w:rFonts w:ascii="Microsoft JhengHei" w:hAnsi="Microsoft JhengHei" w:cs="Microsoft JhengHei" w:eastAsia="Microsoft JhengHei" w:hint="default"/>
          <w:b/>
          <w:bCs/>
          <w:spacing w:val="3"/>
          <w:sz w:val="28"/>
          <w:szCs w:val="28"/>
        </w:rPr>
        <w:t>以优厚的待遇及激励机制，引进行业中优秀的人才为公司服务，以满足公司业</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务持续快速发展的需要。五、汇率风险自公司开始布局海外市场至今，公司境</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z w:val="28"/>
          <w:szCs w:val="28"/>
        </w:rPr>
        <w:t>外业务收入占总收入的比重较大且呈现快速增长的态势。公司自 </w:t>
      </w:r>
      <w:r>
        <w:rPr>
          <w:rFonts w:ascii="Times New Roman" w:hAnsi="Times New Roman" w:cs="Times New Roman" w:eastAsia="Times New Roman" w:hint="default"/>
          <w:b/>
          <w:bCs/>
          <w:sz w:val="28"/>
          <w:szCs w:val="28"/>
        </w:rPr>
        <w:t>2009</w:t>
      </w:r>
      <w:r>
        <w:rPr>
          <w:rFonts w:ascii="Times New Roman" w:hAnsi="Times New Roman" w:cs="Times New Roman" w:eastAsia="Times New Roman" w:hint="default"/>
          <w:b/>
          <w:bCs/>
          <w:spacing w:val="-15"/>
          <w:sz w:val="28"/>
          <w:szCs w:val="28"/>
        </w:rPr>
        <w:t> </w:t>
      </w:r>
      <w:r>
        <w:rPr>
          <w:rFonts w:ascii="Microsoft JhengHei" w:hAnsi="Microsoft JhengHei" w:cs="Microsoft JhengHei" w:eastAsia="Microsoft JhengHei" w:hint="default"/>
          <w:b/>
          <w:bCs/>
          <w:sz w:val="28"/>
          <w:szCs w:val="28"/>
        </w:rPr>
        <w:t>年开始布</w:t>
      </w:r>
      <w:r>
        <w:rPr>
          <w:rFonts w:ascii="Microsoft JhengHei" w:hAnsi="Microsoft JhengHei" w:cs="Microsoft JhengHei" w:eastAsia="Microsoft JhengHei" w:hint="default"/>
          <w:b/>
          <w:bCs/>
          <w:spacing w:val="1"/>
          <w:w w:val="99"/>
          <w:sz w:val="28"/>
          <w:szCs w:val="28"/>
        </w:rPr>
        <w:t> </w:t>
      </w:r>
      <w:r>
        <w:rPr>
          <w:rFonts w:ascii="Microsoft JhengHei" w:hAnsi="Microsoft JhengHei" w:cs="Microsoft JhengHei" w:eastAsia="Microsoft JhengHei" w:hint="default"/>
          <w:b/>
          <w:bCs/>
          <w:spacing w:val="3"/>
          <w:sz w:val="28"/>
          <w:szCs w:val="28"/>
        </w:rPr>
        <w:t>局海外市场，目前已经分别在香港、日本、韩国、马来西亚、美国、英国等地</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区设立子公司。一方面，公司与境外支付渠道的结算涉及美元、港币等货币，</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z w:val="28"/>
          <w:szCs w:val="28"/>
        </w:rPr>
        <w:t>账期一般在 </w:t>
      </w:r>
      <w:r>
        <w:rPr>
          <w:rFonts w:ascii="Times New Roman" w:hAnsi="Times New Roman" w:cs="Times New Roman" w:eastAsia="Times New Roman" w:hint="default"/>
          <w:b/>
          <w:bCs/>
          <w:sz w:val="28"/>
          <w:szCs w:val="28"/>
        </w:rPr>
        <w:t>3</w:t>
      </w:r>
      <w:r>
        <w:rPr>
          <w:rFonts w:ascii="Times New Roman" w:hAnsi="Times New Roman" w:cs="Times New Roman" w:eastAsia="Times New Roman" w:hint="default"/>
          <w:b/>
          <w:bCs/>
          <w:spacing w:val="15"/>
          <w:sz w:val="28"/>
          <w:szCs w:val="28"/>
        </w:rPr>
        <w:t> </w:t>
      </w:r>
      <w:r>
        <w:rPr>
          <w:rFonts w:ascii="Microsoft JhengHei" w:hAnsi="Microsoft JhengHei" w:cs="Microsoft JhengHei" w:eastAsia="Microsoft JhengHei" w:hint="default"/>
          <w:b/>
          <w:bCs/>
          <w:sz w:val="28"/>
          <w:szCs w:val="28"/>
        </w:rPr>
        <w:t>个月以内，期间应收账款中的外币资产会面临一定的汇率风险。</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另一方面，母公司报表及合并报表的记账单位是人民币，境外子公司的期末报</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表外币折算时同样面临汇率风险。综上，如果未来我国汇率政策发生重大变化</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或者未来人民币的汇率出现大幅波动，公司可能面临一定的汇率波动风险。在</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应对汇率风险方面，公司将培养和强化汇率风险防范意识，随时密切注视国际</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外汇市场相关货币的变化趋势，培养和吸收高素质的外汇风险管理人才，同时</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形成防范汇率风险的有效管理机制，并从合同等源头控制交易风险。六、投资</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项目业绩不及预期上市以来，公司已经陆续投资了达达、趣分期、随手科技、</w:t>
      </w:r>
      <w:r>
        <w:rPr>
          <w:rFonts w:ascii="Microsoft JhengHei" w:hAnsi="Microsoft JhengHei" w:cs="Microsoft JhengHei" w:eastAsia="Microsoft JhengHei" w:hint="default"/>
          <w:b/>
          <w:bCs/>
          <w:w w:val="99"/>
          <w:sz w:val="28"/>
          <w:szCs w:val="28"/>
        </w:rPr>
        <w:t> </w:t>
      </w:r>
      <w:r>
        <w:rPr>
          <w:rFonts w:ascii="Times New Roman" w:hAnsi="Times New Roman" w:cs="Times New Roman" w:eastAsia="Times New Roman" w:hint="default"/>
          <w:b/>
          <w:bCs/>
          <w:spacing w:val="-4"/>
          <w:sz w:val="28"/>
          <w:szCs w:val="28"/>
        </w:rPr>
        <w:t>Lendinvest</w:t>
      </w:r>
      <w:r>
        <w:rPr>
          <w:rFonts w:ascii="Microsoft JhengHei" w:hAnsi="Microsoft JhengHei" w:cs="Microsoft JhengHei" w:eastAsia="Microsoft JhengHei" w:hint="default"/>
          <w:b/>
          <w:bCs/>
          <w:spacing w:val="-4"/>
          <w:sz w:val="28"/>
          <w:szCs w:val="28"/>
        </w:rPr>
        <w:t>、银客、洋钱罐、映客、</w:t>
      </w:r>
      <w:r>
        <w:rPr>
          <w:rFonts w:ascii="Times New Roman" w:hAnsi="Times New Roman" w:cs="Times New Roman" w:eastAsia="Times New Roman" w:hint="default"/>
          <w:b/>
          <w:bCs/>
          <w:spacing w:val="-4"/>
          <w:sz w:val="28"/>
          <w:szCs w:val="28"/>
        </w:rPr>
        <w:t>Grindr</w:t>
      </w:r>
      <w:r>
        <w:rPr>
          <w:rFonts w:ascii="Microsoft JhengHei" w:hAnsi="Microsoft JhengHei" w:cs="Microsoft JhengHei" w:eastAsia="Microsoft JhengHei" w:hint="default"/>
          <w:b/>
          <w:bCs/>
          <w:spacing w:val="-4"/>
          <w:sz w:val="28"/>
          <w:szCs w:val="28"/>
        </w:rPr>
        <w:t>、</w:t>
      </w:r>
      <w:r>
        <w:rPr>
          <w:rFonts w:ascii="Times New Roman" w:hAnsi="Times New Roman" w:cs="Times New Roman" w:eastAsia="Times New Roman" w:hint="default"/>
          <w:b/>
          <w:bCs/>
          <w:spacing w:val="-4"/>
          <w:sz w:val="28"/>
          <w:szCs w:val="28"/>
        </w:rPr>
        <w:t>Opera </w:t>
      </w:r>
      <w:r>
        <w:rPr>
          <w:rFonts w:ascii="Microsoft JhengHei" w:hAnsi="Microsoft JhengHei" w:cs="Microsoft JhengHei" w:eastAsia="Microsoft JhengHei" w:hint="default"/>
          <w:b/>
          <w:bCs/>
          <w:sz w:val="28"/>
          <w:szCs w:val="28"/>
        </w:rPr>
        <w:t>等众多互联网细分领域的龙</w:t>
      </w:r>
      <w:r>
        <w:rPr>
          <w:rFonts w:ascii="Microsoft JhengHei" w:hAnsi="Microsoft JhengHei" w:cs="Microsoft JhengHei" w:eastAsia="Microsoft JhengHei" w:hint="default"/>
          <w:b/>
          <w:bCs/>
          <w:spacing w:val="-52"/>
          <w:sz w:val="28"/>
          <w:szCs w:val="28"/>
        </w:rPr>
        <w:t> </w:t>
      </w:r>
      <w:r>
        <w:rPr>
          <w:rFonts w:ascii="Microsoft JhengHei" w:hAnsi="Microsoft JhengHei" w:cs="Microsoft JhengHei" w:eastAsia="Microsoft JhengHei" w:hint="default"/>
          <w:b/>
          <w:bCs/>
          <w:spacing w:val="-52"/>
          <w:sz w:val="28"/>
          <w:szCs w:val="28"/>
        </w:rPr>
      </w:r>
      <w:r>
        <w:rPr>
          <w:rFonts w:ascii="Microsoft JhengHei" w:hAnsi="Microsoft JhengHei" w:cs="Microsoft JhengHei" w:eastAsia="Microsoft JhengHei" w:hint="default"/>
          <w:b/>
          <w:bCs/>
          <w:spacing w:val="-2"/>
          <w:sz w:val="28"/>
          <w:szCs w:val="28"/>
        </w:rPr>
        <w:t>头企业。但由于互联网市场竞争激烈、新型公司层出不穷、商业模式面临创新、</w:t>
      </w:r>
      <w:r>
        <w:rPr>
          <w:rFonts w:ascii="Microsoft JhengHei" w:hAnsi="Microsoft JhengHei" w:cs="Microsoft JhengHei" w:eastAsia="Microsoft JhengHei" w:hint="default"/>
          <w:b/>
          <w:bCs/>
          <w:spacing w:val="-59"/>
          <w:sz w:val="28"/>
          <w:szCs w:val="28"/>
        </w:rPr>
        <w:t> </w:t>
      </w:r>
      <w:r>
        <w:rPr>
          <w:rFonts w:ascii="Microsoft JhengHei" w:hAnsi="Microsoft JhengHei" w:cs="Microsoft JhengHei" w:eastAsia="Microsoft JhengHei" w:hint="default"/>
          <w:b/>
          <w:bCs/>
          <w:spacing w:val="-59"/>
          <w:sz w:val="28"/>
          <w:szCs w:val="28"/>
        </w:rPr>
      </w:r>
      <w:r>
        <w:rPr>
          <w:rFonts w:ascii="Microsoft JhengHei" w:hAnsi="Microsoft JhengHei" w:cs="Microsoft JhengHei" w:eastAsia="Microsoft JhengHei" w:hint="default"/>
          <w:b/>
          <w:bCs/>
          <w:spacing w:val="3"/>
          <w:sz w:val="28"/>
          <w:szCs w:val="28"/>
        </w:rPr>
        <w:t>技术手段不断更迭，所以公司投资的相关项目可能在市场搏杀中面临着业绩不</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及预期的风险。公司及时关注投资并购公司的经营状况及所在行业变化趋势，</w:t>
      </w:r>
      <w:r>
        <w:rPr>
          <w:rFonts w:ascii="Microsoft JhengHei" w:hAnsi="Microsoft JhengHei" w:cs="Microsoft JhengHei" w:eastAsia="Microsoft JhengHei" w:hint="default"/>
          <w:spacing w:val="3"/>
          <w:sz w:val="28"/>
          <w:szCs w:val="28"/>
        </w:rPr>
      </w:r>
    </w:p>
    <w:p>
      <w:pPr>
        <w:spacing w:after="0" w:line="307" w:lineRule="auto"/>
        <w:jc w:val="left"/>
        <w:rPr>
          <w:rFonts w:ascii="Microsoft JhengHei" w:hAnsi="Microsoft JhengHei" w:cs="Microsoft JhengHei" w:eastAsia="Microsoft JhengHei" w:hint="default"/>
          <w:sz w:val="28"/>
          <w:szCs w:val="28"/>
        </w:rPr>
        <w:sectPr>
          <w:pgSz w:w="11910" w:h="16840"/>
          <w:pgMar w:header="747" w:footer="979" w:top="1060" w:bottom="1160" w:left="980" w:right="900"/>
        </w:sectPr>
      </w:pPr>
    </w:p>
    <w:p>
      <w:pPr>
        <w:spacing w:line="240" w:lineRule="auto" w:before="9"/>
        <w:rPr>
          <w:rFonts w:ascii="Microsoft JhengHei" w:hAnsi="Microsoft JhengHei" w:cs="Microsoft JhengHei" w:eastAsia="Microsoft JhengHei" w:hint="default"/>
          <w:b/>
          <w:bCs/>
          <w:sz w:val="25"/>
          <w:szCs w:val="25"/>
        </w:rPr>
      </w:pPr>
    </w:p>
    <w:p>
      <w:pPr>
        <w:spacing w:line="412" w:lineRule="exact" w:before="0"/>
        <w:ind w:left="154" w:right="0" w:firstLine="0"/>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不断强化公司的治理行为，充分给予投资并购公司发展空间和必要的资源共享。</w:t>
      </w:r>
      <w:r>
        <w:rPr>
          <w:rFonts w:ascii="Microsoft JhengHei" w:hAnsi="Microsoft JhengHei" w:cs="Microsoft JhengHei" w:eastAsia="Microsoft JhengHei" w:hint="default"/>
          <w:sz w:val="28"/>
          <w:szCs w:val="28"/>
        </w:rPr>
      </w:r>
    </w:p>
    <w:p>
      <w:pPr>
        <w:spacing w:line="307" w:lineRule="auto" w:before="136"/>
        <w:ind w:left="154" w:right="256" w:firstLine="0"/>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3"/>
          <w:sz w:val="28"/>
          <w:szCs w:val="28"/>
        </w:rPr>
        <w:t>七、公司规模扩大带来的管理风险公司已经确立在巩固网络游戏、软件商店、</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互联网金融三大业务板块的同时，积极探索互联网领域的投资机会，重点围绕</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z w:val="28"/>
          <w:szCs w:val="28"/>
        </w:rPr>
        <w:t>软件工具、社交平台、</w:t>
      </w:r>
      <w:r>
        <w:rPr>
          <w:rFonts w:ascii="Times New Roman" w:hAnsi="Times New Roman" w:cs="Times New Roman" w:eastAsia="Times New Roman" w:hint="default"/>
          <w:b/>
          <w:bCs/>
          <w:sz w:val="28"/>
          <w:szCs w:val="28"/>
        </w:rPr>
        <w:t>IP</w:t>
      </w:r>
      <w:r>
        <w:rPr>
          <w:rFonts w:ascii="Times New Roman" w:hAnsi="Times New Roman" w:cs="Times New Roman" w:eastAsia="Times New Roman" w:hint="default"/>
          <w:b/>
          <w:bCs/>
          <w:spacing w:val="15"/>
          <w:sz w:val="28"/>
          <w:szCs w:val="28"/>
        </w:rPr>
        <w:t> </w:t>
      </w:r>
      <w:r>
        <w:rPr>
          <w:rFonts w:ascii="Microsoft JhengHei" w:hAnsi="Microsoft JhengHei" w:cs="Microsoft JhengHei" w:eastAsia="Microsoft JhengHei" w:hint="default"/>
          <w:b/>
          <w:bCs/>
          <w:sz w:val="28"/>
          <w:szCs w:val="28"/>
        </w:rPr>
        <w:t>经营、互联网金融和视频直播等板块进行投资布局。</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z w:val="28"/>
          <w:szCs w:val="28"/>
        </w:rPr>
        <w:t>公司已确立了面向全球用户的软件工具、社交平台、</w:t>
      </w:r>
      <w:r>
        <w:rPr>
          <w:rFonts w:ascii="Times New Roman" w:hAnsi="Times New Roman" w:cs="Times New Roman" w:eastAsia="Times New Roman" w:hint="default"/>
          <w:b/>
          <w:bCs/>
          <w:sz w:val="28"/>
          <w:szCs w:val="28"/>
        </w:rPr>
        <w:t>IP</w:t>
      </w:r>
      <w:r>
        <w:rPr>
          <w:rFonts w:ascii="Times New Roman" w:hAnsi="Times New Roman" w:cs="Times New Roman" w:eastAsia="Times New Roman" w:hint="default"/>
          <w:b/>
          <w:bCs/>
          <w:spacing w:val="18"/>
          <w:sz w:val="28"/>
          <w:szCs w:val="28"/>
        </w:rPr>
        <w:t> </w:t>
      </w:r>
      <w:r>
        <w:rPr>
          <w:rFonts w:ascii="Microsoft JhengHei" w:hAnsi="Microsoft JhengHei" w:cs="Microsoft JhengHei" w:eastAsia="Microsoft JhengHei" w:hint="default"/>
          <w:b/>
          <w:bCs/>
          <w:sz w:val="28"/>
          <w:szCs w:val="28"/>
        </w:rPr>
        <w:t>经营、互联网金融、视</w:t>
      </w:r>
      <w:r>
        <w:rPr>
          <w:rFonts w:ascii="Microsoft JhengHei" w:hAnsi="Microsoft JhengHei" w:cs="Microsoft JhengHei" w:eastAsia="Microsoft JhengHei" w:hint="default"/>
          <w:b/>
          <w:bCs/>
          <w:spacing w:val="-68"/>
          <w:sz w:val="28"/>
          <w:szCs w:val="28"/>
        </w:rPr>
        <w:t> </w:t>
      </w:r>
      <w:r>
        <w:rPr>
          <w:rFonts w:ascii="Microsoft JhengHei" w:hAnsi="Microsoft JhengHei" w:cs="Microsoft JhengHei" w:eastAsia="Microsoft JhengHei" w:hint="default"/>
          <w:b/>
          <w:bCs/>
          <w:spacing w:val="-68"/>
          <w:sz w:val="28"/>
          <w:szCs w:val="28"/>
        </w:rPr>
      </w:r>
      <w:r>
        <w:rPr>
          <w:rFonts w:ascii="Microsoft JhengHei" w:hAnsi="Microsoft JhengHei" w:cs="Microsoft JhengHei" w:eastAsia="Microsoft JhengHei" w:hint="default"/>
          <w:b/>
          <w:bCs/>
          <w:spacing w:val="3"/>
          <w:sz w:val="28"/>
          <w:szCs w:val="28"/>
        </w:rPr>
        <w:t>频直播五大业务主线。经营规模愈加庞大，组织结构愈加复杂，这将对公司的</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经营管理、财务规划以及人力资源配置等提出更高要求。如果公司的管理水平</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不能随之提升，可能面临相应的运营管理和内部控制等方面的挑战。公司将进</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一步完善法人治理结构，提高公司治理水平，建立更加有效的运行机制，确保</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公司各项业务计划的平稳实施、有序进行。目前，公司整体战略和发展目标由</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3"/>
          <w:sz w:val="28"/>
          <w:szCs w:val="28"/>
        </w:rPr>
        <w:t>董事长把控，并在每条业务线上委派业务线 </w:t>
      </w:r>
      <w:r>
        <w:rPr>
          <w:rFonts w:ascii="Times New Roman" w:hAnsi="Times New Roman" w:cs="Times New Roman" w:eastAsia="Times New Roman" w:hint="default"/>
          <w:b/>
          <w:bCs/>
          <w:sz w:val="28"/>
          <w:szCs w:val="28"/>
        </w:rPr>
        <w:t>CEO</w:t>
      </w:r>
      <w:r>
        <w:rPr>
          <w:rFonts w:ascii="Times New Roman" w:hAnsi="Times New Roman" w:cs="Times New Roman" w:eastAsia="Times New Roman" w:hint="default"/>
          <w:b/>
          <w:bCs/>
          <w:spacing w:val="13"/>
          <w:sz w:val="28"/>
          <w:szCs w:val="28"/>
        </w:rPr>
        <w:t> </w:t>
      </w:r>
      <w:r>
        <w:rPr>
          <w:rFonts w:ascii="Microsoft JhengHei" w:hAnsi="Microsoft JhengHei" w:cs="Microsoft JhengHei" w:eastAsia="Microsoft JhengHei" w:hint="default"/>
          <w:b/>
          <w:bCs/>
          <w:spacing w:val="-4"/>
          <w:sz w:val="28"/>
          <w:szCs w:val="28"/>
        </w:rPr>
        <w:t>负责相关工作的执行，确保各</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z w:val="28"/>
          <w:szCs w:val="28"/>
        </w:rPr>
        <w:t>业务线的有序进行。</w:t>
      </w:r>
      <w:r>
        <w:rPr>
          <w:rFonts w:ascii="Microsoft JhengHei" w:hAnsi="Microsoft JhengHei" w:cs="Microsoft JhengHei" w:eastAsia="Microsoft JhengHei" w:hint="default"/>
          <w:sz w:val="28"/>
          <w:szCs w:val="28"/>
        </w:rPr>
      </w:r>
    </w:p>
    <w:p>
      <w:pPr>
        <w:spacing w:before="130"/>
        <w:ind w:left="716"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公司经本次董事会审议通过的利润分配预案为：以 </w:t>
      </w:r>
      <w:r>
        <w:rPr>
          <w:rFonts w:ascii="Times New Roman" w:hAnsi="Times New Roman" w:cs="Times New Roman" w:eastAsia="Times New Roman" w:hint="default"/>
          <w:b/>
          <w:bCs/>
          <w:sz w:val="28"/>
          <w:szCs w:val="28"/>
        </w:rPr>
        <w:t>1,127,230,993</w:t>
      </w:r>
      <w:r>
        <w:rPr>
          <w:rFonts w:ascii="Times New Roman" w:hAnsi="Times New Roman" w:cs="Times New Roman" w:eastAsia="Times New Roman" w:hint="default"/>
          <w:b/>
          <w:bCs/>
          <w:spacing w:val="27"/>
          <w:sz w:val="28"/>
          <w:szCs w:val="28"/>
        </w:rPr>
        <w:t> </w:t>
      </w:r>
      <w:r>
        <w:rPr>
          <w:rFonts w:ascii="Microsoft JhengHei" w:hAnsi="Microsoft JhengHei" w:cs="Microsoft JhengHei" w:eastAsia="Microsoft JhengHei" w:hint="default"/>
          <w:b/>
          <w:bCs/>
          <w:sz w:val="28"/>
          <w:szCs w:val="28"/>
        </w:rPr>
        <w:t>为基数，</w:t>
      </w:r>
      <w:r>
        <w:rPr>
          <w:rFonts w:ascii="Microsoft JhengHei" w:hAnsi="Microsoft JhengHei" w:cs="Microsoft JhengHei" w:eastAsia="Microsoft JhengHei" w:hint="default"/>
          <w:sz w:val="28"/>
          <w:szCs w:val="28"/>
        </w:rPr>
      </w:r>
    </w:p>
    <w:p>
      <w:pPr>
        <w:spacing w:before="136"/>
        <w:ind w:left="154" w:right="0" w:firstLine="0"/>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w w:val="99"/>
          <w:sz w:val="28"/>
          <w:szCs w:val="28"/>
        </w:rPr>
        <w:t>向全体</w:t>
      </w:r>
      <w:r>
        <w:rPr>
          <w:rFonts w:ascii="Microsoft JhengHei" w:hAnsi="Microsoft JhengHei" w:cs="Microsoft JhengHei" w:eastAsia="Microsoft JhengHei" w:hint="default"/>
          <w:b/>
          <w:bCs/>
          <w:spacing w:val="2"/>
          <w:w w:val="99"/>
          <w:sz w:val="28"/>
          <w:szCs w:val="28"/>
        </w:rPr>
        <w:t>股</w:t>
      </w:r>
      <w:r>
        <w:rPr>
          <w:rFonts w:ascii="Microsoft JhengHei" w:hAnsi="Microsoft JhengHei" w:cs="Microsoft JhengHei" w:eastAsia="Microsoft JhengHei" w:hint="default"/>
          <w:b/>
          <w:bCs/>
          <w:w w:val="99"/>
          <w:sz w:val="28"/>
          <w:szCs w:val="28"/>
        </w:rPr>
        <w:t>东每</w:t>
      </w:r>
      <w:r>
        <w:rPr>
          <w:rFonts w:ascii="Microsoft JhengHei" w:hAnsi="Microsoft JhengHei" w:cs="Microsoft JhengHei" w:eastAsia="Microsoft JhengHei" w:hint="default"/>
          <w:b/>
          <w:bCs/>
          <w:spacing w:val="4"/>
          <w:sz w:val="28"/>
          <w:szCs w:val="28"/>
        </w:rPr>
        <w:t> </w:t>
      </w:r>
      <w:r>
        <w:rPr>
          <w:rFonts w:ascii="Times New Roman" w:hAnsi="Times New Roman" w:cs="Times New Roman" w:eastAsia="Times New Roman" w:hint="default"/>
          <w:b/>
          <w:bCs/>
          <w:w w:val="99"/>
          <w:sz w:val="28"/>
          <w:szCs w:val="28"/>
        </w:rPr>
        <w:t>10</w:t>
      </w:r>
      <w:r>
        <w:rPr>
          <w:rFonts w:ascii="Times New Roman" w:hAnsi="Times New Roman" w:cs="Times New Roman" w:eastAsia="Times New Roman" w:hint="default"/>
          <w:b/>
          <w:bCs/>
          <w:sz w:val="28"/>
          <w:szCs w:val="28"/>
        </w:rPr>
        <w:t> </w:t>
      </w:r>
      <w:r>
        <w:rPr>
          <w:rFonts w:ascii="Microsoft JhengHei" w:hAnsi="Microsoft JhengHei" w:cs="Microsoft JhengHei" w:eastAsia="Microsoft JhengHei" w:hint="default"/>
          <w:b/>
          <w:bCs/>
          <w:w w:val="99"/>
          <w:sz w:val="28"/>
          <w:szCs w:val="28"/>
        </w:rPr>
        <w:t>股派发</w:t>
      </w:r>
      <w:r>
        <w:rPr>
          <w:rFonts w:ascii="Microsoft JhengHei" w:hAnsi="Microsoft JhengHei" w:cs="Microsoft JhengHei" w:eastAsia="Microsoft JhengHei" w:hint="default"/>
          <w:b/>
          <w:bCs/>
          <w:spacing w:val="2"/>
          <w:w w:val="99"/>
          <w:sz w:val="28"/>
          <w:szCs w:val="28"/>
        </w:rPr>
        <w:t>现</w:t>
      </w:r>
      <w:r>
        <w:rPr>
          <w:rFonts w:ascii="Microsoft JhengHei" w:hAnsi="Microsoft JhengHei" w:cs="Microsoft JhengHei" w:eastAsia="Microsoft JhengHei" w:hint="default"/>
          <w:b/>
          <w:bCs/>
          <w:w w:val="99"/>
          <w:sz w:val="28"/>
          <w:szCs w:val="28"/>
        </w:rPr>
        <w:t>金红利</w:t>
      </w:r>
      <w:r>
        <w:rPr>
          <w:rFonts w:ascii="Microsoft JhengHei" w:hAnsi="Microsoft JhengHei" w:cs="Microsoft JhengHei" w:eastAsia="Microsoft JhengHei" w:hint="default"/>
          <w:b/>
          <w:bCs/>
          <w:spacing w:val="4"/>
          <w:sz w:val="28"/>
          <w:szCs w:val="28"/>
        </w:rPr>
        <w:t> </w:t>
      </w:r>
      <w:r>
        <w:rPr>
          <w:rFonts w:ascii="Times New Roman" w:hAnsi="Times New Roman" w:cs="Times New Roman" w:eastAsia="Times New Roman" w:hint="default"/>
          <w:b/>
          <w:bCs/>
          <w:w w:val="99"/>
          <w:sz w:val="28"/>
          <w:szCs w:val="28"/>
        </w:rPr>
        <w:t>1.05</w:t>
      </w:r>
      <w:r>
        <w:rPr>
          <w:rFonts w:ascii="Times New Roman" w:hAnsi="Times New Roman" w:cs="Times New Roman" w:eastAsia="Times New Roman" w:hint="default"/>
          <w:b/>
          <w:bCs/>
          <w:spacing w:val="1"/>
          <w:sz w:val="28"/>
          <w:szCs w:val="28"/>
        </w:rPr>
        <w:t> </w:t>
      </w:r>
      <w:r>
        <w:rPr>
          <w:rFonts w:ascii="Microsoft JhengHei" w:hAnsi="Microsoft JhengHei" w:cs="Microsoft JhengHei" w:eastAsia="Microsoft JhengHei" w:hint="default"/>
          <w:b/>
          <w:bCs/>
          <w:spacing w:val="-30"/>
          <w:w w:val="99"/>
          <w:sz w:val="28"/>
          <w:szCs w:val="28"/>
        </w:rPr>
        <w:t>元</w:t>
      </w:r>
      <w:r>
        <w:rPr>
          <w:rFonts w:ascii="Microsoft JhengHei" w:hAnsi="Microsoft JhengHei" w:cs="Microsoft JhengHei" w:eastAsia="Microsoft JhengHei" w:hint="default"/>
          <w:b/>
          <w:bCs/>
          <w:w w:val="99"/>
          <w:sz w:val="28"/>
          <w:szCs w:val="28"/>
        </w:rPr>
        <w:t>（含税</w:t>
      </w:r>
      <w:r>
        <w:rPr>
          <w:rFonts w:ascii="Microsoft JhengHei" w:hAnsi="Microsoft JhengHei" w:cs="Microsoft JhengHei" w:eastAsia="Microsoft JhengHei" w:hint="default"/>
          <w:b/>
          <w:bCs/>
          <w:spacing w:val="-140"/>
          <w:w w:val="99"/>
          <w:sz w:val="28"/>
          <w:szCs w:val="28"/>
        </w:rPr>
        <w:t>）</w:t>
      </w:r>
      <w:r>
        <w:rPr>
          <w:rFonts w:ascii="Microsoft JhengHei" w:hAnsi="Microsoft JhengHei" w:cs="Microsoft JhengHei" w:eastAsia="Microsoft JhengHei" w:hint="default"/>
          <w:b/>
          <w:bCs/>
          <w:spacing w:val="-30"/>
          <w:w w:val="99"/>
          <w:sz w:val="28"/>
          <w:szCs w:val="28"/>
        </w:rPr>
        <w:t>，</w:t>
      </w:r>
      <w:r>
        <w:rPr>
          <w:rFonts w:ascii="Microsoft JhengHei" w:hAnsi="Microsoft JhengHei" w:cs="Microsoft JhengHei" w:eastAsia="Microsoft JhengHei" w:hint="default"/>
          <w:b/>
          <w:bCs/>
          <w:w w:val="99"/>
          <w:sz w:val="28"/>
          <w:szCs w:val="28"/>
        </w:rPr>
        <w:t>送红股</w:t>
      </w:r>
      <w:r>
        <w:rPr>
          <w:rFonts w:ascii="Microsoft JhengHei" w:hAnsi="Microsoft JhengHei" w:cs="Microsoft JhengHei" w:eastAsia="Microsoft JhengHei" w:hint="default"/>
          <w:b/>
          <w:bCs/>
          <w:spacing w:val="3"/>
          <w:sz w:val="28"/>
          <w:szCs w:val="28"/>
        </w:rPr>
        <w:t> </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b/>
          <w:bCs/>
          <w:spacing w:val="1"/>
          <w:sz w:val="28"/>
          <w:szCs w:val="28"/>
        </w:rPr>
        <w:t> </w:t>
      </w:r>
      <w:r>
        <w:rPr>
          <w:rFonts w:ascii="Microsoft JhengHei" w:hAnsi="Microsoft JhengHei" w:cs="Microsoft JhengHei" w:eastAsia="Microsoft JhengHei" w:hint="default"/>
          <w:b/>
          <w:bCs/>
          <w:spacing w:val="-32"/>
          <w:w w:val="99"/>
          <w:sz w:val="28"/>
          <w:szCs w:val="28"/>
        </w:rPr>
        <w:t>股</w:t>
      </w:r>
      <w:r>
        <w:rPr>
          <w:rFonts w:ascii="Microsoft JhengHei" w:hAnsi="Microsoft JhengHei" w:cs="Microsoft JhengHei" w:eastAsia="Microsoft JhengHei" w:hint="default"/>
          <w:b/>
          <w:bCs/>
          <w:w w:val="99"/>
          <w:sz w:val="28"/>
          <w:szCs w:val="28"/>
        </w:rPr>
        <w:t>（含税</w:t>
      </w:r>
      <w:r>
        <w:rPr>
          <w:rFonts w:ascii="Microsoft JhengHei" w:hAnsi="Microsoft JhengHei" w:cs="Microsoft JhengHei" w:eastAsia="Microsoft JhengHei" w:hint="default"/>
          <w:b/>
          <w:bCs/>
          <w:spacing w:val="-140"/>
          <w:w w:val="99"/>
          <w:sz w:val="28"/>
          <w:szCs w:val="28"/>
        </w:rPr>
        <w:t>）</w:t>
      </w:r>
      <w:r>
        <w:rPr>
          <w:rFonts w:ascii="Microsoft JhengHei" w:hAnsi="Microsoft JhengHei" w:cs="Microsoft JhengHei" w:eastAsia="Microsoft JhengHei" w:hint="default"/>
          <w:b/>
          <w:bCs/>
          <w:spacing w:val="-30"/>
          <w:w w:val="99"/>
          <w:sz w:val="28"/>
          <w:szCs w:val="28"/>
        </w:rPr>
        <w:t>，</w:t>
      </w:r>
      <w:r>
        <w:rPr>
          <w:rFonts w:ascii="Microsoft JhengHei" w:hAnsi="Microsoft JhengHei" w:cs="Microsoft JhengHei" w:eastAsia="Microsoft JhengHei" w:hint="default"/>
          <w:b/>
          <w:bCs/>
          <w:w w:val="99"/>
          <w:sz w:val="28"/>
          <w:szCs w:val="28"/>
        </w:rPr>
        <w:t>以</w:t>
      </w:r>
      <w:r>
        <w:rPr>
          <w:rFonts w:ascii="Microsoft JhengHei" w:hAnsi="Microsoft JhengHei" w:cs="Microsoft JhengHei" w:eastAsia="Microsoft JhengHei" w:hint="default"/>
          <w:b/>
          <w:bCs/>
          <w:spacing w:val="2"/>
          <w:w w:val="99"/>
          <w:sz w:val="28"/>
          <w:szCs w:val="28"/>
        </w:rPr>
        <w:t>资</w:t>
      </w:r>
      <w:r>
        <w:rPr>
          <w:rFonts w:ascii="Microsoft JhengHei" w:hAnsi="Microsoft JhengHei" w:cs="Microsoft JhengHei" w:eastAsia="Microsoft JhengHei" w:hint="default"/>
          <w:b/>
          <w:bCs/>
          <w:w w:val="99"/>
          <w:sz w:val="28"/>
          <w:szCs w:val="28"/>
        </w:rPr>
        <w:t>本</w:t>
      </w:r>
      <w:r>
        <w:rPr>
          <w:rFonts w:ascii="Microsoft JhengHei" w:hAnsi="Microsoft JhengHei" w:cs="Microsoft JhengHei" w:eastAsia="Microsoft JhengHei" w:hint="default"/>
          <w:sz w:val="28"/>
          <w:szCs w:val="28"/>
        </w:rPr>
      </w:r>
    </w:p>
    <w:p>
      <w:pPr>
        <w:spacing w:before="138"/>
        <w:ind w:left="154" w:right="0" w:firstLine="0"/>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公积金向全体股东每 </w:t>
      </w:r>
      <w:r>
        <w:rPr>
          <w:rFonts w:ascii="Times New Roman" w:hAnsi="Times New Roman" w:cs="Times New Roman" w:eastAsia="Times New Roman" w:hint="default"/>
          <w:b/>
          <w:bCs/>
          <w:sz w:val="28"/>
          <w:szCs w:val="28"/>
        </w:rPr>
        <w:t>10 </w:t>
      </w:r>
      <w:r>
        <w:rPr>
          <w:rFonts w:ascii="Microsoft JhengHei" w:hAnsi="Microsoft JhengHei" w:cs="Microsoft JhengHei" w:eastAsia="Microsoft JhengHei" w:hint="default"/>
          <w:b/>
          <w:bCs/>
          <w:sz w:val="28"/>
          <w:szCs w:val="28"/>
        </w:rPr>
        <w:t>股转增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5"/>
          <w:sz w:val="28"/>
          <w:szCs w:val="28"/>
        </w:rPr>
        <w:t> </w:t>
      </w:r>
      <w:r>
        <w:rPr>
          <w:rFonts w:ascii="Microsoft JhengHei" w:hAnsi="Microsoft JhengHei" w:cs="Microsoft JhengHei" w:eastAsia="Microsoft JhengHei" w:hint="default"/>
          <w:b/>
          <w:bCs/>
          <w:sz w:val="28"/>
          <w:szCs w:val="28"/>
        </w:rPr>
        <w:t>股。</w:t>
      </w:r>
      <w:r>
        <w:rPr>
          <w:rFonts w:ascii="Microsoft JhengHei" w:hAnsi="Microsoft JhengHei" w:cs="Microsoft JhengHei" w:eastAsia="Microsoft JhengHei" w:hint="default"/>
          <w:sz w:val="28"/>
          <w:szCs w:val="28"/>
        </w:rPr>
      </w:r>
    </w:p>
    <w:p>
      <w:pPr>
        <w:spacing w:after="0"/>
        <w:jc w:val="both"/>
        <w:rPr>
          <w:rFonts w:ascii="Microsoft JhengHei" w:hAnsi="Microsoft JhengHei" w:cs="Microsoft JhengHei" w:eastAsia="Microsoft JhengHei" w:hint="default"/>
          <w:sz w:val="28"/>
          <w:szCs w:val="28"/>
        </w:rPr>
        <w:sectPr>
          <w:pgSz w:w="11910" w:h="16840"/>
          <w:pgMar w:header="747" w:footer="979" w:top="1060" w:bottom="1160" w:left="980" w:right="88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7"/>
        <w:rPr>
          <w:rFonts w:ascii="Microsoft JhengHei" w:hAnsi="Microsoft JhengHei" w:cs="Microsoft JhengHei" w:eastAsia="Microsoft JhengHei" w:hint="default"/>
          <w:b/>
          <w:bCs/>
          <w:sz w:val="17"/>
          <w:szCs w:val="17"/>
        </w:rPr>
      </w:pPr>
    </w:p>
    <w:p>
      <w:pPr>
        <w:spacing w:line="501" w:lineRule="exact" w:before="0"/>
        <w:ind w:left="615" w:right="614"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目录</w:t>
      </w:r>
      <w:r>
        <w:rPr>
          <w:rFonts w:ascii="Microsoft JhengHei" w:hAnsi="Microsoft JhengHei" w:cs="Microsoft JhengHei" w:eastAsia="Microsoft JhengHei" w:hint="default"/>
          <w:sz w:val="36"/>
          <w:szCs w:val="36"/>
        </w:rPr>
      </w:r>
    </w:p>
    <w:p>
      <w:pPr>
        <w:spacing w:line="240" w:lineRule="auto" w:before="0"/>
        <w:rPr>
          <w:rFonts w:ascii="Microsoft JhengHei" w:hAnsi="Microsoft JhengHei" w:cs="Microsoft JhengHei" w:eastAsia="Microsoft JhengHei" w:hint="default"/>
          <w:b/>
          <w:bCs/>
          <w:sz w:val="36"/>
          <w:szCs w:val="36"/>
        </w:rPr>
      </w:pPr>
    </w:p>
    <w:p>
      <w:pPr>
        <w:spacing w:line="240" w:lineRule="auto" w:before="1"/>
        <w:rPr>
          <w:rFonts w:ascii="Microsoft JhengHei" w:hAnsi="Microsoft JhengHei" w:cs="Microsoft JhengHei" w:eastAsia="Microsoft JhengHei" w:hint="default"/>
          <w:b/>
          <w:bCs/>
          <w:sz w:val="43"/>
          <w:szCs w:val="43"/>
        </w:rPr>
      </w:pPr>
    </w:p>
    <w:sdt>
      <w:sdtPr>
        <w:docPartObj>
          <w:docPartGallery w:val="Table of Contents"/>
          <w:docPartUnique/>
        </w:docPartObj>
      </w:sdtPr>
      <w:sdtEndPr/>
      <w:sdtContent>
        <w:p>
          <w:pPr>
            <w:pStyle w:val="TOC1"/>
            <w:tabs>
              <w:tab w:pos="9782"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0">
            <w:r>
              <w:rPr/>
              <w:t>第一节</w:t>
            </w:r>
            <w:r>
              <w:rPr>
                <w:spacing w:val="43"/>
              </w:rPr>
              <w:t> </w:t>
            </w:r>
            <w:r>
              <w:rPr/>
              <w:t>重要提示、目录和释义</w:t>
            </w:r>
            <w:r>
              <w:rPr>
                <w:rFonts w:ascii="Times New Roman" w:hAnsi="Times New Roman" w:cs="Times New Roman" w:eastAsia="Times New Roman" w:hint="default"/>
              </w:rPr>
              <w:tab/>
              <w:t>10</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第二节</w:t>
            </w:r>
            <w:r>
              <w:rPr>
                <w:spacing w:val="43"/>
              </w:rPr>
              <w:t> </w:t>
            </w:r>
            <w:r>
              <w:rPr/>
              <w:t>公司简介和主要财务指标</w:t>
            </w:r>
            <w:r>
              <w:rPr>
                <w:rFonts w:ascii="Times New Roman" w:hAnsi="Times New Roman" w:cs="Times New Roman" w:eastAsia="Times New Roman" w:hint="default"/>
              </w:rPr>
              <w:tab/>
              <w:t>14</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第三节</w:t>
            </w:r>
            <w:r>
              <w:rPr>
                <w:spacing w:val="43"/>
              </w:rPr>
              <w:t> </w:t>
            </w:r>
            <w:r>
              <w:rPr/>
              <w:t>公司业务概要</w:t>
            </w:r>
            <w:r>
              <w:rPr>
                <w:rFonts w:ascii="Times New Roman" w:hAnsi="Times New Roman" w:cs="Times New Roman" w:eastAsia="Times New Roman" w:hint="default"/>
              </w:rPr>
              <w:tab/>
              <w:t>33</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第四节</w:t>
            </w:r>
            <w:r>
              <w:rPr>
                <w:spacing w:val="43"/>
              </w:rPr>
              <w:t> </w:t>
            </w:r>
            <w:r>
              <w:rPr/>
              <w:t>管理层讨论与分析</w:t>
            </w:r>
            <w:r>
              <w:rPr>
                <w:rFonts w:ascii="Times New Roman" w:hAnsi="Times New Roman" w:cs="Times New Roman" w:eastAsia="Times New Roman" w:hint="default"/>
              </w:rPr>
              <w:tab/>
              <w:t>54</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第五节</w:t>
            </w:r>
            <w:r>
              <w:rPr>
                <w:spacing w:val="43"/>
              </w:rPr>
              <w:t> </w:t>
            </w:r>
            <w:r>
              <w:rPr/>
              <w:t>重要事项</w:t>
            </w:r>
            <w:r>
              <w:rPr>
                <w:rFonts w:ascii="Times New Roman" w:hAnsi="Times New Roman" w:cs="Times New Roman" w:eastAsia="Times New Roman" w:hint="default"/>
              </w:rPr>
              <w:tab/>
              <w:t>70</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第六节</w:t>
            </w:r>
            <w:r>
              <w:rPr>
                <w:spacing w:val="43"/>
              </w:rPr>
              <w:t> </w:t>
            </w:r>
            <w:r>
              <w:rPr/>
              <w:t>股份变动及股东情况</w:t>
            </w:r>
            <w:r>
              <w:rPr>
                <w:rFonts w:ascii="Times New Roman" w:hAnsi="Times New Roman" w:cs="Times New Roman" w:eastAsia="Times New Roman" w:hint="default"/>
              </w:rPr>
              <w:tab/>
              <w:t>77</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第七节</w:t>
            </w:r>
            <w:r>
              <w:rPr>
                <w:spacing w:val="43"/>
              </w:rPr>
              <w:t> </w:t>
            </w:r>
            <w:r>
              <w:rPr/>
              <w:t>优先股相关情况</w:t>
            </w:r>
            <w:r>
              <w:rPr>
                <w:rFonts w:ascii="Times New Roman" w:hAnsi="Times New Roman" w:cs="Times New Roman" w:eastAsia="Times New Roman" w:hint="default"/>
              </w:rPr>
              <w:tab/>
              <w:t>77</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第八节</w:t>
            </w:r>
            <w:r>
              <w:rPr>
                <w:spacing w:val="43"/>
              </w:rPr>
              <w:t> </w:t>
            </w:r>
            <w:r>
              <w:rPr/>
              <w:t>董事、监事、高级管理人员和员工情况</w:t>
            </w:r>
            <w:r>
              <w:rPr>
                <w:rFonts w:ascii="Times New Roman" w:hAnsi="Times New Roman" w:cs="Times New Roman" w:eastAsia="Times New Roman" w:hint="default"/>
              </w:rPr>
              <w:tab/>
              <w:t>78</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第九节</w:t>
            </w:r>
            <w:r>
              <w:rPr>
                <w:spacing w:val="43"/>
              </w:rPr>
              <w:t> </w:t>
            </w:r>
            <w:r>
              <w:rPr/>
              <w:t>公司治理</w:t>
            </w:r>
            <w:r>
              <w:rPr>
                <w:rFonts w:ascii="Times New Roman" w:hAnsi="Times New Roman" w:cs="Times New Roman" w:eastAsia="Times New Roman" w:hint="default"/>
              </w:rPr>
              <w:tab/>
              <w:t>87</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第十节</w:t>
            </w:r>
            <w:r>
              <w:rPr>
                <w:spacing w:val="43"/>
              </w:rPr>
              <w:t> </w:t>
            </w:r>
            <w:r>
              <w:rPr/>
              <w:t>财务报告</w:t>
            </w:r>
            <w:r>
              <w:rPr>
                <w:rFonts w:ascii="Times New Roman" w:hAnsi="Times New Roman" w:cs="Times New Roman" w:eastAsia="Times New Roman" w:hint="default"/>
              </w:rPr>
              <w:tab/>
              <w:t>93</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第十一节</w:t>
            </w:r>
            <w:r>
              <w:rPr>
                <w:spacing w:val="42"/>
              </w:rPr>
              <w:t> </w:t>
            </w:r>
            <w:r>
              <w:rPr/>
              <w:t>备查文件目录</w:t>
            </w:r>
            <w:r>
              <w:rPr>
                <w:rFonts w:ascii="Times New Roman" w:hAnsi="Times New Roman" w:cs="Times New Roman" w:eastAsia="Times New Roman" w:hint="default"/>
              </w:rPr>
              <w:tab/>
              <w:t>205</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47" w:footer="979" w:top="1060" w:bottom="1160" w:left="980" w:right="980"/>
        </w:sectPr>
      </w:pPr>
    </w:p>
    <w:p>
      <w:pPr>
        <w:spacing w:before="844"/>
        <w:ind w:left="615" w:right="614"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释义</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3525"/>
        <w:gridCol w:w="621"/>
        <w:gridCol w:w="5424"/>
      </w:tblGrid>
      <w:tr>
        <w:trPr>
          <w:trHeight w:val="397" w:hRule="exact"/>
        </w:trPr>
        <w:tc>
          <w:tcPr>
            <w:tcW w:w="3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719"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本公司、公司、股份公司、昆仑万维</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6"/>
              <w:ind w:left="22" w:right="21"/>
              <w:jc w:val="left"/>
              <w:rPr>
                <w:rFonts w:ascii="宋体" w:hAnsi="宋体" w:cs="宋体" w:eastAsia="宋体" w:hint="default"/>
                <w:sz w:val="18"/>
                <w:szCs w:val="18"/>
              </w:rPr>
            </w:pPr>
            <w:r>
              <w:rPr>
                <w:rFonts w:ascii="宋体" w:hAnsi="宋体" w:cs="宋体" w:eastAsia="宋体" w:hint="default"/>
                <w:spacing w:val="-2"/>
                <w:sz w:val="18"/>
                <w:szCs w:val="18"/>
              </w:rPr>
              <w:t>北京昆仑万维科技股份有限公司，或依文中所意，有时亦指本公司及</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附属公司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昆仑有限</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北京昆仑万维科技有限公司，即发行人前身</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昆仑在线</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北京昆仑在线网络科技有限公司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广州昆仑</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广州昆仑在线信息科技有限公司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昆仑乐享</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北京昆仑乐享网络技术有限公司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昆仑日本</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昆仑日本株式会社</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昆仑韩国</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昆仑韩国株式会社</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昆仑集团、昆仑香港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Kunlun Group</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，曾用名昆仑在线（香港）股份有限公司</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昆仑马来</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2"/>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KUNLUN GLOBAL INTERNATIONAL SDN.BHD. </w:t>
            </w:r>
            <w:r>
              <w:rPr>
                <w:rFonts w:ascii="宋体" w:hAnsi="宋体" w:cs="宋体" w:eastAsia="宋体" w:hint="default"/>
                <w:spacing w:val="-10"/>
                <w:sz w:val="18"/>
                <w:szCs w:val="18"/>
              </w:rPr>
              <w:t>，曾用名</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KORAM</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GAME</w:t>
            </w:r>
            <w:r>
              <w:rPr>
                <w:rFonts w:ascii="宋体" w:hAnsi="宋体" w:cs="宋体" w:eastAsia="宋体" w:hint="default"/>
                <w:sz w:val="18"/>
                <w:szCs w:val="18"/>
              </w:rPr>
              <w:t>（</w:t>
            </w:r>
            <w:r>
              <w:rPr>
                <w:rFonts w:ascii="Times New Roman" w:hAnsi="Times New Roman" w:cs="Times New Roman" w:eastAsia="Times New Roman" w:hint="default"/>
                <w:sz w:val="18"/>
                <w:szCs w:val="18"/>
              </w:rPr>
              <w:t>M</w:t>
            </w:r>
            <w:r>
              <w:rPr>
                <w:rFonts w:ascii="宋体" w:hAnsi="宋体" w:cs="宋体" w:eastAsia="宋体" w:hint="default"/>
                <w:sz w:val="18"/>
                <w:szCs w:val="18"/>
              </w:rPr>
              <w:t>）</w:t>
            </w:r>
            <w:r>
              <w:rPr>
                <w:rFonts w:ascii="Times New Roman" w:hAnsi="Times New Roman" w:cs="Times New Roman" w:eastAsia="Times New Roman" w:hint="default"/>
                <w:sz w:val="18"/>
                <w:szCs w:val="18"/>
              </w:rPr>
              <w:t>SDN.BHD.</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昆仑美国</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Kunlun US</w:t>
            </w:r>
            <w:r>
              <w:rPr>
                <w:rFonts w:ascii="Times New Roman"/>
                <w:spacing w:val="-2"/>
                <w:sz w:val="18"/>
              </w:rPr>
              <w:t> </w:t>
            </w:r>
            <w:r>
              <w:rPr>
                <w:rFonts w:ascii="Times New Roman"/>
                <w:sz w:val="18"/>
              </w:rPr>
              <w:t>Inc</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昆仑欧洲</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Kunlun Europe</w:t>
            </w:r>
            <w:r>
              <w:rPr>
                <w:rFonts w:ascii="Times New Roman"/>
                <w:spacing w:val="-3"/>
                <w:sz w:val="18"/>
              </w:rPr>
              <w:t> </w:t>
            </w:r>
            <w:r>
              <w:rPr>
                <w:rFonts w:ascii="Times New Roman"/>
                <w:sz w:val="18"/>
              </w:rPr>
              <w:t>Limited</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游景蓝图</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游景蓝图（香港）科技股份有限公司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网潮香港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网潮（香港）科技股份有限公司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香港万维</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香港昆仑万维股份有限公司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昆仑台湾</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台湾昆仑万维有限公司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盈瑞世纪</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北京盈瑞世纪软件研发中心（有限合伙）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昆仑博观</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北京昆仑博观科技中心（有限合伙）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昆仑博远</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北京昆仑博远科技中心（有限合伙）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东方富海（芜湖）</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东方富海（芜湖）股权投资基金（有限合伙）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东方富海（芜湖）二号</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东方富海（芜湖）二号股权投资基金（有限合伙）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澜讯科信</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北京澜讯科信投资顾问有限公司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小村申祥</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上海小村申祥创业投资合伙企业（有限合伙）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星泰投资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杭州星泰投资管理有限公司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华为控股</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华为投资控股有限公司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鼎麟科创</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天津鼎麟科创股权投资基金合伙企业（有限合伙）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银德创投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北京银德创业投资中心（有限合伙）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北京无限游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北京无限游信息技术有限公司</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Microsoft JhengHei" w:hAnsi="Microsoft JhengHei" w:cs="Microsoft JhengHei" w:eastAsia="Microsoft JhengHei" w:hint="default"/>
          <w:b/>
          <w:bCs/>
          <w:sz w:val="20"/>
          <w:szCs w:val="20"/>
        </w:rPr>
      </w:pPr>
      <w:r>
        <w:rPr/>
        <w:pict>
          <v:shape style="position:absolute;margin-left:56.459999pt;margin-top:71.999985pt;width:479.25pt;height:694.75pt;mso-position-horizontal-relative:page;mso-position-vertical-relative:page;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25"/>
                    <w:gridCol w:w="621"/>
                    <w:gridCol w:w="5424"/>
                  </w:tblGrid>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上海昆恒</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上海昆恒网络科技有限公司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pacing w:val="-4"/>
                            <w:sz w:val="18"/>
                          </w:rPr>
                          <w:t>TalkTalk</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pacing w:val="-4"/>
                            <w:sz w:val="18"/>
                          </w:rPr>
                          <w:t>TalkTalk</w:t>
                        </w:r>
                        <w:r>
                          <w:rPr>
                            <w:rFonts w:ascii="Times New Roman"/>
                            <w:spacing w:val="2"/>
                            <w:sz w:val="18"/>
                          </w:rPr>
                          <w:t> </w:t>
                        </w:r>
                        <w:r>
                          <w:rPr>
                            <w:rFonts w:ascii="Times New Roman"/>
                            <w:sz w:val="18"/>
                          </w:rPr>
                          <w:t>Limited</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畅游瑞科</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北京畅游瑞科互联网技术有限公司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龙渊天启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北京龙渊天启投资管理中心（有限合伙）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广州优蜜</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广州优蜜信息科技有限公司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畅游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一家在美国上市的网络游戏公司（</w:t>
                        </w:r>
                        <w:r>
                          <w:rPr>
                            <w:rFonts w:ascii="Times New Roman" w:hAnsi="Times New Roman" w:cs="Times New Roman" w:eastAsia="Times New Roman" w:hint="default"/>
                            <w:sz w:val="18"/>
                            <w:szCs w:val="18"/>
                          </w:rPr>
                          <w:t>NASDAQ</w:t>
                        </w:r>
                        <w:r>
                          <w:rPr>
                            <w:rFonts w:ascii="宋体" w:hAnsi="宋体" w:cs="宋体" w:eastAsia="宋体" w:hint="default"/>
                            <w:sz w:val="18"/>
                            <w:szCs w:val="18"/>
                          </w:rPr>
                          <w:t>：</w:t>
                        </w:r>
                        <w:r>
                          <w:rPr>
                            <w:rFonts w:ascii="Times New Roman" w:hAnsi="Times New Roman" w:cs="Times New Roman" w:eastAsia="Times New Roman" w:hint="default"/>
                            <w:sz w:val="18"/>
                            <w:szCs w:val="18"/>
                          </w:rPr>
                          <w:t>CYOU</w:t>
                        </w:r>
                        <w:r>
                          <w:rPr>
                            <w:rFonts w:ascii="宋体" w:hAnsi="宋体" w:cs="宋体" w:eastAsia="宋体" w:hint="default"/>
                            <w:sz w:val="18"/>
                            <w:szCs w:val="18"/>
                          </w:rPr>
                          <w:t>）</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HEROIC</w:t>
                        </w:r>
                        <w:r>
                          <w:rPr>
                            <w:rFonts w:ascii="Times New Roman"/>
                            <w:spacing w:val="-6"/>
                            <w:sz w:val="18"/>
                          </w:rPr>
                          <w:t> </w:t>
                        </w:r>
                        <w:r>
                          <w:rPr>
                            <w:rFonts w:ascii="Times New Roman"/>
                            <w:sz w:val="18"/>
                          </w:rPr>
                          <w:t>VISION</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11"/>
                          <w:jc w:val="left"/>
                          <w:rPr>
                            <w:rFonts w:ascii="宋体" w:hAnsi="宋体" w:cs="宋体" w:eastAsia="宋体" w:hint="default"/>
                            <w:sz w:val="18"/>
                            <w:szCs w:val="18"/>
                          </w:rPr>
                        </w:pPr>
                        <w:r>
                          <w:rPr>
                            <w:rFonts w:ascii="Times New Roman" w:hAnsi="Times New Roman" w:cs="Times New Roman" w:eastAsia="Times New Roman" w:hint="default"/>
                            <w:sz w:val="18"/>
                            <w:szCs w:val="18"/>
                          </w:rPr>
                          <w:t>HEROIC VISION HOLDINGS</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pacing w:val="-7"/>
                            <w:sz w:val="18"/>
                            <w:szCs w:val="18"/>
                          </w:rPr>
                          <w:t>LIMITED</w:t>
                        </w:r>
                        <w:r>
                          <w:rPr>
                            <w:rFonts w:ascii="宋体" w:hAnsi="宋体" w:cs="宋体" w:eastAsia="宋体" w:hint="default"/>
                            <w:spacing w:val="-7"/>
                            <w:sz w:val="18"/>
                            <w:szCs w:val="18"/>
                          </w:rPr>
                          <w:t>，系畅游下属公司畅游（香港</w:t>
                        </w:r>
                        <w:r>
                          <w:rPr>
                            <w:rFonts w:ascii="宋体" w:hAnsi="宋体" w:cs="宋体" w:eastAsia="宋体" w:hint="default"/>
                            <w:sz w:val="18"/>
                            <w:szCs w:val="18"/>
                          </w:rPr>
                          <w:t> 有限公司在英属维尔京群岛设立的全资子公司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PayPal</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PayPal Pte.</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Ltd.</w:t>
                        </w:r>
                        <w:r>
                          <w:rPr>
                            <w:rFonts w:ascii="宋体" w:hAnsi="宋体" w:cs="宋体" w:eastAsia="宋体" w:hint="default"/>
                            <w:sz w:val="18"/>
                            <w:szCs w:val="18"/>
                          </w:rPr>
                          <w:t>，一家在线支付服务提供商</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Google</w:t>
                        </w:r>
                        <w:r>
                          <w:rPr>
                            <w:rFonts w:ascii="Times New Roman"/>
                            <w:spacing w:val="-11"/>
                            <w:sz w:val="18"/>
                          </w:rPr>
                          <w:t> </w:t>
                        </w:r>
                        <w:r>
                          <w:rPr>
                            <w:rFonts w:ascii="Times New Roman"/>
                            <w:sz w:val="18"/>
                          </w:rPr>
                          <w:t>AdSense</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谷歌 </w:t>
                        </w:r>
                        <w:r>
                          <w:rPr>
                            <w:rFonts w:ascii="Times New Roman" w:hAnsi="Times New Roman" w:cs="Times New Roman" w:eastAsia="Times New Roman" w:hint="default"/>
                            <w:sz w:val="18"/>
                            <w:szCs w:val="18"/>
                          </w:rPr>
                          <w:t>AdSense </w:t>
                        </w:r>
                        <w:r>
                          <w:rPr>
                            <w:rFonts w:ascii="宋体" w:hAnsi="宋体" w:cs="宋体" w:eastAsia="宋体" w:hint="default"/>
                            <w:sz w:val="18"/>
                            <w:szCs w:val="18"/>
                          </w:rPr>
                          <w:t>广告联盟。具有一定访问量的网站发布商加入</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Google AdSense </w:t>
                        </w:r>
                        <w:r>
                          <w:rPr>
                            <w:rFonts w:ascii="宋体" w:hAnsi="宋体" w:cs="宋体" w:eastAsia="宋体" w:hint="default"/>
                            <w:sz w:val="18"/>
                            <w:szCs w:val="18"/>
                          </w:rPr>
                          <w:t>后，即成为 </w:t>
                        </w:r>
                        <w:r>
                          <w:rPr>
                            <w:rFonts w:ascii="Times New Roman" w:hAnsi="Times New Roman" w:cs="Times New Roman" w:eastAsia="Times New Roman" w:hint="default"/>
                            <w:sz w:val="18"/>
                            <w:szCs w:val="18"/>
                          </w:rPr>
                          <w:t>Google Adsense</w:t>
                        </w:r>
                        <w:r>
                          <w:rPr>
                            <w:rFonts w:ascii="Times New Roman" w:hAnsi="Times New Roman" w:cs="Times New Roman" w:eastAsia="Times New Roman" w:hint="default"/>
                            <w:spacing w:val="32"/>
                            <w:sz w:val="18"/>
                            <w:szCs w:val="18"/>
                          </w:rPr>
                          <w:t> </w:t>
                        </w:r>
                        <w:r>
                          <w:rPr>
                            <w:rFonts w:ascii="宋体" w:hAnsi="宋体" w:cs="宋体" w:eastAsia="宋体" w:hint="default"/>
                            <w:sz w:val="18"/>
                            <w:szCs w:val="18"/>
                          </w:rPr>
                          <w:t>的会员网站，随后可以在自己</w:t>
                        </w:r>
                        <w:r>
                          <w:rPr>
                            <w:rFonts w:ascii="宋体" w:hAnsi="宋体" w:cs="宋体" w:eastAsia="宋体" w:hint="default"/>
                            <w:w w:val="99"/>
                            <w:sz w:val="18"/>
                            <w:szCs w:val="18"/>
                          </w:rPr>
                          <w:t> </w:t>
                        </w:r>
                        <w:r>
                          <w:rPr>
                            <w:rFonts w:ascii="宋体" w:hAnsi="宋体" w:cs="宋体" w:eastAsia="宋体" w:hint="default"/>
                            <w:sz w:val="18"/>
                            <w:szCs w:val="18"/>
                          </w:rPr>
                          <w:t>网站上显示 </w:t>
                        </w:r>
                        <w:r>
                          <w:rPr>
                            <w:rFonts w:ascii="Times New Roman" w:hAnsi="Times New Roman" w:cs="Times New Roman" w:eastAsia="Times New Roman" w:hint="default"/>
                            <w:sz w:val="18"/>
                            <w:szCs w:val="18"/>
                          </w:rPr>
                          <w:t>Google </w:t>
                        </w:r>
                        <w:r>
                          <w:rPr>
                            <w:rFonts w:ascii="宋体" w:hAnsi="宋体" w:cs="宋体" w:eastAsia="宋体" w:hint="default"/>
                            <w:sz w:val="18"/>
                            <w:szCs w:val="18"/>
                          </w:rPr>
                          <w:t>关键词广告，</w:t>
                        </w:r>
                        <w:r>
                          <w:rPr>
                            <w:rFonts w:ascii="Times New Roman" w:hAnsi="Times New Roman" w:cs="Times New Roman" w:eastAsia="Times New Roman" w:hint="default"/>
                            <w:sz w:val="18"/>
                            <w:szCs w:val="18"/>
                          </w:rPr>
                          <w:t>Google</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根据会员网站显示的广告</w:t>
                        </w:r>
                        <w:r>
                          <w:rPr>
                            <w:rFonts w:ascii="宋体" w:hAnsi="宋体" w:cs="宋体" w:eastAsia="宋体" w:hint="default"/>
                            <w:w w:val="99"/>
                            <w:sz w:val="18"/>
                            <w:szCs w:val="18"/>
                          </w:rPr>
                          <w:t> </w:t>
                        </w:r>
                        <w:r>
                          <w:rPr>
                            <w:rFonts w:ascii="宋体" w:hAnsi="宋体" w:cs="宋体" w:eastAsia="宋体" w:hint="default"/>
                            <w:sz w:val="18"/>
                            <w:szCs w:val="18"/>
                          </w:rPr>
                          <w:t>被点击的次数支付佣金</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CNNIC</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80"/>
                          <w:jc w:val="left"/>
                          <w:rPr>
                            <w:rFonts w:ascii="宋体" w:hAnsi="宋体" w:cs="宋体" w:eastAsia="宋体" w:hint="default"/>
                            <w:sz w:val="18"/>
                            <w:szCs w:val="18"/>
                          </w:rPr>
                        </w:pPr>
                        <w:r>
                          <w:rPr>
                            <w:rFonts w:ascii="宋体" w:hAnsi="宋体" w:cs="宋体" w:eastAsia="宋体" w:hint="default"/>
                            <w:sz w:val="18"/>
                            <w:szCs w:val="18"/>
                          </w:rPr>
                          <w:t>中国互联网信息中心，是经国家主管部门批准，于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1997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 组建的管理和服务机构，行使国家互联网信息中心的职责</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艾瑞咨询</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both"/>
                          <w:rPr>
                            <w:rFonts w:ascii="宋体" w:hAnsi="宋体" w:cs="宋体" w:eastAsia="宋体" w:hint="default"/>
                            <w:sz w:val="18"/>
                            <w:szCs w:val="18"/>
                          </w:rPr>
                        </w:pPr>
                        <w:r>
                          <w:rPr>
                            <w:rFonts w:ascii="宋体" w:hAnsi="宋体" w:cs="宋体" w:eastAsia="宋体" w:hint="default"/>
                            <w:spacing w:val="-2"/>
                            <w:sz w:val="18"/>
                            <w:szCs w:val="18"/>
                          </w:rPr>
                          <w:t>艾瑞市场咨询有限公司，一家独立的第三方研究机构，艾瑞咨询通过</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行业专家、企业、渠道的深度访谈以及各种公开资料对互联网及其子</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行业进行研究，定期或不定期发布互联网相关的研究报告</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易观智库</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both"/>
                          <w:rPr>
                            <w:rFonts w:ascii="宋体" w:hAnsi="宋体" w:cs="宋体" w:eastAsia="宋体" w:hint="default"/>
                            <w:sz w:val="18"/>
                            <w:szCs w:val="18"/>
                          </w:rPr>
                        </w:pPr>
                        <w:r>
                          <w:rPr>
                            <w:rFonts w:ascii="宋体" w:hAnsi="宋体" w:cs="宋体" w:eastAsia="宋体" w:hint="default"/>
                            <w:spacing w:val="-2"/>
                            <w:sz w:val="18"/>
                            <w:szCs w:val="18"/>
                          </w:rPr>
                          <w:t>易观智库商业信息服务平台，一家独立的第三方研究机构，易观智库</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基于历史数据、上市公司公开披露信息、专家访谈等对互联网及信息</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技术等行业进行研究，定期或不定期发布互联网相关的研究报告</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8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日修订，</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日起施行的《中华人民共和 国公司法》</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8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日修订，</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日起施行的《中华人民共和 国证券法》</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《上市公司章程指引》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《上市公司章程指引（</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年修订</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北京昆仑万维科技股份有限公司现行章程</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《公司章程（草案</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发行人上市后适用</w:t>
                        </w:r>
                        <w:r>
                          <w:rPr>
                            <w:rFonts w:ascii="宋体" w:hAnsi="宋体" w:cs="宋体" w:eastAsia="宋体" w:hint="default"/>
                            <w:spacing w:val="-16"/>
                            <w:sz w:val="18"/>
                            <w:szCs w:val="18"/>
                          </w:rPr>
                          <w:t>的</w:t>
                        </w:r>
                        <w:r>
                          <w:rPr>
                            <w:rFonts w:ascii="宋体" w:hAnsi="宋体" w:cs="宋体" w:eastAsia="宋体" w:hint="default"/>
                            <w:sz w:val="18"/>
                            <w:szCs w:val="18"/>
                          </w:rPr>
                          <w:t>《北京昆仑万维科技股份有限公司章</w:t>
                        </w:r>
                        <w:r>
                          <w:rPr>
                            <w:rFonts w:ascii="宋体" w:hAnsi="宋体" w:cs="宋体" w:eastAsia="宋体" w:hint="default"/>
                            <w:spacing w:val="-16"/>
                            <w:sz w:val="18"/>
                            <w:szCs w:val="18"/>
                          </w:rPr>
                          <w:t>程</w:t>
                        </w:r>
                        <w:r>
                          <w:rPr>
                            <w:rFonts w:ascii="宋体" w:hAnsi="宋体" w:cs="宋体" w:eastAsia="宋体" w:hint="default"/>
                            <w:sz w:val="18"/>
                            <w:szCs w:val="18"/>
                          </w:rPr>
                          <w:t>（草案</w:t>
                        </w:r>
                        <w:r>
                          <w:rPr>
                            <w:rFonts w:ascii="宋体" w:hAnsi="宋体" w:cs="宋体" w:eastAsia="宋体" w:hint="default"/>
                            <w:spacing w:val="-90"/>
                            <w:sz w:val="18"/>
                            <w:szCs w:val="18"/>
                          </w:rPr>
                          <w:t>）</w:t>
                        </w:r>
                        <w:r>
                          <w:rPr>
                            <w:rFonts w:ascii="宋体" w:hAnsi="宋体" w:cs="宋体" w:eastAsia="宋体" w:hint="default"/>
                            <w:sz w:val="18"/>
                            <w:szCs w:val="18"/>
                          </w:rPr>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人民币元、万元</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信达天下</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北京信达天下科技有限公司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趣分期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Qufenqi</w:t>
                        </w:r>
                        <w:r>
                          <w:rPr>
                            <w:rFonts w:ascii="Times New Roman"/>
                            <w:spacing w:val="-2"/>
                            <w:sz w:val="18"/>
                          </w:rPr>
                          <w:t> </w:t>
                        </w:r>
                        <w:r>
                          <w:rPr>
                            <w:rFonts w:ascii="Times New Roman"/>
                            <w:sz w:val="18"/>
                          </w:rPr>
                          <w:t>Inc.</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LendInvest</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LendInvest</w:t>
                        </w:r>
                        <w:r>
                          <w:rPr>
                            <w:rFonts w:ascii="Times New Roman"/>
                            <w:spacing w:val="-3"/>
                            <w:sz w:val="18"/>
                          </w:rPr>
                          <w:t> </w:t>
                        </w:r>
                        <w:r>
                          <w:rPr>
                            <w:rFonts w:ascii="Times New Roman"/>
                            <w:sz w:val="18"/>
                          </w:rPr>
                          <w:t>Limited</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银客</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Yinker</w:t>
                        </w:r>
                        <w:r>
                          <w:rPr>
                            <w:rFonts w:ascii="Times New Roman"/>
                            <w:spacing w:val="-13"/>
                            <w:sz w:val="18"/>
                          </w:rPr>
                          <w:t> </w:t>
                        </w:r>
                        <w:r>
                          <w:rPr>
                            <w:rFonts w:ascii="Times New Roman"/>
                            <w:sz w:val="18"/>
                          </w:rPr>
                          <w:t>Inc.</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米投科技、洋钱罐</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米投科技（香港）有限公司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一米鲜</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pacing w:val="-3"/>
                            <w:sz w:val="18"/>
                          </w:rPr>
                          <w:t>Yimi</w:t>
                        </w:r>
                        <w:r>
                          <w:rPr>
                            <w:rFonts w:ascii="Times New Roman"/>
                            <w:spacing w:val="1"/>
                            <w:sz w:val="18"/>
                          </w:rPr>
                          <w:t> </w:t>
                        </w:r>
                        <w:r>
                          <w:rPr>
                            <w:rFonts w:ascii="Times New Roman"/>
                            <w:sz w:val="18"/>
                          </w:rPr>
                          <w:t>Inc.</w:t>
                        </w:r>
                      </w:p>
                    </w:tc>
                  </w:tr>
                </w:tbl>
                <w:p>
                  <w:pPr/>
                </w:p>
              </w:txbxContent>
            </v:textbox>
            <w10:wrap type="none"/>
          </v:shape>
        </w:pict>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3"/>
        <w:rPr>
          <w:rFonts w:ascii="Microsoft JhengHei" w:hAnsi="Microsoft JhengHei" w:cs="Microsoft JhengHei" w:eastAsia="Microsoft JhengHei" w:hint="default"/>
          <w:b/>
          <w:bCs/>
          <w:sz w:val="27"/>
          <w:szCs w:val="27"/>
        </w:rPr>
      </w:pPr>
    </w:p>
    <w:p>
      <w:pPr>
        <w:spacing w:before="44"/>
        <w:ind w:left="0" w:right="15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spacing w:before="44"/>
        <w:ind w:left="0" w:right="158"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525"/>
        <w:gridCol w:w="621"/>
        <w:gridCol w:w="5424"/>
      </w:tblGrid>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达达、</w:t>
            </w:r>
            <w:r>
              <w:rPr>
                <w:rFonts w:ascii="Times New Roman" w:hAnsi="Times New Roman" w:cs="Times New Roman" w:eastAsia="Times New Roman" w:hint="default"/>
                <w:sz w:val="18"/>
                <w:szCs w:val="18"/>
              </w:rPr>
              <w:t>DADA</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Dada Nexus</w:t>
            </w:r>
            <w:r>
              <w:rPr>
                <w:rFonts w:ascii="Times New Roman"/>
                <w:spacing w:val="-4"/>
                <w:sz w:val="18"/>
              </w:rPr>
              <w:t> </w:t>
            </w:r>
            <w:r>
              <w:rPr>
                <w:rFonts w:ascii="Times New Roman"/>
                <w:sz w:val="18"/>
              </w:rPr>
              <w:t>Limited</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随手科技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深圳市随手科技有限公司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映客、北京蜜莱坞</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北京蜜莱坞网络科技有限公司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Grindr</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New Grindr,</w:t>
            </w:r>
            <w:r>
              <w:rPr>
                <w:rFonts w:ascii="Times New Roman"/>
                <w:spacing w:val="-9"/>
                <w:sz w:val="18"/>
              </w:rPr>
              <w:t> </w:t>
            </w:r>
            <w:r>
              <w:rPr>
                <w:rFonts w:ascii="Times New Roman"/>
                <w:sz w:val="18"/>
              </w:rPr>
              <w:t>LLC</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Opera</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Opera Software</w:t>
            </w:r>
            <w:r>
              <w:rPr>
                <w:rFonts w:ascii="Times New Roman"/>
                <w:spacing w:val="-14"/>
                <w:sz w:val="18"/>
              </w:rPr>
              <w:t> </w:t>
            </w:r>
            <w:r>
              <w:rPr>
                <w:rFonts w:ascii="Times New Roman"/>
                <w:sz w:val="18"/>
              </w:rPr>
              <w:t>ASA</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Supercell</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Supercell</w:t>
            </w:r>
            <w:r>
              <w:rPr>
                <w:rFonts w:ascii="Times New Roman"/>
                <w:spacing w:val="-3"/>
                <w:sz w:val="18"/>
              </w:rPr>
              <w:t> </w:t>
            </w:r>
            <w:r>
              <w:rPr>
                <w:rFonts w:ascii="Times New Roman"/>
                <w:sz w:val="18"/>
              </w:rPr>
              <w:t>Oy</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Rovio</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Rovio Entertainment</w:t>
            </w:r>
            <w:r>
              <w:rPr>
                <w:rFonts w:ascii="Times New Roman"/>
                <w:spacing w:val="-5"/>
                <w:sz w:val="18"/>
              </w:rPr>
              <w:t> </w:t>
            </w:r>
            <w:r>
              <w:rPr>
                <w:rFonts w:ascii="Times New Roman"/>
                <w:sz w:val="18"/>
              </w:rPr>
              <w:t>Ltd.</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EA</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Electronic Arts</w:t>
            </w:r>
            <w:r>
              <w:rPr>
                <w:rFonts w:ascii="Times New Roman"/>
                <w:spacing w:val="-14"/>
                <w:sz w:val="18"/>
              </w:rPr>
              <w:t> </w:t>
            </w:r>
            <w:r>
              <w:rPr>
                <w:rFonts w:ascii="Times New Roman"/>
                <w:sz w:val="18"/>
              </w:rPr>
              <w:t>Inc</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网禅</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Webzen</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，一家位于韩国的网络游戏公司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天马时空</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北京天马时空网络技术有限公司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恺英网络</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上海恺英网络科技有限公司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杭州电魂</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杭州电魂网络科技股份有限公司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盛大游戏</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盛大游戏有限公司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蜗牛数字</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苏州蜗牛数字科技股份有限公司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凤仪传媒</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北京凤仪文化传媒有限公司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腾讯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腾讯控股有限公司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阿里巴巴</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阿里巴巴网络技术有限公司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Big Fish</w:t>
            </w:r>
            <w:r>
              <w:rPr>
                <w:rFonts w:ascii="Times New Roman"/>
                <w:spacing w:val="-3"/>
                <w:sz w:val="18"/>
              </w:rPr>
              <w:t> </w:t>
            </w:r>
            <w:r>
              <w:rPr>
                <w:rFonts w:ascii="Times New Roman"/>
                <w:sz w:val="18"/>
              </w:rPr>
              <w:t>Games</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Big Fish Games, Inc.</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一家位于美国的网络游戏公司</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p>
      <w:pPr>
        <w:pStyle w:val="Heading1"/>
        <w:spacing w:line="457" w:lineRule="exact"/>
        <w:ind w:left="2644" w:right="0"/>
        <w:jc w:val="left"/>
        <w:rPr>
          <w:b w:val="0"/>
          <w:bCs w:val="0"/>
        </w:rPr>
      </w:pPr>
      <w:bookmarkStart w:name="_TOC_250009" w:id="2"/>
      <w:r>
        <w:rPr/>
        <w:t>第二节 </w:t>
      </w:r>
      <w:r>
        <w:rPr>
          <w:spacing w:val="7"/>
        </w:rPr>
        <w:t> </w:t>
      </w:r>
      <w:r>
        <w:rPr/>
        <w:t>公司简介和主要财务指标</w:t>
      </w:r>
      <w:bookmarkEnd w:id="2"/>
      <w:r>
        <w:rPr>
          <w:b w:val="0"/>
          <w:bCs w:val="0"/>
        </w:rPr>
      </w:r>
    </w:p>
    <w:p>
      <w:pPr>
        <w:spacing w:line="240" w:lineRule="auto" w:before="12"/>
        <w:rPr>
          <w:rFonts w:ascii="Microsoft JhengHei" w:hAnsi="Microsoft JhengHei" w:cs="Microsoft JhengHei" w:eastAsia="Microsoft JhengHei" w:hint="default"/>
          <w:b/>
          <w:bCs/>
          <w:sz w:val="25"/>
          <w:szCs w:val="25"/>
        </w:rPr>
      </w:pPr>
    </w:p>
    <w:p>
      <w:pPr>
        <w:pStyle w:val="Heading2"/>
        <w:spacing w:line="367" w:lineRule="exact"/>
        <w:ind w:right="0"/>
        <w:jc w:val="left"/>
        <w:rPr>
          <w:b w:val="0"/>
          <w:bCs w:val="0"/>
        </w:rPr>
      </w:pPr>
      <w:r>
        <w:rPr/>
        <w:pict>
          <v:shape style="position:absolute;margin-left:138pt;margin-top:114.732498pt;width:397pt;height:19.6pt;mso-position-horizontal-relative:page;mso-position-vertical-relative:paragraph;z-index:-966232"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（如有）</w:t>
                  </w:r>
                </w:p>
              </w:txbxContent>
            </v:textbox>
            <w10:wrap type="none"/>
          </v:shape>
        </w:pict>
      </w:r>
      <w:r>
        <w:rPr/>
        <w:t>一、公司信息</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49" w:type="dxa"/>
        <w:tblLayout w:type="fixed"/>
        <w:tblCellMar>
          <w:top w:w="0" w:type="dxa"/>
          <w:left w:w="0" w:type="dxa"/>
          <w:bottom w:w="0" w:type="dxa"/>
          <w:right w:w="0" w:type="dxa"/>
        </w:tblCellMar>
        <w:tblLook w:val="01E0"/>
      </w:tblPr>
      <w:tblGrid>
        <w:gridCol w:w="2284"/>
        <w:gridCol w:w="2954"/>
        <w:gridCol w:w="2157"/>
        <w:gridCol w:w="2176"/>
      </w:tblGrid>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昆仑万维</w:t>
            </w:r>
          </w:p>
        </w:tc>
        <w:tc>
          <w:tcPr>
            <w:tcW w:w="2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300418</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昆仑万维</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left"/>
              <w:rPr>
                <w:rFonts w:ascii="Times New Roman" w:hAnsi="Times New Roman" w:cs="Times New Roman" w:eastAsia="Times New Roman" w:hint="default"/>
                <w:sz w:val="18"/>
                <w:szCs w:val="18"/>
              </w:rPr>
            </w:pPr>
            <w:r>
              <w:rPr>
                <w:rFonts w:ascii="Times New Roman"/>
                <w:sz w:val="18"/>
              </w:rPr>
              <w:t>Beijing Kunlun </w:t>
            </w:r>
            <w:r>
              <w:rPr>
                <w:rFonts w:ascii="Times New Roman"/>
                <w:spacing w:val="-4"/>
                <w:sz w:val="18"/>
              </w:rPr>
              <w:t>Tech </w:t>
            </w:r>
            <w:r>
              <w:rPr>
                <w:rFonts w:ascii="Times New Roman"/>
                <w:sz w:val="18"/>
              </w:rPr>
              <w:t>Co.,</w:t>
            </w:r>
            <w:r>
              <w:rPr>
                <w:rFonts w:ascii="Times New Roman"/>
                <w:spacing w:val="-4"/>
                <w:sz w:val="18"/>
              </w:rPr>
              <w:t> </w:t>
            </w:r>
            <w:r>
              <w:rPr>
                <w:rFonts w:ascii="Times New Roman"/>
                <w:sz w:val="18"/>
              </w:rPr>
              <w:t>Ltd.</w:t>
            </w:r>
          </w:p>
        </w:tc>
      </w:tr>
      <w:tr>
        <w:trPr>
          <w:trHeight w:val="402" w:hRule="exact"/>
        </w:trPr>
        <w:tc>
          <w:tcPr>
            <w:tcW w:w="2284"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公司的外文名称缩写</w:t>
            </w:r>
          </w:p>
        </w:tc>
        <w:tc>
          <w:tcPr>
            <w:tcW w:w="7286" w:type="dxa"/>
            <w:gridSpan w:val="3"/>
            <w:tcBorders>
              <w:top w:val="single" w:sz="4" w:space="0" w:color="000000"/>
              <w:left w:val="single" w:sz="13" w:space="0" w:color="FFFFFF"/>
              <w:bottom w:val="single" w:sz="4" w:space="0" w:color="000000"/>
              <w:right w:val="single" w:sz="13" w:space="0" w:color="FFFFFF"/>
            </w:tcBorders>
          </w:tcPr>
          <w:p>
            <w:pPr>
              <w:pStyle w:val="TableParagraph"/>
              <w:spacing w:line="240" w:lineRule="auto" w:before="92"/>
              <w:ind w:left="11" w:right="0"/>
              <w:jc w:val="left"/>
              <w:rPr>
                <w:rFonts w:ascii="Times New Roman" w:hAnsi="Times New Roman" w:cs="Times New Roman" w:eastAsia="Times New Roman" w:hint="default"/>
                <w:sz w:val="18"/>
                <w:szCs w:val="18"/>
              </w:rPr>
            </w:pPr>
            <w:r>
              <w:rPr>
                <w:rFonts w:ascii="Times New Roman"/>
                <w:sz w:val="18"/>
              </w:rPr>
              <w:t>Kunlun</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周亚辉</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北京市海淀区知春路</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号知春大厦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605E</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left"/>
              <w:rPr>
                <w:rFonts w:ascii="Times New Roman" w:hAnsi="Times New Roman" w:cs="Times New Roman" w:eastAsia="Times New Roman" w:hint="default"/>
                <w:sz w:val="18"/>
                <w:szCs w:val="18"/>
              </w:rPr>
            </w:pPr>
            <w:r>
              <w:rPr>
                <w:rFonts w:ascii="Times New Roman"/>
                <w:sz w:val="18"/>
              </w:rPr>
              <w:t>100080</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46 </w:t>
            </w:r>
            <w:r>
              <w:rPr>
                <w:rFonts w:ascii="宋体" w:hAnsi="宋体" w:cs="宋体" w:eastAsia="宋体" w:hint="default"/>
                <w:sz w:val="18"/>
                <w:szCs w:val="18"/>
              </w:rPr>
              <w:t>号明阳国际中心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left"/>
              <w:rPr>
                <w:rFonts w:ascii="Times New Roman" w:hAnsi="Times New Roman" w:cs="Times New Roman" w:eastAsia="Times New Roman" w:hint="default"/>
                <w:sz w:val="18"/>
                <w:szCs w:val="18"/>
              </w:rPr>
            </w:pPr>
            <w:r>
              <w:rPr>
                <w:rFonts w:ascii="Times New Roman"/>
                <w:sz w:val="18"/>
              </w:rPr>
              <w:t>100005</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left"/>
              <w:rPr>
                <w:rFonts w:ascii="Times New Roman" w:hAnsi="Times New Roman" w:cs="Times New Roman" w:eastAsia="Times New Roman" w:hint="default"/>
                <w:sz w:val="18"/>
                <w:szCs w:val="18"/>
              </w:rPr>
            </w:pPr>
            <w:hyperlink r:id="rId9">
              <w:r>
                <w:rPr>
                  <w:rFonts w:ascii="Times New Roman"/>
                  <w:sz w:val="18"/>
                </w:rPr>
                <w:t>www.kunlun.com</w:t>
              </w:r>
            </w:hyperlink>
          </w:p>
        </w:tc>
      </w:tr>
      <w:tr>
        <w:trPr>
          <w:trHeight w:val="404"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left"/>
              <w:rPr>
                <w:rFonts w:ascii="Times New Roman" w:hAnsi="Times New Roman" w:cs="Times New Roman" w:eastAsia="Times New Roman" w:hint="default"/>
                <w:sz w:val="18"/>
                <w:szCs w:val="18"/>
              </w:rPr>
            </w:pPr>
            <w:hyperlink r:id="rId10">
              <w:r>
                <w:rPr>
                  <w:rFonts w:ascii="Times New Roman"/>
                  <w:sz w:val="18"/>
                </w:rPr>
                <w:t>ir@kunlun-inc.com</w:t>
              </w:r>
            </w:hyperlink>
          </w:p>
        </w:tc>
      </w:tr>
    </w:tbl>
    <w:p>
      <w:pPr>
        <w:spacing w:line="240" w:lineRule="auto" w:before="11"/>
        <w:rPr>
          <w:rFonts w:ascii="Microsoft JhengHei" w:hAnsi="Microsoft JhengHei" w:cs="Microsoft JhengHei" w:eastAsia="Microsoft JhengHei" w:hint="default"/>
          <w:b/>
          <w:bCs/>
          <w:sz w:val="13"/>
          <w:szCs w:val="13"/>
        </w:rPr>
      </w:pPr>
    </w:p>
    <w:p>
      <w:pPr>
        <w:pStyle w:val="Heading2"/>
        <w:spacing w:line="367" w:lineRule="exact"/>
        <w:ind w:right="0"/>
        <w:jc w:val="left"/>
        <w:rPr>
          <w:b w:val="0"/>
          <w:bCs w:val="0"/>
        </w:rPr>
      </w:pPr>
      <w:r>
        <w:rPr/>
        <w:t>二、联系人和联系方式</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钱肖凌</w:t>
            </w:r>
          </w:p>
        </w:tc>
      </w:tr>
      <w:tr>
        <w:trPr>
          <w:trHeight w:val="161" w:hRule="exact"/>
        </w:trPr>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46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号明阳国际 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c>
          <w:tcPr>
            <w:tcW w:w="3190" w:type="dxa"/>
            <w:vMerge w:val="restart"/>
            <w:tcBorders>
              <w:top w:val="single" w:sz="4" w:space="0" w:color="000000"/>
              <w:left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46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号明阳国际 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r>
      <w:tr>
        <w:trPr>
          <w:trHeight w:val="392" w:hRule="exact"/>
        </w:trPr>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4" w:space="0" w:color="000000"/>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4" w:space="0" w:color="000000"/>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010-65210366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010-65210366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010-65210399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010-65210399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0">
              <w:r>
                <w:rPr>
                  <w:rFonts w:ascii="Times New Roman"/>
                  <w:sz w:val="18"/>
                </w:rPr>
                <w:t>ir@kunlun-inc.com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0">
              <w:r>
                <w:rPr>
                  <w:rFonts w:ascii="Times New Roman"/>
                  <w:sz w:val="18"/>
                </w:rPr>
                <w:t>ir@kunlun-inc.com</w:t>
              </w:r>
            </w:hyperlink>
          </w:p>
        </w:tc>
      </w:tr>
    </w:tbl>
    <w:p>
      <w:pPr>
        <w:spacing w:line="240" w:lineRule="auto" w:before="11"/>
        <w:rPr>
          <w:rFonts w:ascii="Microsoft JhengHei" w:hAnsi="Microsoft JhengHei" w:cs="Microsoft JhengHei" w:eastAsia="Microsoft JhengHei" w:hint="default"/>
          <w:b/>
          <w:bCs/>
          <w:sz w:val="13"/>
          <w:szCs w:val="13"/>
        </w:rPr>
      </w:pPr>
    </w:p>
    <w:p>
      <w:pPr>
        <w:pStyle w:val="Heading2"/>
        <w:spacing w:line="367" w:lineRule="exact"/>
        <w:ind w:right="0"/>
        <w:jc w:val="left"/>
        <w:rPr>
          <w:b w:val="0"/>
          <w:bCs w:val="0"/>
        </w:rPr>
      </w:pPr>
      <w:r>
        <w:rPr/>
        <w:t>三、信息披露及备置地点</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4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 、中国证券报、上海证券报、证券日报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46 </w:t>
            </w:r>
            <w:r>
              <w:rPr>
                <w:rFonts w:ascii="宋体" w:hAnsi="宋体" w:cs="宋体" w:eastAsia="宋体" w:hint="default"/>
                <w:sz w:val="18"/>
                <w:szCs w:val="18"/>
              </w:rPr>
              <w:t>号明阳国际中心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r>
    </w:tbl>
    <w:p>
      <w:pPr>
        <w:spacing w:line="240" w:lineRule="auto" w:before="11"/>
        <w:rPr>
          <w:rFonts w:ascii="Microsoft JhengHei" w:hAnsi="Microsoft JhengHei" w:cs="Microsoft JhengHei" w:eastAsia="Microsoft JhengHei" w:hint="default"/>
          <w:b/>
          <w:bCs/>
          <w:sz w:val="13"/>
          <w:szCs w:val="13"/>
        </w:rPr>
      </w:pPr>
    </w:p>
    <w:p>
      <w:pPr>
        <w:pStyle w:val="Heading2"/>
        <w:spacing w:line="367" w:lineRule="exact"/>
        <w:ind w:right="0"/>
        <w:jc w:val="left"/>
        <w:rPr>
          <w:b w:val="0"/>
          <w:bCs w:val="0"/>
        </w:rPr>
      </w:pPr>
      <w:r>
        <w:rPr/>
        <w:t>四、其他有关资料</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北京市海淀区西四环中路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号院七号楼十层</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王友业、孙继伟</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71"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0"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中国国际金融股份有限公司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北京市朝阳区建国门外大街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号国贸大厦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刘丹、章志皓</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报告期内</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公司聘请的报告期内履行持续督导职责的财务顾问</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r>
        <w:rPr/>
        <w:t>五、主要会计数据和财务指标</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公司是否因会计政策变更及会计差错更正等追溯调整或重述以前年度会计数据</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621"/>
        <w:gridCol w:w="1739"/>
        <w:gridCol w:w="1736"/>
        <w:gridCol w:w="1738"/>
        <w:gridCol w:w="1735"/>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1,789,140,564.52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1,934,145,769.25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1,509,992,795.55</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405,288,398.77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326,382,276.82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24.18%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435,906,412.74</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246,591,060.73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321,059,069.61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-23.19%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247,261,085.66</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192,153,315.10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396,800,219.07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-51.57%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370,420,022.02</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0.53</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0.53</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16.67%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35.80%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-19.13%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47.53%</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3,888,484,313.92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1,468,243,095.99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164.84%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1,249,672,658.06</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2,680,018,953.91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1,011,905,564.67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164.85%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853,432,784.95</w:t>
            </w:r>
          </w:p>
        </w:tc>
      </w:tr>
    </w:tbl>
    <w:p>
      <w:pPr>
        <w:spacing w:line="240" w:lineRule="auto" w:before="2"/>
        <w:rPr>
          <w:rFonts w:ascii="宋体" w:hAnsi="宋体" w:cs="宋体" w:eastAsia="宋体" w:hint="default"/>
          <w:sz w:val="18"/>
          <w:szCs w:val="18"/>
        </w:rPr>
      </w:pPr>
    </w:p>
    <w:p>
      <w:pPr>
        <w:pStyle w:val="Heading2"/>
        <w:spacing w:line="367" w:lineRule="exact"/>
        <w:ind w:right="0"/>
        <w:jc w:val="left"/>
        <w:rPr>
          <w:b w:val="0"/>
          <w:bCs w:val="0"/>
        </w:rPr>
      </w:pPr>
      <w:r>
        <w:rPr/>
        <w:t>六、分季度主要财务指标</w:t>
      </w:r>
      <w:r>
        <w:rPr>
          <w:b w:val="0"/>
          <w:bCs w:val="0"/>
        </w:rPr>
      </w:r>
    </w:p>
    <w:p>
      <w:pPr>
        <w:spacing w:line="240" w:lineRule="auto" w:before="15"/>
        <w:rPr>
          <w:rFonts w:ascii="Microsoft JhengHei" w:hAnsi="Microsoft JhengHei" w:cs="Microsoft JhengHei" w:eastAsia="Microsoft JhengHei" w:hint="default"/>
          <w:b/>
          <w:bCs/>
          <w:sz w:val="15"/>
          <w:szCs w:val="15"/>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21"/>
        <w:gridCol w:w="1740"/>
        <w:gridCol w:w="1739"/>
        <w:gridCol w:w="1740"/>
        <w:gridCol w:w="1729"/>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3"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438,339,239.56</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447,904,961.31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421,225,197.44</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481,671,166.21</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78,344,350.22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116,480,795.72</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67,505,253.55</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142,957,999.28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21"/>
        <w:gridCol w:w="1740"/>
        <w:gridCol w:w="1739"/>
        <w:gridCol w:w="1740"/>
        <w:gridCol w:w="1729"/>
      </w:tblGrid>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78,490,424.25</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79,021,577.61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53,899,875.49</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35,179,183.38</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-139,806,388.56</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49,378,371.96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107,588,391.23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174,992,940.47</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七、境内外会计准则下会计数据差异</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、同时按照国际会计准则与按照中国会计准则披露的财务报告中净利润和净资产差异情况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38" w:lineRule="auto" w:before="0"/>
        <w:ind w:left="154" w:right="9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spacing w:line="240" w:lineRule="auto" w:before="1"/>
        <w:rPr>
          <w:rFonts w:ascii="宋体" w:hAnsi="宋体" w:cs="宋体" w:eastAsia="宋体" w:hint="default"/>
          <w:sz w:val="16"/>
          <w:szCs w:val="16"/>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、同时按照境外会计准则与按照中国会计准则披露的财务报告中净利润和净资产差异情况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line="338" w:lineRule="auto" w:before="0"/>
        <w:ind w:left="154" w:right="16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6"/>
        <w:rPr>
          <w:rFonts w:ascii="宋体" w:hAnsi="宋体" w:cs="宋体" w:eastAsia="宋体" w:hint="default"/>
          <w:sz w:val="13"/>
          <w:szCs w:val="13"/>
        </w:rPr>
      </w:pPr>
    </w:p>
    <w:p>
      <w:pPr>
        <w:pStyle w:val="Heading2"/>
        <w:spacing w:line="240" w:lineRule="auto"/>
        <w:ind w:right="0"/>
        <w:jc w:val="left"/>
        <w:rPr>
          <w:b w:val="0"/>
          <w:bCs w:val="0"/>
        </w:rPr>
      </w:pPr>
      <w:r>
        <w:rPr/>
        <w:t>八、非经常性损益项目及金额</w:t>
      </w:r>
      <w:r>
        <w:rPr>
          <w:b w:val="0"/>
          <w:bCs w:val="0"/>
        </w:rPr>
      </w:r>
    </w:p>
    <w:p>
      <w:pPr>
        <w:spacing w:line="240" w:lineRule="auto" w:before="16"/>
        <w:rPr>
          <w:rFonts w:ascii="Microsoft JhengHei" w:hAnsi="Microsoft JhengHei" w:cs="Microsoft JhengHei" w:eastAsia="Microsoft JhengHei" w:hint="default"/>
          <w:b/>
          <w:bCs/>
          <w:sz w:val="15"/>
          <w:szCs w:val="15"/>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2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-37,869.53</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-96,496.58</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172,167,484.44</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2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11,889,531.29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4,237,636.12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6,421,000.00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4,505,602.71</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2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161,346,278.88</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1,559,398.51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2,039,258.41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14,138,506.97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20,565,603.82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857,190.74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4,081,664.33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158,697,338.04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5,323,207.21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188,645,327.08</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2" w:lineRule="auto" w:before="61"/>
        <w:ind w:left="154" w:right="13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2"/>
        <w:rPr>
          <w:rFonts w:ascii="宋体" w:hAnsi="宋体" w:cs="宋体" w:eastAsia="宋体" w:hint="default"/>
          <w:sz w:val="25"/>
          <w:szCs w:val="25"/>
        </w:rPr>
      </w:pPr>
    </w:p>
    <w:p>
      <w:pPr>
        <w:spacing w:line="302" w:lineRule="auto" w:before="44"/>
        <w:ind w:left="154" w:right="135"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r>
        <w:rPr>
          <w:rFonts w:ascii="宋体" w:hAnsi="宋体" w:cs="宋体" w:eastAsia="宋体" w:hint="default"/>
          <w:sz w:val="18"/>
          <w:szCs w:val="18"/>
        </w:rPr>
        <w:t> 项目界定为经常性损益的项目的情形。</w:t>
      </w:r>
    </w:p>
    <w:p>
      <w:pPr>
        <w:spacing w:after="0" w:line="302"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457" w:lineRule="exact"/>
        <w:ind w:left="3431" w:right="3489"/>
        <w:jc w:val="center"/>
        <w:rPr>
          <w:b w:val="0"/>
          <w:bCs w:val="0"/>
        </w:rPr>
      </w:pPr>
      <w:bookmarkStart w:name="_TOC_250008" w:id="3"/>
      <w:r>
        <w:rPr/>
        <w:t>第三节 </w:t>
      </w:r>
      <w:r>
        <w:rPr>
          <w:spacing w:val="6"/>
        </w:rPr>
        <w:t> </w:t>
      </w:r>
      <w:r>
        <w:rPr/>
        <w:t>公司业务概要</w:t>
      </w:r>
      <w:bookmarkEnd w:id="3"/>
      <w:r>
        <w:rPr>
          <w:b w:val="0"/>
          <w:bCs w:val="0"/>
        </w:rPr>
      </w:r>
    </w:p>
    <w:p>
      <w:pPr>
        <w:spacing w:line="240" w:lineRule="auto" w:before="13"/>
        <w:rPr>
          <w:rFonts w:ascii="Microsoft JhengHei" w:hAnsi="Microsoft JhengHei" w:cs="Microsoft JhengHei" w:eastAsia="Microsoft JhengHei" w:hint="default"/>
          <w:b/>
          <w:bCs/>
          <w:sz w:val="22"/>
          <w:szCs w:val="22"/>
        </w:rPr>
      </w:pPr>
    </w:p>
    <w:p>
      <w:pPr>
        <w:pStyle w:val="Heading2"/>
        <w:spacing w:line="240" w:lineRule="auto"/>
        <w:ind w:right="0"/>
        <w:jc w:val="both"/>
        <w:rPr>
          <w:b w:val="0"/>
          <w:bCs w:val="0"/>
        </w:rPr>
      </w:pPr>
      <w:r>
        <w:rPr/>
        <w:t>一、报告期内公司从事的主要业务</w:t>
      </w:r>
      <w:r>
        <w:rPr>
          <w:b w:val="0"/>
          <w:bCs w:val="0"/>
        </w:rPr>
      </w:r>
    </w:p>
    <w:p>
      <w:pPr>
        <w:spacing w:line="440" w:lineRule="atLeast" w:before="128"/>
        <w:ind w:left="490" w:right="213" w:hanging="336"/>
        <w:jc w:val="left"/>
        <w:rPr>
          <w:rFonts w:ascii="宋体" w:hAnsi="宋体" w:cs="宋体" w:eastAsia="宋体" w:hint="default"/>
          <w:sz w:val="21"/>
          <w:szCs w:val="21"/>
        </w:rPr>
      </w:pPr>
      <w:r>
        <w:rPr>
          <w:rFonts w:ascii="宋体" w:hAnsi="宋体" w:cs="宋体" w:eastAsia="宋体" w:hint="default"/>
          <w:sz w:val="21"/>
          <w:szCs w:val="21"/>
        </w:rPr>
        <w:t>（一）公司主要业务概述 报告期内，公司积极推进</w:t>
      </w:r>
      <w:r>
        <w:rPr>
          <w:rFonts w:ascii="Times New Roman" w:hAnsi="Times New Roman" w:cs="Times New Roman" w:eastAsia="Times New Roman" w:hint="default"/>
          <w:sz w:val="21"/>
          <w:szCs w:val="21"/>
        </w:rPr>
        <w:t>“</w:t>
      </w:r>
      <w:r>
        <w:rPr>
          <w:rFonts w:ascii="宋体" w:hAnsi="宋体" w:cs="宋体" w:eastAsia="宋体" w:hint="default"/>
          <w:sz w:val="21"/>
          <w:szCs w:val="21"/>
        </w:rPr>
        <w:t>全球化互联网综合平台商</w:t>
      </w:r>
      <w:r>
        <w:rPr>
          <w:rFonts w:ascii="Times New Roman" w:hAnsi="Times New Roman" w:cs="Times New Roman" w:eastAsia="Times New Roman" w:hint="default"/>
          <w:sz w:val="21"/>
          <w:szCs w:val="21"/>
        </w:rPr>
        <w:t>”</w:t>
      </w:r>
      <w:r>
        <w:rPr>
          <w:rFonts w:ascii="宋体" w:hAnsi="宋体" w:cs="宋体" w:eastAsia="宋体" w:hint="default"/>
          <w:sz w:val="21"/>
          <w:szCs w:val="21"/>
        </w:rPr>
        <w:t>这一发展战略，并确定了公司未来</w:t>
      </w:r>
      <w:r>
        <w:rPr>
          <w:rFonts w:ascii="Times New Roman" w:hAnsi="Times New Roman" w:cs="Times New Roman" w:eastAsia="Times New Roman" w:hint="default"/>
          <w:sz w:val="21"/>
          <w:szCs w:val="21"/>
        </w:rPr>
        <w:t>3-5</w:t>
      </w:r>
      <w:r>
        <w:rPr>
          <w:rFonts w:ascii="宋体" w:hAnsi="宋体" w:cs="宋体" w:eastAsia="宋体" w:hint="default"/>
          <w:sz w:val="21"/>
          <w:szCs w:val="21"/>
        </w:rPr>
        <w:t>年的发展蓝</w:t>
      </w:r>
    </w:p>
    <w:p>
      <w:pPr>
        <w:spacing w:line="266" w:lineRule="auto" w:before="21"/>
        <w:ind w:left="154" w:right="212" w:firstLine="0"/>
        <w:jc w:val="both"/>
        <w:rPr>
          <w:rFonts w:ascii="宋体" w:hAnsi="宋体" w:cs="宋体" w:eastAsia="宋体" w:hint="default"/>
          <w:sz w:val="21"/>
          <w:szCs w:val="21"/>
        </w:rPr>
      </w:pPr>
      <w:r>
        <w:rPr>
          <w:rFonts w:ascii="宋体" w:hAnsi="宋体" w:cs="宋体" w:eastAsia="宋体" w:hint="default"/>
          <w:spacing w:val="-1"/>
          <w:sz w:val="21"/>
          <w:szCs w:val="21"/>
        </w:rPr>
        <w:t>图，继续稳固公司现有的网络游戏、软件工具、互联网金融三大业务板块的同时，积极探索互联网领域的</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投资机会，重点围绕软件工具、社交平台、</w:t>
      </w:r>
      <w:r>
        <w:rPr>
          <w:rFonts w:ascii="Times New Roman" w:hAnsi="Times New Roman" w:cs="Times New Roman" w:eastAsia="Times New Roman" w:hint="default"/>
          <w:sz w:val="21"/>
          <w:szCs w:val="21"/>
        </w:rPr>
        <w:t>IP</w:t>
      </w:r>
      <w:r>
        <w:rPr>
          <w:rFonts w:ascii="宋体" w:hAnsi="宋体" w:cs="宋体" w:eastAsia="宋体" w:hint="default"/>
          <w:sz w:val="21"/>
          <w:szCs w:val="21"/>
        </w:rPr>
        <w:t>经营、互联网金融和视频直播等板块进行投资布局，同时通 </w:t>
      </w:r>
      <w:r>
        <w:rPr>
          <w:rFonts w:ascii="宋体" w:hAnsi="宋体" w:cs="宋体" w:eastAsia="宋体" w:hint="default"/>
          <w:spacing w:val="-1"/>
          <w:sz w:val="21"/>
          <w:szCs w:val="21"/>
        </w:rPr>
        <w:t>过搭建集团中央平台，使得公司共享用户系统、大数据系统、推荐系统和广告系统，给全球互联网用户优</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质的服务体验，形成各业务板块协同发展的国际化互联网生态系统。</w:t>
      </w:r>
    </w:p>
    <w:p>
      <w:pPr>
        <w:spacing w:line="240" w:lineRule="auto" w:before="1"/>
        <w:rPr>
          <w:rFonts w:ascii="宋体" w:hAnsi="宋体" w:cs="宋体" w:eastAsia="宋体" w:hint="default"/>
          <w:sz w:val="19"/>
          <w:szCs w:val="19"/>
        </w:rPr>
      </w:pPr>
    </w:p>
    <w:p>
      <w:pPr>
        <w:spacing w:line="4161" w:lineRule="exact"/>
        <w:ind w:left="1731"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4113344" cy="2642616"/>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4113344" cy="2642616"/>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3"/>
        <w:rPr>
          <w:rFonts w:ascii="宋体" w:hAnsi="宋体" w:cs="宋体" w:eastAsia="宋体" w:hint="default"/>
          <w:sz w:val="16"/>
          <w:szCs w:val="16"/>
        </w:rPr>
      </w:pPr>
    </w:p>
    <w:p>
      <w:pPr>
        <w:spacing w:before="0"/>
        <w:ind w:left="574" w:right="213" w:firstLine="0"/>
        <w:jc w:val="left"/>
        <w:rPr>
          <w:rFonts w:ascii="宋体" w:hAnsi="宋体" w:cs="宋体" w:eastAsia="宋体" w:hint="default"/>
          <w:sz w:val="21"/>
          <w:szCs w:val="21"/>
        </w:rPr>
      </w:pPr>
      <w:r>
        <w:rPr>
          <w:rFonts w:ascii="宋体" w:hAnsi="宋体" w:cs="宋体" w:eastAsia="宋体" w:hint="default"/>
          <w:sz w:val="21"/>
          <w:szCs w:val="21"/>
        </w:rPr>
        <w:t>报告期内，公司的主营业务取得了重大发展：</w:t>
      </w:r>
    </w:p>
    <w:p>
      <w:pPr>
        <w:spacing w:before="157"/>
        <w:ind w:left="154"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、网络游戏</w:t>
      </w:r>
    </w:p>
    <w:p>
      <w:pPr>
        <w:spacing w:line="261" w:lineRule="auto" w:before="141"/>
        <w:ind w:left="154" w:right="211" w:firstLine="420"/>
        <w:jc w:val="both"/>
        <w:rPr>
          <w:rFonts w:ascii="宋体" w:hAnsi="宋体" w:cs="宋体" w:eastAsia="宋体" w:hint="default"/>
          <w:sz w:val="21"/>
          <w:szCs w:val="21"/>
        </w:rPr>
      </w:pPr>
      <w:r>
        <w:rPr>
          <w:rFonts w:ascii="宋体" w:hAnsi="宋体" w:cs="宋体" w:eastAsia="宋体" w:hint="default"/>
          <w:spacing w:val="-1"/>
          <w:sz w:val="21"/>
          <w:szCs w:val="21"/>
        </w:rPr>
        <w:t>公司对游戏业务类型进行了重新规划，加强了对移动游戏的投入，报告期内，公司移动游戏收入占比</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81.94%</w:t>
      </w:r>
      <w:r>
        <w:rPr>
          <w:rFonts w:ascii="宋体" w:hAnsi="宋体" w:cs="宋体" w:eastAsia="宋体" w:hint="default"/>
          <w:spacing w:val="-1"/>
          <w:sz w:val="21"/>
          <w:szCs w:val="21"/>
        </w:rPr>
        <w:t>，已全面转型为移动游戏厂商。同时，公司对游戏行业的发展生态进行了预判，将游戏业务向上下</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游打通进行影游联动，并储备了一批具有长生命周期的经典</w:t>
      </w:r>
      <w:r>
        <w:rPr>
          <w:rFonts w:ascii="Times New Roman" w:hAnsi="Times New Roman" w:cs="Times New Roman" w:eastAsia="Times New Roman" w:hint="default"/>
          <w:sz w:val="21"/>
          <w:szCs w:val="21"/>
        </w:rPr>
        <w:t>IP</w:t>
      </w:r>
      <w:r>
        <w:rPr>
          <w:rFonts w:ascii="宋体" w:hAnsi="宋体" w:cs="宋体" w:eastAsia="宋体" w:hint="default"/>
          <w:sz w:val="21"/>
          <w:szCs w:val="21"/>
        </w:rPr>
        <w:t>。随着</w:t>
      </w:r>
      <w:r>
        <w:rPr>
          <w:rFonts w:ascii="Times New Roman" w:hAnsi="Times New Roman" w:cs="Times New Roman" w:eastAsia="Times New Roman" w:hint="default"/>
          <w:sz w:val="21"/>
          <w:szCs w:val="21"/>
        </w:rPr>
        <w:t>IP</w:t>
      </w:r>
      <w:r>
        <w:rPr>
          <w:rFonts w:ascii="宋体" w:hAnsi="宋体" w:cs="宋体" w:eastAsia="宋体" w:hint="default"/>
          <w:sz w:val="21"/>
          <w:szCs w:val="21"/>
        </w:rPr>
        <w:t>储备的逐步兑现，预计公司自研产 品将于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年全面爆发。</w:t>
      </w:r>
    </w:p>
    <w:p>
      <w:pPr>
        <w:spacing w:line="264" w:lineRule="auto" w:before="120"/>
        <w:ind w:left="154" w:right="103" w:firstLine="420"/>
        <w:jc w:val="left"/>
        <w:rPr>
          <w:rFonts w:ascii="宋体" w:hAnsi="宋体" w:cs="宋体" w:eastAsia="宋体" w:hint="default"/>
          <w:sz w:val="21"/>
          <w:szCs w:val="21"/>
        </w:rPr>
      </w:pPr>
      <w:r>
        <w:rPr>
          <w:rFonts w:ascii="宋体" w:hAnsi="宋体" w:cs="宋体" w:eastAsia="宋体" w:hint="default"/>
          <w:sz w:val="21"/>
          <w:szCs w:val="21"/>
        </w:rPr>
        <w:t>报告期内，公司成立了影视事业部，与公司游戏团队合作打造影游联动项目。</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年初，公司与台湾 </w:t>
      </w:r>
      <w:r>
        <w:rPr>
          <w:rFonts w:ascii="宋体" w:hAnsi="宋体" w:cs="宋体" w:eastAsia="宋体" w:hint="default"/>
          <w:spacing w:val="-3"/>
          <w:sz w:val="21"/>
          <w:szCs w:val="21"/>
        </w:rPr>
        <w:t>大宇签署战略合作协议，全面启动双方的战略合作，将在未来重点围绕《仙剑》、《轩辕剑》、《大富翁》</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等华人地区最受欢迎的经典</w:t>
      </w:r>
      <w:r>
        <w:rPr>
          <w:rFonts w:ascii="Times New Roman" w:hAnsi="Times New Roman" w:cs="Times New Roman" w:eastAsia="Times New Roman" w:hint="default"/>
          <w:sz w:val="21"/>
          <w:szCs w:val="21"/>
        </w:rPr>
        <w:t>IP</w:t>
      </w:r>
      <w:r>
        <w:rPr>
          <w:rFonts w:ascii="宋体" w:hAnsi="宋体" w:cs="宋体" w:eastAsia="宋体" w:hint="default"/>
          <w:sz w:val="21"/>
          <w:szCs w:val="21"/>
        </w:rPr>
        <w:t>，进行各种游戏类型和影视剧的创作和发行。</w:t>
      </w:r>
    </w:p>
    <w:p>
      <w:pPr>
        <w:spacing w:line="432" w:lineRule="exact" w:before="17"/>
        <w:ind w:left="574" w:right="103"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）自研精品游戏 </w:t>
      </w:r>
      <w:r>
        <w:rPr>
          <w:rFonts w:ascii="宋体" w:hAnsi="宋体" w:cs="宋体" w:eastAsia="宋体" w:hint="default"/>
          <w:spacing w:val="-5"/>
          <w:sz w:val="21"/>
          <w:szCs w:val="21"/>
        </w:rPr>
        <w:t>报告期内，公司成功发行多款自研的移动终端游戏，主要产品有</w:t>
      </w:r>
      <w:r>
        <w:rPr>
          <w:rFonts w:ascii="Times New Roman" w:hAnsi="Times New Roman" w:cs="Times New Roman" w:eastAsia="Times New Roman" w:hint="default"/>
          <w:spacing w:val="-5"/>
          <w:sz w:val="21"/>
          <w:szCs w:val="21"/>
        </w:rPr>
        <w:t>ARPG</w:t>
      </w:r>
      <w:r>
        <w:rPr>
          <w:rFonts w:ascii="宋体" w:hAnsi="宋体" w:cs="宋体" w:eastAsia="宋体" w:hint="default"/>
          <w:spacing w:val="-5"/>
          <w:sz w:val="21"/>
          <w:szCs w:val="21"/>
        </w:rPr>
        <w:t>类《无双剑姬》、</w:t>
      </w:r>
      <w:r>
        <w:rPr>
          <w:rFonts w:ascii="Times New Roman" w:hAnsi="Times New Roman" w:cs="Times New Roman" w:eastAsia="Times New Roman" w:hint="default"/>
          <w:spacing w:val="-5"/>
          <w:sz w:val="21"/>
          <w:szCs w:val="21"/>
        </w:rPr>
        <w:t>2D</w:t>
      </w:r>
      <w:r>
        <w:rPr>
          <w:rFonts w:ascii="宋体" w:hAnsi="宋体" w:cs="宋体" w:eastAsia="宋体" w:hint="default"/>
          <w:spacing w:val="-5"/>
          <w:sz w:val="21"/>
          <w:szCs w:val="21"/>
        </w:rPr>
        <w:t>卡牌类《风</w:t>
      </w:r>
    </w:p>
    <w:p>
      <w:pPr>
        <w:spacing w:line="271" w:lineRule="exact" w:before="0"/>
        <w:ind w:left="154" w:right="0" w:firstLine="0"/>
        <w:jc w:val="both"/>
        <w:rPr>
          <w:rFonts w:ascii="宋体" w:hAnsi="宋体" w:cs="宋体" w:eastAsia="宋体" w:hint="default"/>
          <w:sz w:val="21"/>
          <w:szCs w:val="21"/>
        </w:rPr>
      </w:pPr>
      <w:r>
        <w:rPr>
          <w:rFonts w:ascii="宋体" w:hAnsi="宋体" w:cs="宋体" w:eastAsia="宋体" w:hint="default"/>
          <w:sz w:val="21"/>
          <w:szCs w:val="21"/>
        </w:rPr>
        <w:t>云三国</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3D</w:t>
      </w:r>
      <w:r>
        <w:rPr>
          <w:rFonts w:ascii="宋体" w:hAnsi="宋体" w:cs="宋体" w:eastAsia="宋体" w:hint="default"/>
          <w:sz w:val="21"/>
          <w:szCs w:val="21"/>
        </w:rPr>
        <w:t>回合制类《师父有妖气》、</w:t>
      </w:r>
      <w:r>
        <w:rPr>
          <w:rFonts w:ascii="Times New Roman" w:hAnsi="Times New Roman" w:cs="Times New Roman" w:eastAsia="Times New Roman" w:hint="default"/>
          <w:sz w:val="21"/>
          <w:szCs w:val="21"/>
        </w:rPr>
        <w:t>3D</w:t>
      </w:r>
      <w:r>
        <w:rPr>
          <w:rFonts w:ascii="宋体" w:hAnsi="宋体" w:cs="宋体" w:eastAsia="宋体" w:hint="default"/>
          <w:sz w:val="21"/>
          <w:szCs w:val="21"/>
        </w:rPr>
        <w:t>横版动作类《艾尔战记》（于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月上线）等。其中，</w:t>
      </w:r>
    </w:p>
    <w:p>
      <w:pPr>
        <w:spacing w:line="264" w:lineRule="auto" w:before="21"/>
        <w:ind w:left="154" w:right="213" w:firstLine="0"/>
        <w:jc w:val="both"/>
        <w:rPr>
          <w:rFonts w:ascii="宋体" w:hAnsi="宋体" w:cs="宋体" w:eastAsia="宋体" w:hint="default"/>
          <w:sz w:val="21"/>
          <w:szCs w:val="21"/>
        </w:rPr>
      </w:pPr>
      <w:r>
        <w:rPr>
          <w:rFonts w:ascii="宋体" w:hAnsi="宋体" w:cs="宋体" w:eastAsia="宋体" w:hint="default"/>
          <w:spacing w:val="-1"/>
          <w:sz w:val="21"/>
          <w:szCs w:val="21"/>
        </w:rPr>
        <w:t>原创精品代表作《无双剑姬》，其精美优秀的品质受到普遍欢迎，多个深度本地化的版本已经发行，覆盖</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地区包括大陆、港澳台、东南亚、欧美等全球多个国家和地区，并仍在不断扩大。在报告期末，以优质</w:t>
      </w:r>
      <w:r>
        <w:rPr>
          <w:rFonts w:ascii="Times New Roman" w:hAnsi="Times New Roman" w:cs="Times New Roman" w:eastAsia="Times New Roman" w:hint="default"/>
          <w:sz w:val="21"/>
          <w:szCs w:val="21"/>
        </w:rPr>
        <w:t>IP</w:t>
      </w:r>
      <w:r>
        <w:rPr>
          <w:rFonts w:ascii="Times New Roman" w:hAnsi="Times New Roman" w:cs="Times New Roman" w:eastAsia="Times New Roman" w:hint="default"/>
          <w:spacing w:val="-1"/>
          <w:w w:val="99"/>
          <w:sz w:val="21"/>
          <w:szCs w:val="21"/>
        </w:rPr>
        <w:t> </w:t>
      </w:r>
      <w:r>
        <w:rPr>
          <w:rFonts w:ascii="宋体" w:hAnsi="宋体" w:cs="宋体" w:eastAsia="宋体" w:hint="default"/>
          <w:sz w:val="21"/>
          <w:szCs w:val="21"/>
        </w:rPr>
        <w:t>合作的代表作《艾尔战记》，顺利推进了调优测试和体验改善。</w:t>
      </w:r>
    </w:p>
    <w:p>
      <w:pPr>
        <w:spacing w:after="0" w:line="264" w:lineRule="auto"/>
        <w:jc w:val="both"/>
        <w:rPr>
          <w:rFonts w:ascii="宋体" w:hAnsi="宋体" w:cs="宋体" w:eastAsia="宋体" w:hint="default"/>
          <w:sz w:val="21"/>
          <w:szCs w:val="21"/>
        </w:rPr>
        <w:sectPr>
          <w:pgSz w:w="11910" w:h="16840"/>
          <w:pgMar w:header="747" w:footer="979" w:top="1060" w:bottom="1160" w:left="980" w:right="920"/>
        </w:sectPr>
      </w:pPr>
    </w:p>
    <w:p>
      <w:pPr>
        <w:spacing w:line="240" w:lineRule="auto" w:before="9"/>
        <w:rPr>
          <w:rFonts w:ascii="宋体" w:hAnsi="宋体" w:cs="宋体" w:eastAsia="宋体" w:hint="default"/>
          <w:sz w:val="24"/>
          <w:szCs w:val="24"/>
        </w:rPr>
      </w:pPr>
    </w:p>
    <w:p>
      <w:pPr>
        <w:spacing w:line="364" w:lineRule="auto" w:before="35"/>
        <w:ind w:left="154" w:right="7690" w:firstLine="0"/>
        <w:jc w:val="left"/>
        <w:rPr>
          <w:rFonts w:ascii="宋体" w:hAnsi="宋体" w:cs="宋体" w:eastAsia="宋体" w:hint="default"/>
          <w:sz w:val="21"/>
          <w:szCs w:val="21"/>
        </w:rPr>
      </w:pPr>
      <w:r>
        <w:rPr>
          <w:rFonts w:ascii="宋体" w:hAnsi="宋体" w:cs="宋体" w:eastAsia="宋体" w:hint="default"/>
          <w:sz w:val="21"/>
          <w:szCs w:val="21"/>
        </w:rPr>
        <w:t>《无双剑姬》 上线时间：</w:t>
      </w:r>
      <w:r>
        <w:rPr>
          <w:rFonts w:ascii="Times New Roman" w:hAnsi="Times New Roman" w:cs="Times New Roman" w:eastAsia="Times New Roman" w:hint="default"/>
          <w:sz w:val="21"/>
          <w:szCs w:val="21"/>
        </w:rPr>
        <w:t>2015-4-15 </w:t>
      </w:r>
      <w:r>
        <w:rPr>
          <w:rFonts w:ascii="宋体" w:hAnsi="宋体" w:cs="宋体" w:eastAsia="宋体" w:hint="default"/>
          <w:sz w:val="21"/>
          <w:szCs w:val="21"/>
        </w:rPr>
        <w:t>游戏类型：</w:t>
      </w:r>
      <w:r>
        <w:rPr>
          <w:rFonts w:ascii="Times New Roman" w:hAnsi="Times New Roman" w:cs="Times New Roman" w:eastAsia="Times New Roman" w:hint="default"/>
          <w:sz w:val="21"/>
          <w:szCs w:val="21"/>
        </w:rPr>
        <w:t>ARPG</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研发及发行：昆仑游戏</w:t>
      </w:r>
    </w:p>
    <w:p>
      <w:pPr>
        <w:spacing w:line="376" w:lineRule="auto" w:before="48"/>
        <w:ind w:left="154" w:right="494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上线国家和地区：中国大陆、港澳台、东南亚、欧美 上线平台：</w:t>
      </w:r>
      <w:r>
        <w:rPr>
          <w:rFonts w:ascii="Times New Roman" w:hAnsi="Times New Roman" w:cs="Times New Roman" w:eastAsia="Times New Roman" w:hint="default"/>
          <w:sz w:val="21"/>
          <w:szCs w:val="21"/>
        </w:rPr>
        <w:t>Android</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0"/>
        <w:rPr>
          <w:rFonts w:ascii="Times New Roman" w:hAnsi="Times New Roman" w:cs="Times New Roman" w:eastAsia="Times New Roman" w:hint="default"/>
          <w:sz w:val="4"/>
          <w:szCs w:val="4"/>
        </w:rPr>
      </w:pPr>
    </w:p>
    <w:p>
      <w:pPr>
        <w:spacing w:line="4635" w:lineRule="exact"/>
        <w:ind w:left="115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2"/>
          <w:sz w:val="20"/>
          <w:szCs w:val="20"/>
        </w:rPr>
        <w:drawing>
          <wp:inline distT="0" distB="0" distL="0" distR="0">
            <wp:extent cx="4848636" cy="2943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4848636" cy="2943225"/>
                    </a:xfrm>
                    <a:prstGeom prst="rect">
                      <a:avLst/>
                    </a:prstGeom>
                  </pic:spPr>
                </pic:pic>
              </a:graphicData>
            </a:graphic>
          </wp:inline>
        </w:drawing>
      </w:r>
      <w:r>
        <w:rPr>
          <w:rFonts w:ascii="Times New Roman" w:hAnsi="Times New Roman" w:cs="Times New Roman" w:eastAsia="Times New Roman" w:hint="default"/>
          <w:position w:val="-92"/>
          <w:sz w:val="20"/>
          <w:szCs w:val="20"/>
        </w:rPr>
      </w:r>
    </w:p>
    <w:p>
      <w:pPr>
        <w:spacing w:line="369" w:lineRule="auto" w:before="128"/>
        <w:ind w:left="154" w:right="7690" w:firstLine="0"/>
        <w:jc w:val="left"/>
        <w:rPr>
          <w:rFonts w:ascii="宋体" w:hAnsi="宋体" w:cs="宋体" w:eastAsia="宋体" w:hint="default"/>
          <w:sz w:val="21"/>
          <w:szCs w:val="21"/>
        </w:rPr>
      </w:pPr>
      <w:r>
        <w:rPr>
          <w:rFonts w:ascii="宋体" w:hAnsi="宋体" w:cs="宋体" w:eastAsia="宋体" w:hint="default"/>
          <w:sz w:val="21"/>
          <w:szCs w:val="21"/>
        </w:rPr>
        <w:t>《师父有妖气》 上线时间：</w:t>
      </w:r>
      <w:r>
        <w:rPr>
          <w:rFonts w:ascii="Times New Roman" w:hAnsi="Times New Roman" w:cs="Times New Roman" w:eastAsia="Times New Roman" w:hint="default"/>
          <w:sz w:val="21"/>
          <w:szCs w:val="21"/>
        </w:rPr>
        <w:t>2015-08-18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游戏类型：卡牌 研发及发行：昆仑游戏</w:t>
      </w:r>
    </w:p>
    <w:p>
      <w:pPr>
        <w:spacing w:line="376" w:lineRule="auto" w:before="43"/>
        <w:ind w:left="154" w:right="557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上线国家和地区：中国大陆、港澳台、东南亚 上线平台：</w:t>
      </w:r>
      <w:r>
        <w:rPr>
          <w:rFonts w:ascii="Times New Roman" w:hAnsi="Times New Roman" w:cs="Times New Roman" w:eastAsia="Times New Roman" w:hint="default"/>
          <w:sz w:val="21"/>
          <w:szCs w:val="21"/>
        </w:rPr>
        <w:t>Android</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after="0" w:line="376" w:lineRule="auto"/>
        <w:jc w:val="left"/>
        <w:rPr>
          <w:rFonts w:ascii="Times New Roman" w:hAnsi="Times New Roman" w:cs="Times New Roman" w:eastAsia="Times New Roman" w:hint="default"/>
          <w:sz w:val="21"/>
          <w:szCs w:val="21"/>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7"/>
          <w:szCs w:val="17"/>
        </w:rPr>
      </w:pPr>
    </w:p>
    <w:p>
      <w:pPr>
        <w:spacing w:line="4260" w:lineRule="exact"/>
        <w:ind w:left="144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4"/>
          <w:sz w:val="20"/>
          <w:szCs w:val="20"/>
        </w:rPr>
        <w:drawing>
          <wp:inline distT="0" distB="0" distL="0" distR="0">
            <wp:extent cx="4487328" cy="2705100"/>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4487328" cy="2705100"/>
                    </a:xfrm>
                    <a:prstGeom prst="rect">
                      <a:avLst/>
                    </a:prstGeom>
                  </pic:spPr>
                </pic:pic>
              </a:graphicData>
            </a:graphic>
          </wp:inline>
        </w:drawing>
      </w:r>
      <w:r>
        <w:rPr>
          <w:rFonts w:ascii="Times New Roman" w:hAnsi="Times New Roman" w:cs="Times New Roman" w:eastAsia="Times New Roman" w:hint="default"/>
          <w:position w:val="-84"/>
          <w:sz w:val="20"/>
          <w:szCs w:val="20"/>
        </w:rPr>
      </w:r>
    </w:p>
    <w:p>
      <w:pPr>
        <w:spacing w:line="240" w:lineRule="auto" w:before="9"/>
        <w:rPr>
          <w:rFonts w:ascii="Times New Roman" w:hAnsi="Times New Roman" w:cs="Times New Roman" w:eastAsia="Times New Roman" w:hint="default"/>
          <w:sz w:val="10"/>
          <w:szCs w:val="10"/>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《武侠外传》</w:t>
      </w:r>
    </w:p>
    <w:p>
      <w:pPr>
        <w:spacing w:line="240" w:lineRule="auto" w:before="4"/>
        <w:rPr>
          <w:rFonts w:ascii="宋体" w:hAnsi="宋体" w:cs="宋体" w:eastAsia="宋体" w:hint="default"/>
          <w:sz w:val="9"/>
          <w:szCs w:val="9"/>
        </w:rPr>
      </w:pPr>
    </w:p>
    <w:p>
      <w:pPr>
        <w:spacing w:line="367" w:lineRule="auto" w:before="35"/>
        <w:ind w:left="154" w:right="641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上线时间：</w:t>
      </w:r>
      <w:r>
        <w:rPr>
          <w:rFonts w:ascii="Times New Roman" w:hAnsi="Times New Roman" w:cs="Times New Roman" w:eastAsia="Times New Roman" w:hint="default"/>
          <w:sz w:val="21"/>
          <w:szCs w:val="21"/>
        </w:rPr>
        <w:t>2014-10-24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w:t>
      </w:r>
      <w:r>
        <w:rPr>
          <w:rFonts w:ascii="Times New Roman" w:hAnsi="Times New Roman" w:cs="Times New Roman" w:eastAsia="Times New Roman" w:hint="default"/>
          <w:sz w:val="21"/>
          <w:szCs w:val="21"/>
        </w:rPr>
        <w:t>ARPG</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研发及发行：昆仑游戏 上线国家和地区：中国大陆、东南亚 上线平台：</w:t>
      </w:r>
      <w:r>
        <w:rPr>
          <w:rFonts w:ascii="Times New Roman" w:hAnsi="Times New Roman" w:cs="Times New Roman" w:eastAsia="Times New Roman" w:hint="default"/>
          <w:sz w:val="21"/>
          <w:szCs w:val="21"/>
        </w:rPr>
        <w:t>Android</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10"/>
        <w:rPr>
          <w:rFonts w:ascii="Times New Roman" w:hAnsi="Times New Roman" w:cs="Times New Roman" w:eastAsia="Times New Roman" w:hint="default"/>
          <w:sz w:val="7"/>
          <w:szCs w:val="7"/>
        </w:rPr>
      </w:pPr>
    </w:p>
    <w:p>
      <w:pPr>
        <w:spacing w:line="5190" w:lineRule="exact"/>
        <w:ind w:left="135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3"/>
          <w:sz w:val="20"/>
          <w:szCs w:val="20"/>
        </w:rPr>
        <w:drawing>
          <wp:inline distT="0" distB="0" distL="0" distR="0">
            <wp:extent cx="4602348" cy="32956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4602348" cy="3295650"/>
                    </a:xfrm>
                    <a:prstGeom prst="rect">
                      <a:avLst/>
                    </a:prstGeom>
                  </pic:spPr>
                </pic:pic>
              </a:graphicData>
            </a:graphic>
          </wp:inline>
        </w:drawing>
      </w:r>
      <w:r>
        <w:rPr>
          <w:rFonts w:ascii="Times New Roman" w:hAnsi="Times New Roman" w:cs="Times New Roman" w:eastAsia="Times New Roman" w:hint="default"/>
          <w:position w:val="-103"/>
          <w:sz w:val="20"/>
          <w:szCs w:val="20"/>
        </w:rPr>
      </w:r>
    </w:p>
    <w:p>
      <w:pPr>
        <w:spacing w:line="357" w:lineRule="auto" w:before="162"/>
        <w:ind w:left="154" w:right="776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《风云三国</w:t>
      </w:r>
      <w:r>
        <w:rPr>
          <w:rFonts w:ascii="Times New Roman" w:hAnsi="Times New Roman" w:cs="Times New Roman" w:eastAsia="Times New Roman" w:hint="default"/>
          <w:sz w:val="21"/>
          <w:szCs w:val="21"/>
        </w:rPr>
        <w:t>2</w:t>
      </w:r>
      <w:r>
        <w:rPr>
          <w:rFonts w:ascii="宋体" w:hAnsi="宋体" w:cs="宋体" w:eastAsia="宋体" w:hint="default"/>
          <w:sz w:val="21"/>
          <w:szCs w:val="21"/>
        </w:rPr>
        <w:t>》 上线时间：</w:t>
      </w:r>
      <w:r>
        <w:rPr>
          <w:rFonts w:ascii="Times New Roman" w:hAnsi="Times New Roman" w:cs="Times New Roman" w:eastAsia="Times New Roman" w:hint="default"/>
          <w:sz w:val="21"/>
          <w:szCs w:val="21"/>
        </w:rPr>
        <w:t>2015-07-30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w:t>
      </w:r>
      <w:r>
        <w:rPr>
          <w:rFonts w:ascii="Times New Roman" w:hAnsi="Times New Roman" w:cs="Times New Roman" w:eastAsia="Times New Roman" w:hint="default"/>
          <w:sz w:val="21"/>
          <w:szCs w:val="21"/>
        </w:rPr>
        <w:t>MOBA</w:t>
      </w:r>
    </w:p>
    <w:p>
      <w:pPr>
        <w:spacing w:after="0" w:line="357" w:lineRule="auto"/>
        <w:jc w:val="left"/>
        <w:rPr>
          <w:rFonts w:ascii="Times New Roman" w:hAnsi="Times New Roman" w:cs="Times New Roman" w:eastAsia="Times New Roman" w:hint="default"/>
          <w:sz w:val="21"/>
          <w:szCs w:val="21"/>
        </w:rPr>
        <w:sectPr>
          <w:pgSz w:w="11910" w:h="16840"/>
          <w:pgMar w:header="747" w:footer="979" w:top="1060" w:bottom="1160" w:left="980" w:right="980"/>
        </w:sectPr>
      </w:pPr>
    </w:p>
    <w:p>
      <w:pPr>
        <w:spacing w:line="240" w:lineRule="auto" w:before="1"/>
        <w:rPr>
          <w:rFonts w:ascii="Times New Roman" w:hAnsi="Times New Roman" w:cs="Times New Roman" w:eastAsia="Times New Roman" w:hint="default"/>
          <w:sz w:val="28"/>
          <w:szCs w:val="28"/>
        </w:rPr>
      </w:pPr>
    </w:p>
    <w:p>
      <w:pPr>
        <w:spacing w:line="376" w:lineRule="auto" w:before="35"/>
        <w:ind w:left="154" w:right="725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研发及发行：昆仑游戏 上线国家和地区：中国大陆 上线平台：</w:t>
      </w:r>
      <w:r>
        <w:rPr>
          <w:rFonts w:ascii="Times New Roman" w:hAnsi="Times New Roman" w:cs="Times New Roman" w:eastAsia="Times New Roman" w:hint="default"/>
          <w:sz w:val="21"/>
          <w:szCs w:val="21"/>
        </w:rPr>
        <w:t>Android</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1"/>
        <w:rPr>
          <w:rFonts w:ascii="Times New Roman" w:hAnsi="Times New Roman" w:cs="Times New Roman" w:eastAsia="Times New Roman" w:hint="default"/>
          <w:sz w:val="4"/>
          <w:szCs w:val="4"/>
        </w:rPr>
      </w:pPr>
    </w:p>
    <w:p>
      <w:pPr>
        <w:spacing w:line="4635" w:lineRule="exact"/>
        <w:ind w:left="100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2"/>
          <w:sz w:val="20"/>
          <w:szCs w:val="20"/>
        </w:rPr>
        <w:drawing>
          <wp:inline distT="0" distB="0" distL="0" distR="0">
            <wp:extent cx="5039177" cy="2943225"/>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5039177" cy="2943225"/>
                    </a:xfrm>
                    <a:prstGeom prst="rect">
                      <a:avLst/>
                    </a:prstGeom>
                  </pic:spPr>
                </pic:pic>
              </a:graphicData>
            </a:graphic>
          </wp:inline>
        </w:drawing>
      </w:r>
      <w:r>
        <w:rPr>
          <w:rFonts w:ascii="Times New Roman" w:hAnsi="Times New Roman" w:cs="Times New Roman" w:eastAsia="Times New Roman" w:hint="default"/>
          <w:position w:val="-92"/>
          <w:sz w:val="20"/>
          <w:szCs w:val="20"/>
        </w:rPr>
      </w:r>
    </w:p>
    <w:p>
      <w:pPr>
        <w:spacing w:line="369" w:lineRule="auto" w:before="127"/>
        <w:ind w:left="154" w:right="7690" w:firstLine="0"/>
        <w:jc w:val="left"/>
        <w:rPr>
          <w:rFonts w:ascii="宋体" w:hAnsi="宋体" w:cs="宋体" w:eastAsia="宋体" w:hint="default"/>
          <w:sz w:val="21"/>
          <w:szCs w:val="21"/>
        </w:rPr>
      </w:pPr>
      <w:r>
        <w:rPr>
          <w:rFonts w:ascii="宋体" w:hAnsi="宋体" w:cs="宋体" w:eastAsia="宋体" w:hint="default"/>
          <w:sz w:val="21"/>
          <w:szCs w:val="21"/>
        </w:rPr>
        <w:t>《艾尔战记》 上线时间：</w:t>
      </w:r>
      <w:r>
        <w:rPr>
          <w:rFonts w:ascii="Times New Roman" w:hAnsi="Times New Roman" w:cs="Times New Roman" w:eastAsia="Times New Roman" w:hint="default"/>
          <w:sz w:val="21"/>
          <w:szCs w:val="21"/>
        </w:rPr>
        <w:t>2016-01-14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游戏类型：萌版格斗 研发及发行：昆仑游戏</w:t>
      </w:r>
    </w:p>
    <w:p>
      <w:pPr>
        <w:spacing w:line="376" w:lineRule="auto" w:before="43"/>
        <w:ind w:left="154" w:right="452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预计上线国家和地区：中国大陆、港澳台、东南亚、欧美 上线平台：</w:t>
      </w:r>
      <w:r>
        <w:rPr>
          <w:rFonts w:ascii="Times New Roman" w:hAnsi="Times New Roman" w:cs="Times New Roman" w:eastAsia="Times New Roman" w:hint="default"/>
          <w:sz w:val="21"/>
          <w:szCs w:val="21"/>
        </w:rPr>
        <w:t>Android</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after="0" w:line="376" w:lineRule="auto"/>
        <w:jc w:val="left"/>
        <w:rPr>
          <w:rFonts w:ascii="Times New Roman" w:hAnsi="Times New Roman" w:cs="Times New Roman" w:eastAsia="Times New Roman" w:hint="default"/>
          <w:sz w:val="21"/>
          <w:szCs w:val="21"/>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4"/>
          <w:szCs w:val="14"/>
        </w:rPr>
      </w:pPr>
    </w:p>
    <w:p>
      <w:pPr>
        <w:spacing w:line="5259" w:lineRule="exact"/>
        <w:ind w:left="99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4"/>
          <w:sz w:val="20"/>
          <w:szCs w:val="20"/>
        </w:rPr>
        <w:drawing>
          <wp:inline distT="0" distB="0" distL="0" distR="0">
            <wp:extent cx="5050133" cy="3339655"/>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5050133" cy="3339655"/>
                    </a:xfrm>
                    <a:prstGeom prst="rect">
                      <a:avLst/>
                    </a:prstGeom>
                  </pic:spPr>
                </pic:pic>
              </a:graphicData>
            </a:graphic>
          </wp:inline>
        </w:drawing>
      </w:r>
      <w:r>
        <w:rPr>
          <w:rFonts w:ascii="Times New Roman" w:hAnsi="Times New Roman" w:cs="Times New Roman" w:eastAsia="Times New Roman" w:hint="default"/>
          <w:position w:val="-104"/>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5"/>
          <w:szCs w:val="25"/>
        </w:rPr>
      </w:pPr>
    </w:p>
    <w:p>
      <w:pPr>
        <w:spacing w:line="357" w:lineRule="auto" w:before="35"/>
        <w:ind w:left="574" w:right="103"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）代理发行精品游戏 </w:t>
      </w:r>
      <w:r>
        <w:rPr>
          <w:rFonts w:ascii="宋体" w:hAnsi="宋体" w:cs="宋体" w:eastAsia="宋体" w:hint="default"/>
          <w:spacing w:val="-1"/>
          <w:sz w:val="21"/>
          <w:szCs w:val="21"/>
        </w:rPr>
        <w:t>报告期内，公司不断扩大和深化与全球一流游戏厂商的合作伙伴关系。面对国内市场，公司成功引进</w:t>
      </w:r>
    </w:p>
    <w:p>
      <w:pPr>
        <w:spacing w:line="225" w:lineRule="exact" w:before="0"/>
        <w:ind w:left="154" w:right="103" w:firstLine="0"/>
        <w:jc w:val="left"/>
        <w:rPr>
          <w:rFonts w:ascii="宋体" w:hAnsi="宋体" w:cs="宋体" w:eastAsia="宋体" w:hint="default"/>
          <w:sz w:val="21"/>
          <w:szCs w:val="21"/>
        </w:rPr>
      </w:pPr>
      <w:r>
        <w:rPr>
          <w:rFonts w:ascii="宋体" w:hAnsi="宋体" w:cs="宋体" w:eastAsia="宋体" w:hint="default"/>
          <w:sz w:val="21"/>
          <w:szCs w:val="21"/>
        </w:rPr>
        <w:t>了芬兰</w:t>
      </w:r>
      <w:r>
        <w:rPr>
          <w:rFonts w:ascii="Times New Roman" w:hAnsi="Times New Roman" w:cs="Times New Roman" w:eastAsia="Times New Roman" w:hint="default"/>
          <w:sz w:val="21"/>
          <w:szCs w:val="21"/>
        </w:rPr>
        <w:t>Supercell</w:t>
      </w:r>
      <w:r>
        <w:rPr>
          <w:rFonts w:ascii="宋体" w:hAnsi="宋体" w:cs="宋体" w:eastAsia="宋体" w:hint="default"/>
          <w:sz w:val="21"/>
          <w:szCs w:val="21"/>
        </w:rPr>
        <w:t>公司开发的经典策略游戏《部落冲突》、芬兰</w:t>
      </w:r>
      <w:r>
        <w:rPr>
          <w:rFonts w:ascii="Times New Roman" w:hAnsi="Times New Roman" w:cs="Times New Roman" w:eastAsia="Times New Roman" w:hint="default"/>
          <w:sz w:val="21"/>
          <w:szCs w:val="21"/>
        </w:rPr>
        <w:t>Rovio</w:t>
      </w:r>
      <w:r>
        <w:rPr>
          <w:rFonts w:ascii="宋体" w:hAnsi="宋体" w:cs="宋体" w:eastAsia="宋体" w:hint="default"/>
          <w:sz w:val="21"/>
          <w:szCs w:val="21"/>
        </w:rPr>
        <w:t>公司开发的休闲类经典续作《愤怒的小</w:t>
      </w:r>
    </w:p>
    <w:p>
      <w:pPr>
        <w:spacing w:line="261" w:lineRule="auto" w:before="21"/>
        <w:ind w:left="154" w:right="103" w:firstLine="0"/>
        <w:jc w:val="left"/>
        <w:rPr>
          <w:rFonts w:ascii="宋体" w:hAnsi="宋体" w:cs="宋体" w:eastAsia="宋体" w:hint="default"/>
          <w:sz w:val="21"/>
          <w:szCs w:val="21"/>
        </w:rPr>
      </w:pPr>
      <w:r>
        <w:rPr>
          <w:rFonts w:ascii="宋体" w:hAnsi="宋体" w:cs="宋体" w:eastAsia="宋体" w:hint="default"/>
          <w:spacing w:val="-5"/>
          <w:sz w:val="21"/>
          <w:szCs w:val="21"/>
        </w:rPr>
        <w:t>鸟</w:t>
      </w: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》、美国</w:t>
      </w:r>
      <w:r>
        <w:rPr>
          <w:rFonts w:ascii="Times New Roman" w:hAnsi="Times New Roman" w:cs="Times New Roman" w:eastAsia="Times New Roman" w:hint="default"/>
          <w:spacing w:val="-5"/>
          <w:sz w:val="21"/>
          <w:szCs w:val="21"/>
        </w:rPr>
        <w:t>Riot </w:t>
      </w:r>
      <w:r>
        <w:rPr>
          <w:rFonts w:ascii="Times New Roman" w:hAnsi="Times New Roman" w:cs="Times New Roman" w:eastAsia="Times New Roman" w:hint="default"/>
          <w:spacing w:val="-3"/>
          <w:sz w:val="21"/>
          <w:szCs w:val="21"/>
        </w:rPr>
        <w:t>Games</w:t>
      </w:r>
      <w:r>
        <w:rPr>
          <w:rFonts w:ascii="宋体" w:hAnsi="宋体" w:cs="宋体" w:eastAsia="宋体" w:hint="default"/>
          <w:spacing w:val="-3"/>
          <w:sz w:val="21"/>
          <w:szCs w:val="21"/>
        </w:rPr>
        <w:t>公司的首款移动终端游戏《英雄联盟之魄罗快跑》、美国</w:t>
      </w:r>
      <w:r>
        <w:rPr>
          <w:rFonts w:ascii="Times New Roman" w:hAnsi="Times New Roman" w:cs="Times New Roman" w:eastAsia="Times New Roman" w:hint="default"/>
          <w:spacing w:val="-3"/>
          <w:sz w:val="21"/>
          <w:szCs w:val="21"/>
        </w:rPr>
        <w:t>EA</w:t>
      </w:r>
      <w:r>
        <w:rPr>
          <w:rFonts w:ascii="宋体" w:hAnsi="宋体" w:cs="宋体" w:eastAsia="宋体" w:hint="default"/>
          <w:spacing w:val="-3"/>
          <w:sz w:val="21"/>
          <w:szCs w:val="21"/>
        </w:rPr>
        <w:t>公司授权的赛车类《极</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品飞车：最高通缉</w:t>
      </w:r>
      <w:r>
        <w:rPr>
          <w:rFonts w:ascii="Times New Roman" w:hAnsi="Times New Roman" w:cs="Times New Roman" w:eastAsia="Times New Roman" w:hint="default"/>
          <w:sz w:val="21"/>
          <w:szCs w:val="21"/>
        </w:rPr>
        <w:t>2015</w:t>
      </w:r>
      <w:r>
        <w:rPr>
          <w:rFonts w:ascii="宋体" w:hAnsi="宋体" w:cs="宋体" w:eastAsia="宋体" w:hint="default"/>
          <w:sz w:val="21"/>
          <w:szCs w:val="21"/>
        </w:rPr>
        <w:t>》、美国 </w:t>
      </w:r>
      <w:r>
        <w:rPr>
          <w:rFonts w:ascii="Times New Roman" w:hAnsi="Times New Roman" w:cs="Times New Roman" w:eastAsia="Times New Roman" w:hint="default"/>
          <w:sz w:val="21"/>
          <w:szCs w:val="21"/>
        </w:rPr>
        <w:t>Big Fish</w:t>
      </w:r>
      <w:r>
        <w:rPr>
          <w:rFonts w:ascii="Times New Roman" w:hAnsi="Times New Roman" w:cs="Times New Roman" w:eastAsia="Times New Roman" w:hint="default"/>
          <w:spacing w:val="-23"/>
          <w:sz w:val="21"/>
          <w:szCs w:val="21"/>
        </w:rPr>
        <w:t> </w:t>
      </w:r>
      <w:r>
        <w:rPr>
          <w:rFonts w:ascii="Times New Roman" w:hAnsi="Times New Roman" w:cs="Times New Roman" w:eastAsia="Times New Roman" w:hint="default"/>
          <w:sz w:val="21"/>
          <w:szCs w:val="21"/>
        </w:rPr>
        <w:t>Games</w:t>
      </w:r>
      <w:r>
        <w:rPr>
          <w:rFonts w:ascii="宋体" w:hAnsi="宋体" w:cs="宋体" w:eastAsia="宋体" w:hint="default"/>
          <w:sz w:val="21"/>
          <w:szCs w:val="21"/>
        </w:rPr>
        <w:t>公司开发的旅行题材三消类游戏《糖糖大世界》等；在海 外市场，公司成功输出了多部国产精品大作，主要产品包括由韩国网禅《奇迹</w:t>
      </w:r>
      <w:r>
        <w:rPr>
          <w:rFonts w:ascii="Times New Roman" w:hAnsi="Times New Roman" w:cs="Times New Roman" w:eastAsia="Times New Roman" w:hint="default"/>
          <w:sz w:val="21"/>
          <w:szCs w:val="21"/>
        </w:rPr>
        <w:t>MU</w:t>
      </w:r>
      <w:r>
        <w:rPr>
          <w:rFonts w:ascii="宋体" w:hAnsi="宋体" w:cs="宋体" w:eastAsia="宋体" w:hint="default"/>
          <w:sz w:val="21"/>
          <w:szCs w:val="21"/>
        </w:rPr>
        <w:t>》正版授权并由北京天 </w:t>
      </w:r>
      <w:r>
        <w:rPr>
          <w:rFonts w:ascii="宋体" w:hAnsi="宋体" w:cs="宋体" w:eastAsia="宋体" w:hint="default"/>
          <w:spacing w:val="-2"/>
          <w:sz w:val="21"/>
          <w:szCs w:val="21"/>
        </w:rPr>
        <w:t>马时空与上海恺英网络联合开发的</w:t>
      </w:r>
      <w:r>
        <w:rPr>
          <w:rFonts w:ascii="Times New Roman" w:hAnsi="Times New Roman" w:cs="Times New Roman" w:eastAsia="Times New Roman" w:hint="default"/>
          <w:spacing w:val="-2"/>
          <w:sz w:val="21"/>
          <w:szCs w:val="21"/>
        </w:rPr>
        <w:t>ARPG</w:t>
      </w:r>
      <w:r>
        <w:rPr>
          <w:rFonts w:ascii="宋体" w:hAnsi="宋体" w:cs="宋体" w:eastAsia="宋体" w:hint="default"/>
          <w:spacing w:val="-2"/>
          <w:sz w:val="21"/>
          <w:szCs w:val="21"/>
        </w:rPr>
        <w:t>类《全民奇迹》，以及韩国地区的《太极熊猫》、《乱斗西游》，</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日本地区的《血族萝莉》、《战神黎明》，港澳台地区的《三国之刃》、《太极熊猫》、《影之刃》等， 东南亚地区的《天龙八部》等，共计近二十款产品。</w:t>
      </w:r>
    </w:p>
    <w:p>
      <w:pPr>
        <w:spacing w:line="362" w:lineRule="auto" w:before="138"/>
        <w:ind w:left="154" w:right="7120" w:firstLine="0"/>
        <w:jc w:val="left"/>
        <w:rPr>
          <w:rFonts w:ascii="宋体" w:hAnsi="宋体" w:cs="宋体" w:eastAsia="宋体" w:hint="default"/>
          <w:sz w:val="21"/>
          <w:szCs w:val="21"/>
        </w:rPr>
      </w:pPr>
      <w:r>
        <w:rPr>
          <w:rFonts w:ascii="宋体" w:hAnsi="宋体" w:cs="宋体" w:eastAsia="宋体" w:hint="default"/>
          <w:sz w:val="21"/>
          <w:szCs w:val="21"/>
        </w:rPr>
        <w:t>《全民奇迹》 上线时间：</w:t>
      </w:r>
      <w:r>
        <w:rPr>
          <w:rFonts w:ascii="Times New Roman" w:hAnsi="Times New Roman" w:cs="Times New Roman" w:eastAsia="Times New Roman" w:hint="default"/>
          <w:sz w:val="21"/>
          <w:szCs w:val="21"/>
        </w:rPr>
        <w:t>2015-04 </w:t>
      </w:r>
      <w:r>
        <w:rPr>
          <w:rFonts w:ascii="宋体" w:hAnsi="宋体" w:cs="宋体" w:eastAsia="宋体" w:hint="default"/>
          <w:sz w:val="21"/>
          <w:szCs w:val="21"/>
        </w:rPr>
        <w:t>游戏类型：</w:t>
      </w:r>
      <w:r>
        <w:rPr>
          <w:rFonts w:ascii="Times New Roman" w:hAnsi="Times New Roman" w:cs="Times New Roman" w:eastAsia="Times New Roman" w:hint="default"/>
          <w:sz w:val="21"/>
          <w:szCs w:val="21"/>
        </w:rPr>
        <w:t>ARPG</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研发商：天马时空、恺英网络</w:t>
      </w:r>
    </w:p>
    <w:p>
      <w:pPr>
        <w:spacing w:line="376" w:lineRule="auto" w:before="50"/>
        <w:ind w:left="154" w:right="668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上线国家和地区：港澳台、东南亚 上线平台：</w:t>
      </w:r>
      <w:r>
        <w:rPr>
          <w:rFonts w:ascii="Times New Roman" w:hAnsi="Times New Roman" w:cs="Times New Roman" w:eastAsia="Times New Roman" w:hint="default"/>
          <w:sz w:val="21"/>
          <w:szCs w:val="21"/>
        </w:rPr>
        <w:t>Android</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after="0" w:line="376" w:lineRule="auto"/>
        <w:jc w:val="left"/>
        <w:rPr>
          <w:rFonts w:ascii="Times New Roman" w:hAnsi="Times New Roman" w:cs="Times New Roman" w:eastAsia="Times New Roman" w:hint="default"/>
          <w:sz w:val="21"/>
          <w:szCs w:val="21"/>
        </w:rPr>
        <w:sectPr>
          <w:pgSz w:w="11910" w:h="16840"/>
          <w:pgMar w:header="747" w:footer="979" w:top="1060" w:bottom="1160" w:left="980" w:right="92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0"/>
          <w:szCs w:val="20"/>
        </w:rPr>
      </w:pPr>
    </w:p>
    <w:p>
      <w:pPr>
        <w:spacing w:line="4800" w:lineRule="exact"/>
        <w:ind w:left="7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5"/>
          <w:sz w:val="20"/>
          <w:szCs w:val="20"/>
        </w:rPr>
        <w:drawing>
          <wp:inline distT="0" distB="0" distL="0" distR="0">
            <wp:extent cx="5401800" cy="3048000"/>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5401800" cy="3048000"/>
                    </a:xfrm>
                    <a:prstGeom prst="rect">
                      <a:avLst/>
                    </a:prstGeom>
                  </pic:spPr>
                </pic:pic>
              </a:graphicData>
            </a:graphic>
          </wp:inline>
        </w:drawing>
      </w:r>
      <w:r>
        <w:rPr>
          <w:rFonts w:ascii="Times New Roman" w:hAnsi="Times New Roman" w:cs="Times New Roman" w:eastAsia="Times New Roman" w:hint="default"/>
          <w:position w:val="-95"/>
          <w:sz w:val="20"/>
          <w:szCs w:val="20"/>
        </w:rPr>
      </w:r>
    </w:p>
    <w:p>
      <w:pPr>
        <w:spacing w:line="240" w:lineRule="auto" w:before="5"/>
        <w:rPr>
          <w:rFonts w:ascii="Times New Roman" w:hAnsi="Times New Roman" w:cs="Times New Roman" w:eastAsia="Times New Roman" w:hint="default"/>
          <w:sz w:val="14"/>
          <w:szCs w:val="14"/>
        </w:rPr>
      </w:pPr>
    </w:p>
    <w:p>
      <w:pPr>
        <w:spacing w:line="369" w:lineRule="auto" w:before="35"/>
        <w:ind w:left="154" w:right="727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《部落冲突》 上线时间：</w:t>
      </w:r>
      <w:r>
        <w:rPr>
          <w:rFonts w:ascii="Times New Roman" w:hAnsi="Times New Roman" w:cs="Times New Roman" w:eastAsia="Times New Roman" w:hint="default"/>
          <w:sz w:val="21"/>
          <w:szCs w:val="21"/>
        </w:rPr>
        <w:t>2015-09-24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游戏类型：策略类 研发商：</w:t>
      </w:r>
      <w:r>
        <w:rPr>
          <w:rFonts w:ascii="Times New Roman" w:hAnsi="Times New Roman" w:cs="Times New Roman" w:eastAsia="Times New Roman" w:hint="default"/>
          <w:sz w:val="21"/>
          <w:szCs w:val="21"/>
        </w:rPr>
        <w:t>Supercell </w:t>
      </w:r>
      <w:r>
        <w:rPr>
          <w:rFonts w:ascii="宋体" w:hAnsi="宋体" w:cs="宋体" w:eastAsia="宋体" w:hint="default"/>
          <w:sz w:val="21"/>
          <w:szCs w:val="21"/>
        </w:rPr>
        <w:t>上线国家和地区：中国大陆 上线平台：</w:t>
      </w:r>
      <w:r>
        <w:rPr>
          <w:rFonts w:ascii="Times New Roman" w:hAnsi="Times New Roman" w:cs="Times New Roman" w:eastAsia="Times New Roman" w:hint="default"/>
          <w:sz w:val="21"/>
          <w:szCs w:val="21"/>
        </w:rPr>
        <w:t>Android</w:t>
      </w:r>
    </w:p>
    <w:p>
      <w:pPr>
        <w:spacing w:line="240" w:lineRule="auto" w:before="9"/>
        <w:rPr>
          <w:rFonts w:ascii="Times New Roman" w:hAnsi="Times New Roman" w:cs="Times New Roman" w:eastAsia="Times New Roman" w:hint="default"/>
          <w:sz w:val="7"/>
          <w:szCs w:val="7"/>
        </w:rPr>
      </w:pPr>
    </w:p>
    <w:p>
      <w:pPr>
        <w:spacing w:line="4560" w:lineRule="exact"/>
        <w:ind w:left="78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0"/>
          <w:sz w:val="20"/>
          <w:szCs w:val="20"/>
        </w:rPr>
        <w:drawing>
          <wp:inline distT="0" distB="0" distL="0" distR="0">
            <wp:extent cx="5315480" cy="2895600"/>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9" cstate="print"/>
                    <a:stretch>
                      <a:fillRect/>
                    </a:stretch>
                  </pic:blipFill>
                  <pic:spPr>
                    <a:xfrm>
                      <a:off x="0" y="0"/>
                      <a:ext cx="5315480" cy="2895600"/>
                    </a:xfrm>
                    <a:prstGeom prst="rect">
                      <a:avLst/>
                    </a:prstGeom>
                  </pic:spPr>
                </pic:pic>
              </a:graphicData>
            </a:graphic>
          </wp:inline>
        </w:drawing>
      </w:r>
      <w:r>
        <w:rPr>
          <w:rFonts w:ascii="Times New Roman" w:hAnsi="Times New Roman" w:cs="Times New Roman" w:eastAsia="Times New Roman" w:hint="default"/>
          <w:position w:val="-90"/>
          <w:sz w:val="20"/>
          <w:szCs w:val="20"/>
        </w:rPr>
      </w:r>
    </w:p>
    <w:p>
      <w:pPr>
        <w:spacing w:line="357" w:lineRule="auto" w:before="166"/>
        <w:ind w:left="154" w:right="7760" w:firstLine="0"/>
        <w:jc w:val="left"/>
        <w:rPr>
          <w:rFonts w:ascii="宋体" w:hAnsi="宋体" w:cs="宋体" w:eastAsia="宋体" w:hint="default"/>
          <w:sz w:val="21"/>
          <w:szCs w:val="21"/>
        </w:rPr>
      </w:pPr>
      <w:r>
        <w:rPr>
          <w:rFonts w:ascii="宋体" w:hAnsi="宋体" w:cs="宋体" w:eastAsia="宋体" w:hint="default"/>
          <w:sz w:val="21"/>
          <w:szCs w:val="21"/>
        </w:rPr>
        <w:t>《愤怒的小鸟</w:t>
      </w:r>
      <w:r>
        <w:rPr>
          <w:rFonts w:ascii="Times New Roman" w:hAnsi="Times New Roman" w:cs="Times New Roman" w:eastAsia="Times New Roman" w:hint="default"/>
          <w:sz w:val="21"/>
          <w:szCs w:val="21"/>
        </w:rPr>
        <w:t>2</w:t>
      </w:r>
      <w:r>
        <w:rPr>
          <w:rFonts w:ascii="宋体" w:hAnsi="宋体" w:cs="宋体" w:eastAsia="宋体" w:hint="default"/>
          <w:sz w:val="21"/>
          <w:szCs w:val="21"/>
        </w:rPr>
        <w:t>》 上线时间：</w:t>
      </w:r>
      <w:r>
        <w:rPr>
          <w:rFonts w:ascii="Times New Roman" w:hAnsi="Times New Roman" w:cs="Times New Roman" w:eastAsia="Times New Roman" w:hint="default"/>
          <w:sz w:val="21"/>
          <w:szCs w:val="21"/>
        </w:rPr>
        <w:t>2015-07-30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游戏类型：射击</w:t>
      </w:r>
    </w:p>
    <w:p>
      <w:pPr>
        <w:spacing w:after="0" w:line="357" w:lineRule="auto"/>
        <w:jc w:val="left"/>
        <w:rPr>
          <w:rFonts w:ascii="宋体" w:hAnsi="宋体" w:cs="宋体" w:eastAsia="宋体" w:hint="default"/>
          <w:sz w:val="21"/>
          <w:szCs w:val="21"/>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67" w:lineRule="auto" w:before="35"/>
        <w:ind w:left="154" w:right="725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研发商：</w:t>
      </w:r>
      <w:r>
        <w:rPr>
          <w:rFonts w:ascii="Times New Roman" w:hAnsi="Times New Roman" w:cs="Times New Roman" w:eastAsia="Times New Roman" w:hint="default"/>
          <w:sz w:val="21"/>
          <w:szCs w:val="21"/>
        </w:rPr>
        <w:t>Rovio </w:t>
      </w:r>
      <w:r>
        <w:rPr>
          <w:rFonts w:ascii="宋体" w:hAnsi="宋体" w:cs="宋体" w:eastAsia="宋体" w:hint="default"/>
          <w:sz w:val="21"/>
          <w:szCs w:val="21"/>
        </w:rPr>
        <w:t>上线国家和地区：中国大陆 上线平台：</w:t>
      </w:r>
      <w:r>
        <w:rPr>
          <w:rFonts w:ascii="Times New Roman" w:hAnsi="Times New Roman" w:cs="Times New Roman" w:eastAsia="Times New Roman" w:hint="default"/>
          <w:sz w:val="21"/>
          <w:szCs w:val="21"/>
        </w:rPr>
        <w:t>Android</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5"/>
        <w:rPr>
          <w:rFonts w:ascii="Times New Roman" w:hAnsi="Times New Roman" w:cs="Times New Roman" w:eastAsia="Times New Roman" w:hint="default"/>
          <w:sz w:val="14"/>
          <w:szCs w:val="14"/>
        </w:rPr>
      </w:pPr>
    </w:p>
    <w:p>
      <w:pPr>
        <w:spacing w:line="4725" w:lineRule="exact"/>
        <w:ind w:left="78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4"/>
          <w:sz w:val="20"/>
          <w:szCs w:val="20"/>
        </w:rPr>
        <w:drawing>
          <wp:inline distT="0" distB="0" distL="0" distR="0">
            <wp:extent cx="5314315" cy="3000375"/>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5314315" cy="3000375"/>
                    </a:xfrm>
                    <a:prstGeom prst="rect">
                      <a:avLst/>
                    </a:prstGeom>
                  </pic:spPr>
                </pic:pic>
              </a:graphicData>
            </a:graphic>
          </wp:inline>
        </w:drawing>
      </w:r>
      <w:r>
        <w:rPr>
          <w:rFonts w:ascii="Times New Roman" w:hAnsi="Times New Roman" w:cs="Times New Roman" w:eastAsia="Times New Roman" w:hint="default"/>
          <w:position w:val="-94"/>
          <w:sz w:val="20"/>
          <w:szCs w:val="20"/>
        </w:rPr>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357" w:lineRule="auto" w:before="166"/>
        <w:ind w:left="154" w:right="7060" w:firstLine="0"/>
        <w:jc w:val="left"/>
        <w:rPr>
          <w:rFonts w:ascii="宋体" w:hAnsi="宋体" w:cs="宋体" w:eastAsia="宋体" w:hint="default"/>
          <w:sz w:val="21"/>
          <w:szCs w:val="21"/>
        </w:rPr>
      </w:pPr>
      <w:r>
        <w:rPr>
          <w:rFonts w:ascii="宋体" w:hAnsi="宋体" w:cs="宋体" w:eastAsia="宋体" w:hint="default"/>
          <w:sz w:val="21"/>
          <w:szCs w:val="21"/>
        </w:rPr>
        <w:t>《极品飞车：最高通缉</w:t>
      </w:r>
      <w:r>
        <w:rPr>
          <w:rFonts w:ascii="Times New Roman" w:hAnsi="Times New Roman" w:cs="Times New Roman" w:eastAsia="Times New Roman" w:hint="default"/>
          <w:sz w:val="21"/>
          <w:szCs w:val="21"/>
        </w:rPr>
        <w:t>2015</w:t>
      </w:r>
      <w:r>
        <w:rPr>
          <w:rFonts w:ascii="宋体" w:hAnsi="宋体" w:cs="宋体" w:eastAsia="宋体" w:hint="default"/>
          <w:sz w:val="21"/>
          <w:szCs w:val="21"/>
        </w:rPr>
        <w:t>》 上线时间：</w:t>
      </w:r>
      <w:r>
        <w:rPr>
          <w:rFonts w:ascii="Times New Roman" w:hAnsi="Times New Roman" w:cs="Times New Roman" w:eastAsia="Times New Roman" w:hint="default"/>
          <w:sz w:val="21"/>
          <w:szCs w:val="21"/>
        </w:rPr>
        <w:t>2015-07-03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游戏类型：竞速</w:t>
      </w:r>
    </w:p>
    <w:p>
      <w:pPr>
        <w:spacing w:line="367" w:lineRule="auto" w:before="54"/>
        <w:ind w:left="154" w:right="725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研发商：</w:t>
      </w:r>
      <w:r>
        <w:rPr>
          <w:rFonts w:ascii="Times New Roman" w:hAnsi="Times New Roman" w:cs="Times New Roman" w:eastAsia="Times New Roman" w:hint="default"/>
          <w:sz w:val="21"/>
          <w:szCs w:val="21"/>
        </w:rPr>
        <w:t>EA</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上线国家和地区：中国大陆 上线平台：</w:t>
      </w:r>
      <w:r>
        <w:rPr>
          <w:rFonts w:ascii="Times New Roman" w:hAnsi="Times New Roman" w:cs="Times New Roman" w:eastAsia="Times New Roman" w:hint="default"/>
          <w:sz w:val="21"/>
          <w:szCs w:val="21"/>
        </w:rPr>
        <w:t>Android</w:t>
      </w:r>
    </w:p>
    <w:p>
      <w:pPr>
        <w:spacing w:after="0" w:line="367" w:lineRule="auto"/>
        <w:jc w:val="left"/>
        <w:rPr>
          <w:rFonts w:ascii="Times New Roman" w:hAnsi="Times New Roman" w:cs="Times New Roman" w:eastAsia="Times New Roman" w:hint="default"/>
          <w:sz w:val="21"/>
          <w:szCs w:val="21"/>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9"/>
          <w:szCs w:val="19"/>
        </w:rPr>
      </w:pPr>
    </w:p>
    <w:p>
      <w:pPr>
        <w:spacing w:line="5445" w:lineRule="exact"/>
        <w:ind w:left="78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8"/>
          <w:sz w:val="20"/>
          <w:szCs w:val="20"/>
        </w:rPr>
        <w:drawing>
          <wp:inline distT="0" distB="0" distL="0" distR="0">
            <wp:extent cx="5314314" cy="3457575"/>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5314314" cy="3457575"/>
                    </a:xfrm>
                    <a:prstGeom prst="rect">
                      <a:avLst/>
                    </a:prstGeom>
                  </pic:spPr>
                </pic:pic>
              </a:graphicData>
            </a:graphic>
          </wp:inline>
        </w:drawing>
      </w:r>
      <w:r>
        <w:rPr>
          <w:rFonts w:ascii="Times New Roman" w:hAnsi="Times New Roman" w:cs="Times New Roman" w:eastAsia="Times New Roman" w:hint="default"/>
          <w:position w:val="-108"/>
          <w:sz w:val="20"/>
          <w:szCs w:val="20"/>
        </w:rPr>
      </w:r>
    </w:p>
    <w:p>
      <w:pPr>
        <w:spacing w:line="240" w:lineRule="auto" w:before="7"/>
        <w:rPr>
          <w:rFonts w:ascii="Times New Roman" w:hAnsi="Times New Roman" w:cs="Times New Roman" w:eastAsia="Times New Roman" w:hint="default"/>
          <w:sz w:val="13"/>
          <w:szCs w:val="13"/>
        </w:rPr>
      </w:pPr>
    </w:p>
    <w:p>
      <w:pPr>
        <w:spacing w:line="369" w:lineRule="auto" w:before="35"/>
        <w:ind w:left="154" w:right="727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《糖糖大世界》 上线时间：</w:t>
      </w:r>
      <w:r>
        <w:rPr>
          <w:rFonts w:ascii="Times New Roman" w:hAnsi="Times New Roman" w:cs="Times New Roman" w:eastAsia="Times New Roman" w:hint="default"/>
          <w:sz w:val="21"/>
          <w:szCs w:val="21"/>
        </w:rPr>
        <w:t>2015-08-18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游戏类型：旅行题材三消类 研发商：</w:t>
      </w:r>
      <w:r>
        <w:rPr>
          <w:rFonts w:ascii="Times New Roman" w:hAnsi="Times New Roman" w:cs="Times New Roman" w:eastAsia="Times New Roman" w:hint="default"/>
          <w:sz w:val="21"/>
          <w:szCs w:val="21"/>
        </w:rPr>
        <w:t>Big Fish</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Games</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上线国家和地区：中国大陆 上线平台：</w:t>
      </w:r>
      <w:r>
        <w:rPr>
          <w:rFonts w:ascii="Times New Roman" w:hAnsi="Times New Roman" w:cs="Times New Roman" w:eastAsia="Times New Roman" w:hint="default"/>
          <w:sz w:val="21"/>
          <w:szCs w:val="21"/>
        </w:rPr>
        <w:t>Android</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after="0" w:line="369" w:lineRule="auto"/>
        <w:jc w:val="left"/>
        <w:rPr>
          <w:rFonts w:ascii="Times New Roman" w:hAnsi="Times New Roman" w:cs="Times New Roman" w:eastAsia="Times New Roman" w:hint="default"/>
          <w:sz w:val="21"/>
          <w:szCs w:val="21"/>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4"/>
          <w:szCs w:val="24"/>
        </w:rPr>
      </w:pPr>
    </w:p>
    <w:p>
      <w:pPr>
        <w:spacing w:line="5970" w:lineRule="exact"/>
        <w:ind w:left="100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8"/>
          <w:sz w:val="20"/>
          <w:szCs w:val="20"/>
        </w:rPr>
        <w:drawing>
          <wp:inline distT="0" distB="0" distL="0" distR="0">
            <wp:extent cx="5039778" cy="3790950"/>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2" cstate="print"/>
                    <a:stretch>
                      <a:fillRect/>
                    </a:stretch>
                  </pic:blipFill>
                  <pic:spPr>
                    <a:xfrm>
                      <a:off x="0" y="0"/>
                      <a:ext cx="5039778" cy="3790950"/>
                    </a:xfrm>
                    <a:prstGeom prst="rect">
                      <a:avLst/>
                    </a:prstGeom>
                  </pic:spPr>
                </pic:pic>
              </a:graphicData>
            </a:graphic>
          </wp:inline>
        </w:drawing>
      </w:r>
      <w:r>
        <w:rPr>
          <w:rFonts w:ascii="Times New Roman" w:hAnsi="Times New Roman" w:cs="Times New Roman" w:eastAsia="Times New Roman" w:hint="default"/>
          <w:position w:val="-118"/>
          <w:sz w:val="20"/>
          <w:szCs w:val="20"/>
        </w:rPr>
      </w:r>
    </w:p>
    <w:p>
      <w:pPr>
        <w:spacing w:line="240" w:lineRule="auto" w:before="9"/>
        <w:rPr>
          <w:rFonts w:ascii="Times New Roman" w:hAnsi="Times New Roman" w:cs="Times New Roman" w:eastAsia="Times New Roman" w:hint="default"/>
          <w:sz w:val="17"/>
          <w:szCs w:val="17"/>
        </w:rPr>
      </w:pPr>
    </w:p>
    <w:p>
      <w:pPr>
        <w:spacing w:line="369" w:lineRule="auto" w:before="35"/>
        <w:ind w:left="154" w:right="727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《英雄联盟之魄罗快跑》 上线时间：</w:t>
      </w:r>
      <w:r>
        <w:rPr>
          <w:rFonts w:ascii="Times New Roman" w:hAnsi="Times New Roman" w:cs="Times New Roman" w:eastAsia="Times New Roman" w:hint="default"/>
          <w:sz w:val="21"/>
          <w:szCs w:val="21"/>
        </w:rPr>
        <w:t>2015-08-21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游戏类型：策略类 研发商：</w:t>
      </w:r>
      <w:r>
        <w:rPr>
          <w:rFonts w:ascii="Times New Roman" w:hAnsi="Times New Roman" w:cs="Times New Roman" w:eastAsia="Times New Roman" w:hint="default"/>
          <w:sz w:val="21"/>
          <w:szCs w:val="21"/>
        </w:rPr>
        <w:t>Roit</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Games</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上线国家和地区：中国大陆 上线平台：</w:t>
      </w:r>
      <w:r>
        <w:rPr>
          <w:rFonts w:ascii="Times New Roman" w:hAnsi="Times New Roman" w:cs="Times New Roman" w:eastAsia="Times New Roman" w:hint="default"/>
          <w:sz w:val="21"/>
          <w:szCs w:val="21"/>
        </w:rPr>
        <w:t>Android</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9"/>
        <w:rPr>
          <w:rFonts w:ascii="Times New Roman" w:hAnsi="Times New Roman" w:cs="Times New Roman" w:eastAsia="Times New Roman" w:hint="default"/>
          <w:sz w:val="6"/>
          <w:szCs w:val="6"/>
        </w:rPr>
      </w:pPr>
    </w:p>
    <w:p>
      <w:pPr>
        <w:spacing w:line="3960" w:lineRule="exact"/>
        <w:ind w:left="234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8"/>
          <w:sz w:val="20"/>
          <w:szCs w:val="20"/>
        </w:rPr>
        <w:drawing>
          <wp:inline distT="0" distB="0" distL="0" distR="0">
            <wp:extent cx="3343275" cy="2514600"/>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3" cstate="print"/>
                    <a:stretch>
                      <a:fillRect/>
                    </a:stretch>
                  </pic:blipFill>
                  <pic:spPr>
                    <a:xfrm>
                      <a:off x="0" y="0"/>
                      <a:ext cx="3343275" cy="2514600"/>
                    </a:xfrm>
                    <a:prstGeom prst="rect">
                      <a:avLst/>
                    </a:prstGeom>
                  </pic:spPr>
                </pic:pic>
              </a:graphicData>
            </a:graphic>
          </wp:inline>
        </w:drawing>
      </w:r>
      <w:r>
        <w:rPr>
          <w:rFonts w:ascii="Times New Roman" w:hAnsi="Times New Roman" w:cs="Times New Roman" w:eastAsia="Times New Roman" w:hint="default"/>
          <w:position w:val="-78"/>
          <w:sz w:val="20"/>
          <w:szCs w:val="20"/>
        </w:rPr>
      </w:r>
    </w:p>
    <w:p>
      <w:pPr>
        <w:spacing w:line="376" w:lineRule="auto" w:before="154"/>
        <w:ind w:left="154" w:right="776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《梦三国》 上线时间：</w:t>
      </w:r>
      <w:r>
        <w:rPr>
          <w:rFonts w:ascii="Times New Roman" w:hAnsi="Times New Roman" w:cs="Times New Roman" w:eastAsia="Times New Roman" w:hint="default"/>
          <w:sz w:val="21"/>
          <w:szCs w:val="21"/>
        </w:rPr>
        <w:t>2015-12-21</w:t>
      </w:r>
    </w:p>
    <w:p>
      <w:pPr>
        <w:spacing w:after="0" w:line="376" w:lineRule="auto"/>
        <w:jc w:val="left"/>
        <w:rPr>
          <w:rFonts w:ascii="Times New Roman" w:hAnsi="Times New Roman" w:cs="Times New Roman" w:eastAsia="Times New Roman" w:hint="default"/>
          <w:sz w:val="21"/>
          <w:szCs w:val="21"/>
        </w:rPr>
        <w:sectPr>
          <w:pgSz w:w="11910" w:h="16840"/>
          <w:pgMar w:header="747" w:footer="979" w:top="1060" w:bottom="1160" w:left="980" w:right="980"/>
        </w:sectPr>
      </w:pPr>
    </w:p>
    <w:p>
      <w:pPr>
        <w:spacing w:line="240" w:lineRule="auto" w:before="1"/>
        <w:rPr>
          <w:rFonts w:ascii="Times New Roman" w:hAnsi="Times New Roman" w:cs="Times New Roman" w:eastAsia="Times New Roman" w:hint="default"/>
          <w:sz w:val="28"/>
          <w:szCs w:val="28"/>
        </w:rPr>
      </w:pPr>
    </w:p>
    <w:p>
      <w:pPr>
        <w:spacing w:line="369" w:lineRule="auto" w:before="35"/>
        <w:ind w:left="154" w:right="641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游戏类型：</w:t>
      </w:r>
      <w:r>
        <w:rPr>
          <w:rFonts w:ascii="Times New Roman" w:hAnsi="Times New Roman" w:cs="Times New Roman" w:eastAsia="Times New Roman" w:hint="default"/>
          <w:sz w:val="21"/>
          <w:szCs w:val="21"/>
        </w:rPr>
        <w:t>MOBA</w:t>
      </w:r>
      <w:r>
        <w:rPr>
          <w:rFonts w:ascii="宋体" w:hAnsi="宋体" w:cs="宋体" w:eastAsia="宋体" w:hint="default"/>
          <w:sz w:val="21"/>
          <w:szCs w:val="21"/>
        </w:rPr>
        <w:t>实时竞技 研发商：杭州电魂 上线国家和地区：中国大陆、港澳台 上线平台：</w:t>
      </w:r>
      <w:r>
        <w:rPr>
          <w:rFonts w:ascii="Times New Roman" w:hAnsi="Times New Roman" w:cs="Times New Roman" w:eastAsia="Times New Roman" w:hint="default"/>
          <w:sz w:val="21"/>
          <w:szCs w:val="21"/>
        </w:rPr>
        <w:t>Android</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11"/>
        <w:rPr>
          <w:rFonts w:ascii="Times New Roman" w:hAnsi="Times New Roman" w:cs="Times New Roman" w:eastAsia="Times New Roman" w:hint="default"/>
          <w:sz w:val="12"/>
          <w:szCs w:val="12"/>
        </w:rPr>
      </w:pPr>
    </w:p>
    <w:p>
      <w:pPr>
        <w:spacing w:line="4755" w:lineRule="exact"/>
        <w:ind w:left="78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4"/>
          <w:sz w:val="20"/>
          <w:szCs w:val="20"/>
        </w:rPr>
        <w:drawing>
          <wp:inline distT="0" distB="0" distL="0" distR="0">
            <wp:extent cx="5315432" cy="3019425"/>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4" cstate="print"/>
                    <a:stretch>
                      <a:fillRect/>
                    </a:stretch>
                  </pic:blipFill>
                  <pic:spPr>
                    <a:xfrm>
                      <a:off x="0" y="0"/>
                      <a:ext cx="5315432" cy="3019425"/>
                    </a:xfrm>
                    <a:prstGeom prst="rect">
                      <a:avLst/>
                    </a:prstGeom>
                  </pic:spPr>
                </pic:pic>
              </a:graphicData>
            </a:graphic>
          </wp:inline>
        </w:drawing>
      </w:r>
      <w:r>
        <w:rPr>
          <w:rFonts w:ascii="Times New Roman" w:hAnsi="Times New Roman" w:cs="Times New Roman" w:eastAsia="Times New Roman" w:hint="default"/>
          <w:position w:val="-94"/>
          <w:sz w:val="20"/>
          <w:szCs w:val="20"/>
        </w:rPr>
      </w:r>
    </w:p>
    <w:p>
      <w:pPr>
        <w:spacing w:line="240" w:lineRule="auto" w:before="5"/>
        <w:rPr>
          <w:rFonts w:ascii="Times New Roman" w:hAnsi="Times New Roman" w:cs="Times New Roman" w:eastAsia="Times New Roman" w:hint="default"/>
          <w:sz w:val="19"/>
          <w:szCs w:val="19"/>
        </w:rPr>
      </w:pPr>
    </w:p>
    <w:p>
      <w:pPr>
        <w:spacing w:line="369" w:lineRule="auto" w:before="0"/>
        <w:ind w:left="154" w:right="7503"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《血族萝莉》 上线时间：</w:t>
      </w:r>
      <w:r>
        <w:rPr>
          <w:rFonts w:ascii="Times New Roman" w:hAnsi="Times New Roman" w:cs="Times New Roman" w:eastAsia="Times New Roman" w:hint="default"/>
          <w:sz w:val="21"/>
          <w:szCs w:val="21"/>
        </w:rPr>
        <w:t>2015-02-13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游戏类型：卡牌</w:t>
      </w:r>
      <w:r>
        <w:rPr>
          <w:rFonts w:ascii="Times New Roman" w:hAnsi="Times New Roman" w:cs="Times New Roman" w:eastAsia="Times New Roman" w:hint="default"/>
          <w:sz w:val="21"/>
          <w:szCs w:val="21"/>
        </w:rPr>
        <w:t>RPG</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研发商：盛大游戏 上线国家和地区：日本 上线平台：</w:t>
      </w:r>
      <w:r>
        <w:rPr>
          <w:rFonts w:ascii="Times New Roman" w:hAnsi="Times New Roman" w:cs="Times New Roman" w:eastAsia="Times New Roman" w:hint="default"/>
          <w:sz w:val="21"/>
          <w:szCs w:val="21"/>
        </w:rPr>
        <w:t>Android</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1"/>
        <w:rPr>
          <w:rFonts w:ascii="Times New Roman" w:hAnsi="Times New Roman" w:cs="Times New Roman" w:eastAsia="Times New Roman" w:hint="default"/>
          <w:sz w:val="7"/>
          <w:szCs w:val="7"/>
        </w:rPr>
      </w:pPr>
    </w:p>
    <w:p>
      <w:pPr>
        <w:spacing w:line="3015" w:lineRule="exact"/>
        <w:ind w:left="134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9"/>
          <w:sz w:val="20"/>
          <w:szCs w:val="20"/>
        </w:rPr>
        <w:drawing>
          <wp:inline distT="0" distB="0" distL="0" distR="0">
            <wp:extent cx="4609464" cy="1914525"/>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5" cstate="print"/>
                    <a:stretch>
                      <a:fillRect/>
                    </a:stretch>
                  </pic:blipFill>
                  <pic:spPr>
                    <a:xfrm>
                      <a:off x="0" y="0"/>
                      <a:ext cx="4609464" cy="1914525"/>
                    </a:xfrm>
                    <a:prstGeom prst="rect">
                      <a:avLst/>
                    </a:prstGeom>
                  </pic:spPr>
                </pic:pic>
              </a:graphicData>
            </a:graphic>
          </wp:inline>
        </w:drawing>
      </w:r>
      <w:r>
        <w:rPr>
          <w:rFonts w:ascii="Times New Roman" w:hAnsi="Times New Roman" w:cs="Times New Roman" w:eastAsia="Times New Roman" w:hint="default"/>
          <w:position w:val="-59"/>
          <w:sz w:val="20"/>
          <w:szCs w:val="20"/>
        </w:rPr>
      </w:r>
    </w:p>
    <w:p>
      <w:pPr>
        <w:spacing w:line="367" w:lineRule="auto" w:before="159"/>
        <w:ind w:left="154" w:right="776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《太极熊猫》 上线时间：</w:t>
      </w:r>
      <w:r>
        <w:rPr>
          <w:rFonts w:ascii="Times New Roman" w:hAnsi="Times New Roman" w:cs="Times New Roman" w:eastAsia="Times New Roman" w:hint="default"/>
          <w:sz w:val="21"/>
          <w:szCs w:val="21"/>
        </w:rPr>
        <w:t>2014-12-30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游戏类型：动作</w:t>
      </w:r>
      <w:r>
        <w:rPr>
          <w:rFonts w:ascii="Times New Roman" w:hAnsi="Times New Roman" w:cs="Times New Roman" w:eastAsia="Times New Roman" w:hint="default"/>
          <w:sz w:val="21"/>
          <w:szCs w:val="21"/>
        </w:rPr>
        <w:t>RPG</w:t>
      </w:r>
    </w:p>
    <w:p>
      <w:pPr>
        <w:spacing w:after="0" w:line="367" w:lineRule="auto"/>
        <w:jc w:val="left"/>
        <w:rPr>
          <w:rFonts w:ascii="Times New Roman" w:hAnsi="Times New Roman" w:cs="Times New Roman" w:eastAsia="Times New Roman" w:hint="default"/>
          <w:sz w:val="21"/>
          <w:szCs w:val="21"/>
        </w:rPr>
        <w:sectPr>
          <w:pgSz w:w="11910" w:h="16840"/>
          <w:pgMar w:header="747" w:footer="979" w:top="1060" w:bottom="1160" w:left="980" w:right="980"/>
        </w:sectPr>
      </w:pPr>
    </w:p>
    <w:p>
      <w:pPr>
        <w:spacing w:line="240" w:lineRule="auto" w:before="1"/>
        <w:rPr>
          <w:rFonts w:ascii="Times New Roman" w:hAnsi="Times New Roman" w:cs="Times New Roman" w:eastAsia="Times New Roman" w:hint="default"/>
          <w:sz w:val="28"/>
          <w:szCs w:val="28"/>
        </w:rPr>
      </w:pPr>
    </w:p>
    <w:p>
      <w:pPr>
        <w:spacing w:line="376" w:lineRule="auto" w:before="35"/>
        <w:ind w:left="154" w:right="689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研发商：蜗牛数字 上线国家和地区：港澳台、韩国 上线平台：</w:t>
      </w:r>
      <w:r>
        <w:rPr>
          <w:rFonts w:ascii="Times New Roman" w:hAnsi="Times New Roman" w:cs="Times New Roman" w:eastAsia="Times New Roman" w:hint="default"/>
          <w:sz w:val="21"/>
          <w:szCs w:val="21"/>
        </w:rPr>
        <w:t>Android</w:t>
      </w:r>
      <w:r>
        <w:rPr>
          <w:rFonts w:ascii="宋体" w:hAnsi="宋体" w:cs="宋体" w:eastAsia="宋体" w:hint="default"/>
          <w:sz w:val="21"/>
          <w:szCs w:val="21"/>
        </w:rPr>
        <w:t>和</w:t>
      </w:r>
      <w:r>
        <w:rPr>
          <w:rFonts w:ascii="Times New Roman" w:hAnsi="Times New Roman" w:cs="Times New Roman" w:eastAsia="Times New Roman" w:hint="default"/>
          <w:sz w:val="21"/>
          <w:szCs w:val="21"/>
        </w:rPr>
        <w:t>iOS</w:t>
      </w:r>
    </w:p>
    <w:p>
      <w:pPr>
        <w:spacing w:line="240" w:lineRule="auto" w:before="6"/>
        <w:rPr>
          <w:rFonts w:ascii="Times New Roman" w:hAnsi="Times New Roman" w:cs="Times New Roman" w:eastAsia="Times New Roman" w:hint="default"/>
          <w:sz w:val="4"/>
          <w:szCs w:val="4"/>
        </w:rPr>
      </w:pPr>
    </w:p>
    <w:p>
      <w:pPr>
        <w:spacing w:line="5250" w:lineRule="exact"/>
        <w:ind w:left="78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4"/>
          <w:sz w:val="20"/>
          <w:szCs w:val="20"/>
        </w:rPr>
        <w:drawing>
          <wp:inline distT="0" distB="0" distL="0" distR="0">
            <wp:extent cx="5316340" cy="3333750"/>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6" cstate="print"/>
                    <a:stretch>
                      <a:fillRect/>
                    </a:stretch>
                  </pic:blipFill>
                  <pic:spPr>
                    <a:xfrm>
                      <a:off x="0" y="0"/>
                      <a:ext cx="5316340" cy="3333750"/>
                    </a:xfrm>
                    <a:prstGeom prst="rect">
                      <a:avLst/>
                    </a:prstGeom>
                  </pic:spPr>
                </pic:pic>
              </a:graphicData>
            </a:graphic>
          </wp:inline>
        </w:drawing>
      </w:r>
      <w:r>
        <w:rPr>
          <w:rFonts w:ascii="Times New Roman" w:hAnsi="Times New Roman" w:cs="Times New Roman" w:eastAsia="Times New Roman" w:hint="default"/>
          <w:position w:val="-104"/>
          <w:sz w:val="20"/>
          <w:szCs w:val="20"/>
        </w:rPr>
      </w:r>
    </w:p>
    <w:p>
      <w:pPr>
        <w:spacing w:before="132"/>
        <w:ind w:left="154" w:right="2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）影游联动</w:t>
      </w:r>
    </w:p>
    <w:p>
      <w:pPr>
        <w:spacing w:line="264" w:lineRule="auto" w:before="141"/>
        <w:ind w:left="154" w:right="209" w:firstLine="420"/>
        <w:jc w:val="both"/>
        <w:rPr>
          <w:rFonts w:ascii="宋体" w:hAnsi="宋体" w:cs="宋体" w:eastAsia="宋体" w:hint="default"/>
          <w:sz w:val="21"/>
          <w:szCs w:val="21"/>
        </w:rPr>
      </w:pPr>
      <w:r>
        <w:rPr>
          <w:rFonts w:ascii="宋体" w:hAnsi="宋体" w:cs="宋体" w:eastAsia="宋体" w:hint="default"/>
          <w:spacing w:val="-3"/>
          <w:sz w:val="21"/>
          <w:szCs w:val="21"/>
        </w:rPr>
        <w:t>报告期内，公司成立了影视事业部，将逐步搭建新型的合作伙伴关系，计划在动画制作、</w:t>
      </w:r>
      <w:r>
        <w:rPr>
          <w:rFonts w:ascii="Times New Roman" w:hAnsi="Times New Roman" w:cs="Times New Roman" w:eastAsia="Times New Roman" w:hint="default"/>
          <w:spacing w:val="-3"/>
          <w:sz w:val="21"/>
          <w:szCs w:val="21"/>
        </w:rPr>
        <w:t>VR</w:t>
      </w:r>
      <w:r>
        <w:rPr>
          <w:rFonts w:ascii="宋体" w:hAnsi="宋体" w:cs="宋体" w:eastAsia="宋体" w:hint="default"/>
          <w:spacing w:val="-3"/>
          <w:sz w:val="21"/>
          <w:szCs w:val="21"/>
        </w:rPr>
        <w:t>、剧本创</w:t>
      </w:r>
      <w:r>
        <w:rPr>
          <w:rFonts w:ascii="宋体" w:hAnsi="宋体" w:cs="宋体" w:eastAsia="宋体" w:hint="default"/>
          <w:sz w:val="21"/>
          <w:szCs w:val="21"/>
        </w:rPr>
        <w:t> </w:t>
      </w:r>
      <w:r>
        <w:rPr>
          <w:rFonts w:ascii="宋体" w:hAnsi="宋体" w:cs="宋体" w:eastAsia="宋体" w:hint="default"/>
          <w:spacing w:val="-1"/>
          <w:sz w:val="21"/>
          <w:szCs w:val="21"/>
        </w:rPr>
        <w:t>作、项目孵化等方面与国内外一流团队建立稳固的战略合作伙伴关系，使影视事业部形成独立自主的项目</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孵化和制作能力，并建立以影视新技术和</w:t>
      </w:r>
      <w:r>
        <w:rPr>
          <w:rFonts w:ascii="Times New Roman" w:hAnsi="Times New Roman" w:cs="Times New Roman" w:eastAsia="Times New Roman" w:hint="default"/>
          <w:sz w:val="21"/>
          <w:szCs w:val="21"/>
        </w:rPr>
        <w:t>IP</w:t>
      </w:r>
      <w:r>
        <w:rPr>
          <w:rFonts w:ascii="宋体" w:hAnsi="宋体" w:cs="宋体" w:eastAsia="宋体" w:hint="default"/>
          <w:sz w:val="21"/>
          <w:szCs w:val="21"/>
        </w:rPr>
        <w:t>运营为主打的行业核心竞争力。</w:t>
      </w:r>
    </w:p>
    <w:p>
      <w:pPr>
        <w:spacing w:line="268" w:lineRule="auto" w:before="118"/>
        <w:ind w:left="154" w:right="103" w:firstLine="420"/>
        <w:jc w:val="left"/>
        <w:rPr>
          <w:rFonts w:ascii="宋体" w:hAnsi="宋体" w:cs="宋体" w:eastAsia="宋体" w:hint="default"/>
          <w:sz w:val="21"/>
          <w:szCs w:val="21"/>
        </w:rPr>
      </w:pPr>
      <w:r>
        <w:rPr>
          <w:rFonts w:ascii="宋体" w:hAnsi="宋体" w:cs="宋体" w:eastAsia="宋体" w:hint="default"/>
          <w:spacing w:val="-1"/>
          <w:sz w:val="21"/>
          <w:szCs w:val="21"/>
        </w:rPr>
        <w:t>报告期内，公司储备了《愤怒的小鸟：王牌战机》、《脱骨香》和《轩辕剑汉之云》四个重点影游联</w:t>
      </w:r>
      <w:r>
        <w:rPr>
          <w:rFonts w:ascii="宋体" w:hAnsi="宋体" w:cs="宋体" w:eastAsia="宋体" w:hint="default"/>
          <w:sz w:val="21"/>
          <w:szCs w:val="21"/>
        </w:rPr>
        <w:t> </w:t>
      </w:r>
      <w:r>
        <w:rPr>
          <w:rFonts w:ascii="宋体" w:hAnsi="宋体" w:cs="宋体" w:eastAsia="宋体" w:hint="default"/>
          <w:spacing w:val="-3"/>
          <w:sz w:val="21"/>
          <w:szCs w:val="21"/>
        </w:rPr>
        <w:t>动项目。其中《愤怒的小鸟：王牌战机》与芬兰</w:t>
      </w:r>
      <w:r>
        <w:rPr>
          <w:rFonts w:ascii="Times New Roman" w:hAnsi="Times New Roman" w:cs="Times New Roman" w:eastAsia="Times New Roman" w:hint="default"/>
          <w:spacing w:val="-3"/>
          <w:sz w:val="21"/>
          <w:szCs w:val="21"/>
        </w:rPr>
        <w:t>ROVIO</w:t>
      </w:r>
      <w:r>
        <w:rPr>
          <w:rFonts w:ascii="宋体" w:hAnsi="宋体" w:cs="宋体" w:eastAsia="宋体" w:hint="default"/>
          <w:spacing w:val="-3"/>
          <w:sz w:val="21"/>
          <w:szCs w:val="21"/>
        </w:rPr>
        <w:t>公司达成合作意向，配合</w:t>
      </w:r>
      <w:r>
        <w:rPr>
          <w:rFonts w:ascii="Times New Roman" w:hAnsi="Times New Roman" w:cs="Times New Roman" w:eastAsia="Times New Roman" w:hint="default"/>
          <w:spacing w:val="-3"/>
          <w:sz w:val="21"/>
          <w:szCs w:val="21"/>
        </w:rPr>
        <w:t>2016</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Q2</w:t>
      </w:r>
      <w:r>
        <w:rPr>
          <w:rFonts w:ascii="宋体" w:hAnsi="宋体" w:cs="宋体" w:eastAsia="宋体" w:hint="default"/>
          <w:spacing w:val="-3"/>
          <w:sz w:val="21"/>
          <w:szCs w:val="21"/>
        </w:rPr>
        <w:t>即将由索尼影业</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1"/>
          <w:sz w:val="21"/>
          <w:szCs w:val="21"/>
        </w:rPr>
        <w:t>出品的《愤怒的小鸟》大电影，在全球范围内发行。《脱骨香》与慈文传媒、乐视视频达成合作意向，共</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同开发集网络剧、电视剧、动画、游戏及后续电影开发的合作意向</w:t>
      </w:r>
      <w:r>
        <w:rPr>
          <w:rFonts w:ascii="宋体" w:hAnsi="宋体" w:cs="宋体" w:eastAsia="宋体" w:hint="default"/>
          <w:spacing w:val="-21"/>
          <w:sz w:val="21"/>
          <w:szCs w:val="21"/>
        </w:rPr>
        <w:t> </w:t>
      </w:r>
      <w:r>
        <w:rPr>
          <w:rFonts w:ascii="宋体" w:hAnsi="宋体" w:cs="宋体" w:eastAsia="宋体" w:hint="default"/>
          <w:sz w:val="21"/>
          <w:szCs w:val="21"/>
        </w:rPr>
        <w:t>。已开始尝试影视及动画团队与游戏</w:t>
      </w:r>
      <w:r>
        <w:rPr>
          <w:rFonts w:ascii="宋体" w:hAnsi="宋体" w:cs="宋体" w:eastAsia="宋体" w:hint="default"/>
          <w:sz w:val="21"/>
          <w:szCs w:val="21"/>
        </w:rPr>
        <w:t> 团队在剧情、美术、周期配合方案的全面沟通与分享机制，搭建协同作战体系。</w:t>
      </w:r>
    </w:p>
    <w:p>
      <w:pPr>
        <w:spacing w:before="132"/>
        <w:ind w:left="154" w:right="2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、软件工具</w:t>
      </w:r>
    </w:p>
    <w:p>
      <w:pPr>
        <w:spacing w:line="264" w:lineRule="auto" w:before="141"/>
        <w:ind w:left="154" w:right="100" w:firstLine="420"/>
        <w:jc w:val="left"/>
        <w:rPr>
          <w:rFonts w:ascii="宋体" w:hAnsi="宋体" w:cs="宋体" w:eastAsia="宋体" w:hint="default"/>
          <w:sz w:val="21"/>
          <w:szCs w:val="21"/>
        </w:rPr>
      </w:pPr>
      <w:r>
        <w:rPr>
          <w:rFonts w:ascii="宋体" w:hAnsi="宋体" w:cs="宋体" w:eastAsia="宋体" w:hint="default"/>
          <w:spacing w:val="-3"/>
          <w:sz w:val="21"/>
          <w:szCs w:val="21"/>
        </w:rPr>
        <w:t>用户、流量和平台对于互联网公司来说至关重要。公司核心团队在互联网界均有超过</w:t>
      </w:r>
      <w:r>
        <w:rPr>
          <w:rFonts w:ascii="Times New Roman" w:hAnsi="Times New Roman" w:cs="Times New Roman" w:eastAsia="Times New Roman" w:hint="default"/>
          <w:spacing w:val="-3"/>
          <w:sz w:val="21"/>
          <w:szCs w:val="21"/>
        </w:rPr>
        <w:t>10</w:t>
      </w:r>
      <w:r>
        <w:rPr>
          <w:rFonts w:ascii="宋体" w:hAnsi="宋体" w:cs="宋体" w:eastAsia="宋体" w:hint="default"/>
          <w:spacing w:val="-3"/>
          <w:sz w:val="21"/>
          <w:szCs w:val="21"/>
        </w:rPr>
        <w:t>年的从业经历，</w:t>
      </w:r>
      <w:r>
        <w:rPr>
          <w:rFonts w:ascii="宋体" w:hAnsi="宋体" w:cs="宋体" w:eastAsia="宋体" w:hint="default"/>
          <w:sz w:val="21"/>
          <w:szCs w:val="21"/>
        </w:rPr>
        <w:t> 尤其在海外市场积累了丰富经验和广泛资源。软件工具作为手机必备软件，使用频次高，用户粘性大，公 司欲将其打造成重要的互联网流量入口。</w:t>
      </w:r>
    </w:p>
    <w:p>
      <w:pPr>
        <w:spacing w:line="256" w:lineRule="auto" w:before="136"/>
        <w:ind w:left="154" w:right="103" w:firstLine="420"/>
        <w:jc w:val="left"/>
        <w:rPr>
          <w:rFonts w:ascii="宋体" w:hAnsi="宋体" w:cs="宋体" w:eastAsia="宋体" w:hint="default"/>
          <w:sz w:val="21"/>
          <w:szCs w:val="21"/>
        </w:rPr>
      </w:pPr>
      <w:r>
        <w:rPr>
          <w:rFonts w:ascii="宋体" w:hAnsi="宋体" w:cs="宋体" w:eastAsia="宋体" w:hint="default"/>
          <w:spacing w:val="-2"/>
          <w:sz w:val="21"/>
          <w:szCs w:val="21"/>
        </w:rPr>
        <w:t>公司目前主打两款软件工具产品，</w:t>
      </w:r>
      <w:r>
        <w:rPr>
          <w:rFonts w:ascii="Times New Roman" w:hAnsi="Times New Roman" w:cs="Times New Roman" w:eastAsia="Times New Roman" w:hint="default"/>
          <w:spacing w:val="-2"/>
          <w:sz w:val="21"/>
          <w:szCs w:val="21"/>
        </w:rPr>
        <w:t>1Mobile</w:t>
      </w:r>
      <w:r>
        <w:rPr>
          <w:rFonts w:ascii="宋体" w:hAnsi="宋体" w:cs="宋体" w:eastAsia="宋体" w:hint="default"/>
          <w:spacing w:val="-2"/>
          <w:sz w:val="21"/>
          <w:szCs w:val="21"/>
        </w:rPr>
        <w:t>和</w:t>
      </w:r>
      <w:r>
        <w:rPr>
          <w:rFonts w:ascii="Times New Roman" w:hAnsi="Times New Roman" w:cs="Times New Roman" w:eastAsia="Times New Roman" w:hint="default"/>
          <w:spacing w:val="-2"/>
          <w:sz w:val="21"/>
          <w:szCs w:val="21"/>
        </w:rPr>
        <w:t>Brothersoft</w:t>
      </w:r>
      <w:r>
        <w:rPr>
          <w:rFonts w:ascii="宋体" w:hAnsi="宋体" w:cs="宋体" w:eastAsia="宋体" w:hint="default"/>
          <w:spacing w:val="-2"/>
          <w:sz w:val="21"/>
          <w:szCs w:val="21"/>
        </w:rPr>
        <w:t>。其中，</w:t>
      </w:r>
      <w:r>
        <w:rPr>
          <w:rFonts w:ascii="Times New Roman" w:hAnsi="Times New Roman" w:cs="Times New Roman" w:eastAsia="Times New Roman" w:hint="default"/>
          <w:spacing w:val="-2"/>
          <w:sz w:val="21"/>
          <w:szCs w:val="21"/>
        </w:rPr>
        <w:t>1Mobile</w:t>
      </w:r>
      <w:r>
        <w:rPr>
          <w:rFonts w:ascii="宋体" w:hAnsi="宋体" w:cs="宋体" w:eastAsia="宋体" w:hint="default"/>
          <w:spacing w:val="-2"/>
          <w:sz w:val="21"/>
          <w:szCs w:val="21"/>
        </w:rPr>
        <w:t>作为海外知名的安卓应用分发</w:t>
      </w:r>
      <w:r>
        <w:rPr>
          <w:rFonts w:ascii="宋体" w:hAnsi="宋体" w:cs="宋体" w:eastAsia="宋体" w:hint="default"/>
          <w:sz w:val="21"/>
          <w:szCs w:val="21"/>
        </w:rPr>
        <w:t> 平台，提供超过</w:t>
      </w:r>
      <w:r>
        <w:rPr>
          <w:rFonts w:ascii="Times New Roman" w:hAnsi="Times New Roman" w:cs="Times New Roman" w:eastAsia="Times New Roman" w:hint="default"/>
          <w:sz w:val="21"/>
          <w:szCs w:val="21"/>
        </w:rPr>
        <w:t>120</w:t>
      </w:r>
      <w:r>
        <w:rPr>
          <w:rFonts w:ascii="宋体" w:hAnsi="宋体" w:cs="宋体" w:eastAsia="宋体" w:hint="default"/>
          <w:sz w:val="21"/>
          <w:szCs w:val="21"/>
        </w:rPr>
        <w:t>万款软件和游戏应用下载，支持</w:t>
      </w:r>
      <w:r>
        <w:rPr>
          <w:rFonts w:ascii="Times New Roman" w:hAnsi="Times New Roman" w:cs="Times New Roman" w:eastAsia="Times New Roman" w:hint="default"/>
          <w:sz w:val="21"/>
          <w:szCs w:val="21"/>
        </w:rPr>
        <w:t>19</w:t>
      </w:r>
      <w:r>
        <w:rPr>
          <w:rFonts w:ascii="宋体" w:hAnsi="宋体" w:cs="宋体" w:eastAsia="宋体" w:hint="default"/>
          <w:sz w:val="21"/>
          <w:szCs w:val="21"/>
        </w:rPr>
        <w:t>种语言，月均分发超过</w:t>
      </w:r>
      <w:r>
        <w:rPr>
          <w:rFonts w:ascii="Times New Roman" w:hAnsi="Times New Roman" w:cs="Times New Roman" w:eastAsia="Times New Roman" w:hint="default"/>
          <w:sz w:val="21"/>
          <w:szCs w:val="21"/>
        </w:rPr>
        <w:t>1.2</w:t>
      </w:r>
      <w:r>
        <w:rPr>
          <w:rFonts w:ascii="宋体" w:hAnsi="宋体" w:cs="宋体" w:eastAsia="宋体" w:hint="default"/>
          <w:sz w:val="21"/>
          <w:szCs w:val="21"/>
        </w:rPr>
        <w:t>亿次。</w:t>
      </w:r>
    </w:p>
    <w:p>
      <w:pPr>
        <w:spacing w:after="0" w:line="256" w:lineRule="auto"/>
        <w:jc w:val="left"/>
        <w:rPr>
          <w:rFonts w:ascii="宋体" w:hAnsi="宋体" w:cs="宋体" w:eastAsia="宋体" w:hint="default"/>
          <w:sz w:val="21"/>
          <w:szCs w:val="21"/>
        </w:rPr>
        <w:sectPr>
          <w:pgSz w:w="11910" w:h="16840"/>
          <w:pgMar w:header="747" w:footer="979" w:top="1060" w:bottom="1160" w:left="980" w:right="9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spacing w:line="5940" w:lineRule="exact"/>
        <w:ind w:left="789" w:right="0" w:firstLine="0"/>
        <w:rPr>
          <w:rFonts w:ascii="宋体" w:hAnsi="宋体" w:cs="宋体" w:eastAsia="宋体" w:hint="default"/>
          <w:sz w:val="20"/>
          <w:szCs w:val="20"/>
        </w:rPr>
      </w:pPr>
      <w:r>
        <w:rPr>
          <w:rFonts w:ascii="宋体" w:hAnsi="宋体" w:cs="宋体" w:eastAsia="宋体" w:hint="default"/>
          <w:position w:val="-118"/>
          <w:sz w:val="20"/>
          <w:szCs w:val="20"/>
        </w:rPr>
        <w:drawing>
          <wp:inline distT="0" distB="0" distL="0" distR="0">
            <wp:extent cx="5315209" cy="3771900"/>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7" cstate="print"/>
                    <a:stretch>
                      <a:fillRect/>
                    </a:stretch>
                  </pic:blipFill>
                  <pic:spPr>
                    <a:xfrm>
                      <a:off x="0" y="0"/>
                      <a:ext cx="5315209" cy="3771900"/>
                    </a:xfrm>
                    <a:prstGeom prst="rect">
                      <a:avLst/>
                    </a:prstGeom>
                  </pic:spPr>
                </pic:pic>
              </a:graphicData>
            </a:graphic>
          </wp:inline>
        </w:drawing>
      </w:r>
      <w:r>
        <w:rPr>
          <w:rFonts w:ascii="宋体" w:hAnsi="宋体" w:cs="宋体" w:eastAsia="宋体" w:hint="default"/>
          <w:position w:val="-118"/>
          <w:sz w:val="20"/>
          <w:szCs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line="256" w:lineRule="auto" w:before="35"/>
        <w:ind w:left="154" w:right="224"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Brothersoft</w:t>
      </w:r>
      <w:r>
        <w:rPr>
          <w:rFonts w:ascii="宋体" w:hAnsi="宋体" w:cs="宋体" w:eastAsia="宋体" w:hint="default"/>
          <w:sz w:val="21"/>
          <w:szCs w:val="21"/>
        </w:rPr>
        <w:t>为来自</w:t>
      </w:r>
      <w:r>
        <w:rPr>
          <w:rFonts w:ascii="Times New Roman" w:hAnsi="Times New Roman" w:cs="Times New Roman" w:eastAsia="Times New Roman" w:hint="default"/>
          <w:sz w:val="21"/>
          <w:szCs w:val="21"/>
        </w:rPr>
        <w:t>200</w:t>
      </w:r>
      <w:r>
        <w:rPr>
          <w:rFonts w:ascii="宋体" w:hAnsi="宋体" w:cs="宋体" w:eastAsia="宋体" w:hint="default"/>
          <w:sz w:val="21"/>
          <w:szCs w:val="21"/>
        </w:rPr>
        <w:t>个国家的用户提供超过</w:t>
      </w:r>
      <w:r>
        <w:rPr>
          <w:rFonts w:ascii="Times New Roman" w:hAnsi="Times New Roman" w:cs="Times New Roman" w:eastAsia="Times New Roman" w:hint="default"/>
          <w:sz w:val="21"/>
          <w:szCs w:val="21"/>
        </w:rPr>
        <w:t>300</w:t>
      </w:r>
      <w:r>
        <w:rPr>
          <w:rFonts w:ascii="宋体" w:hAnsi="宋体" w:cs="宋体" w:eastAsia="宋体" w:hint="default"/>
          <w:sz w:val="21"/>
          <w:szCs w:val="21"/>
        </w:rPr>
        <w:t>万个应用程序，收录的软件及游戏下载资源覆盖七大</w:t>
      </w:r>
      <w:r>
        <w:rPr>
          <w:rFonts w:ascii="宋体" w:hAnsi="宋体" w:cs="宋体" w:eastAsia="宋体" w:hint="default"/>
          <w:w w:val="99"/>
          <w:sz w:val="21"/>
          <w:szCs w:val="21"/>
        </w:rPr>
        <w:t> </w:t>
      </w:r>
      <w:r>
        <w:rPr>
          <w:rFonts w:ascii="宋体" w:hAnsi="宋体" w:cs="宋体" w:eastAsia="宋体" w:hint="default"/>
          <w:sz w:val="21"/>
          <w:szCs w:val="21"/>
        </w:rPr>
        <w:t>主流手机平台，软件总量超过</w:t>
      </w:r>
      <w:r>
        <w:rPr>
          <w:rFonts w:ascii="Times New Roman" w:hAnsi="Times New Roman" w:cs="Times New Roman" w:eastAsia="Times New Roman" w:hint="default"/>
          <w:sz w:val="21"/>
          <w:szCs w:val="21"/>
        </w:rPr>
        <w:t>180</w:t>
      </w:r>
      <w:r>
        <w:rPr>
          <w:rFonts w:ascii="宋体" w:hAnsi="宋体" w:cs="宋体" w:eastAsia="宋体" w:hint="default"/>
          <w:sz w:val="21"/>
          <w:szCs w:val="21"/>
        </w:rPr>
        <w:t>万款。</w:t>
      </w:r>
    </w:p>
    <w:p>
      <w:pPr>
        <w:spacing w:line="240" w:lineRule="auto" w:before="5"/>
        <w:rPr>
          <w:rFonts w:ascii="宋体" w:hAnsi="宋体" w:cs="宋体" w:eastAsia="宋体" w:hint="default"/>
          <w:sz w:val="13"/>
          <w:szCs w:val="13"/>
        </w:rPr>
      </w:pPr>
    </w:p>
    <w:p>
      <w:pPr>
        <w:spacing w:line="4920" w:lineRule="exact"/>
        <w:ind w:left="2296" w:right="0" w:firstLine="0"/>
        <w:rPr>
          <w:rFonts w:ascii="宋体" w:hAnsi="宋体" w:cs="宋体" w:eastAsia="宋体" w:hint="default"/>
          <w:sz w:val="20"/>
          <w:szCs w:val="20"/>
        </w:rPr>
      </w:pPr>
      <w:r>
        <w:rPr>
          <w:rFonts w:ascii="宋体" w:hAnsi="宋体" w:cs="宋体" w:eastAsia="宋体" w:hint="default"/>
          <w:position w:val="-97"/>
          <w:sz w:val="20"/>
          <w:szCs w:val="20"/>
        </w:rPr>
        <w:drawing>
          <wp:inline distT="0" distB="0" distL="0" distR="0">
            <wp:extent cx="3400481" cy="3124200"/>
            <wp:effectExtent l="0" t="0" r="0" b="0"/>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8" cstate="print"/>
                    <a:stretch>
                      <a:fillRect/>
                    </a:stretch>
                  </pic:blipFill>
                  <pic:spPr>
                    <a:xfrm>
                      <a:off x="0" y="0"/>
                      <a:ext cx="3400481" cy="3124200"/>
                    </a:xfrm>
                    <a:prstGeom prst="rect">
                      <a:avLst/>
                    </a:prstGeom>
                  </pic:spPr>
                </pic:pic>
              </a:graphicData>
            </a:graphic>
          </wp:inline>
        </w:drawing>
      </w:r>
      <w:r>
        <w:rPr>
          <w:rFonts w:ascii="宋体" w:hAnsi="宋体" w:cs="宋体" w:eastAsia="宋体" w:hint="default"/>
          <w:position w:val="-97"/>
          <w:sz w:val="20"/>
          <w:szCs w:val="20"/>
        </w:rPr>
      </w:r>
    </w:p>
    <w:p>
      <w:pPr>
        <w:spacing w:line="256" w:lineRule="auto" w:before="142"/>
        <w:ind w:left="154" w:right="152" w:firstLine="420"/>
        <w:jc w:val="both"/>
        <w:rPr>
          <w:rFonts w:ascii="宋体" w:hAnsi="宋体" w:cs="宋体" w:eastAsia="宋体" w:hint="default"/>
          <w:sz w:val="21"/>
          <w:szCs w:val="21"/>
        </w:rPr>
      </w:pPr>
      <w:r>
        <w:rPr>
          <w:rFonts w:ascii="宋体" w:hAnsi="宋体" w:cs="宋体" w:eastAsia="宋体" w:hint="default"/>
          <w:spacing w:val="-1"/>
          <w:sz w:val="21"/>
          <w:szCs w:val="21"/>
        </w:rPr>
        <w:t>另外，公司已于</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15</w:t>
      </w:r>
      <w:r>
        <w:rPr>
          <w:rFonts w:ascii="宋体" w:hAnsi="宋体" w:cs="宋体" w:eastAsia="宋体" w:hint="default"/>
          <w:spacing w:val="-1"/>
          <w:sz w:val="21"/>
          <w:szCs w:val="21"/>
        </w:rPr>
        <w:t>日公布了参与全球知名浏览器公司</w:t>
      </w:r>
      <w:r>
        <w:rPr>
          <w:rFonts w:ascii="Times New Roman" w:hAnsi="Times New Roman" w:cs="Times New Roman" w:eastAsia="Times New Roman" w:hint="default"/>
          <w:spacing w:val="-1"/>
          <w:sz w:val="21"/>
          <w:szCs w:val="21"/>
        </w:rPr>
        <w:t>Opera</w:t>
      </w:r>
      <w:r>
        <w:rPr>
          <w:rFonts w:ascii="宋体" w:hAnsi="宋体" w:cs="宋体" w:eastAsia="宋体" w:hint="default"/>
          <w:spacing w:val="-1"/>
          <w:sz w:val="21"/>
          <w:szCs w:val="21"/>
        </w:rPr>
        <w:t>的收购公告，昆仑万维将委派主</w:t>
      </w:r>
      <w:r>
        <w:rPr>
          <w:rFonts w:ascii="宋体" w:hAnsi="宋体" w:cs="宋体" w:eastAsia="宋体" w:hint="default"/>
          <w:sz w:val="21"/>
          <w:szCs w:val="21"/>
        </w:rPr>
        <w:t> 力团队对</w:t>
      </w:r>
      <w:r>
        <w:rPr>
          <w:rFonts w:ascii="Times New Roman" w:hAnsi="Times New Roman" w:cs="Times New Roman" w:eastAsia="Times New Roman" w:hint="default"/>
          <w:sz w:val="21"/>
          <w:szCs w:val="21"/>
        </w:rPr>
        <w:t>Opera</w:t>
      </w:r>
      <w:r>
        <w:rPr>
          <w:rFonts w:ascii="宋体" w:hAnsi="宋体" w:cs="宋体" w:eastAsia="宋体" w:hint="default"/>
          <w:sz w:val="21"/>
          <w:szCs w:val="21"/>
        </w:rPr>
        <w:t>进行全方位的升级整合，希望将</w:t>
      </w:r>
      <w:r>
        <w:rPr>
          <w:rFonts w:ascii="Times New Roman" w:hAnsi="Times New Roman" w:cs="Times New Roman" w:eastAsia="Times New Roman" w:hint="default"/>
          <w:sz w:val="21"/>
          <w:szCs w:val="21"/>
        </w:rPr>
        <w:t>Opera</w:t>
      </w:r>
      <w:r>
        <w:rPr>
          <w:rFonts w:ascii="宋体" w:hAnsi="宋体" w:cs="宋体" w:eastAsia="宋体" w:hint="default"/>
          <w:sz w:val="21"/>
          <w:szCs w:val="21"/>
        </w:rPr>
        <w:t>打造成为全球排名前三名的移动浏览器厂商。此举可 迅速提升公司在软件工具方面的市场占有率，成为公司布局全球移动网络的重要入口之一。</w:t>
      </w:r>
    </w:p>
    <w:p>
      <w:pPr>
        <w:spacing w:after="0" w:line="256" w:lineRule="auto"/>
        <w:jc w:val="both"/>
        <w:rPr>
          <w:rFonts w:ascii="宋体" w:hAnsi="宋体" w:cs="宋体" w:eastAsia="宋体" w:hint="default"/>
          <w:sz w:val="21"/>
          <w:szCs w:val="21"/>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spacing w:before="35"/>
        <w:ind w:left="15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、互联网金融：</w:t>
      </w:r>
    </w:p>
    <w:p>
      <w:pPr>
        <w:spacing w:line="256" w:lineRule="auto" w:before="141"/>
        <w:ind w:left="154" w:right="229" w:firstLine="420"/>
        <w:jc w:val="left"/>
        <w:rPr>
          <w:rFonts w:ascii="宋体" w:hAnsi="宋体" w:cs="宋体" w:eastAsia="宋体" w:hint="default"/>
          <w:sz w:val="21"/>
          <w:szCs w:val="21"/>
        </w:rPr>
      </w:pPr>
      <w:r>
        <w:rPr>
          <w:rFonts w:ascii="宋体" w:hAnsi="宋体" w:cs="宋体" w:eastAsia="宋体" w:hint="default"/>
          <w:sz w:val="21"/>
          <w:szCs w:val="21"/>
        </w:rPr>
        <w:t>报告期内，公司通过先后投资趣分期、随手科技、</w:t>
      </w:r>
      <w:r>
        <w:rPr>
          <w:rFonts w:ascii="Times New Roman" w:hAnsi="Times New Roman" w:cs="Times New Roman" w:eastAsia="Times New Roman" w:hint="default"/>
          <w:sz w:val="21"/>
          <w:szCs w:val="21"/>
        </w:rPr>
        <w:t>Lendinvest</w:t>
      </w:r>
      <w:r>
        <w:rPr>
          <w:rFonts w:ascii="宋体" w:hAnsi="宋体" w:cs="宋体" w:eastAsia="宋体" w:hint="default"/>
          <w:sz w:val="21"/>
          <w:szCs w:val="21"/>
        </w:rPr>
        <w:t>、银客、洋钱罐等互联网金融细分领域 的领军企业，迅速成为该领域颇具影响力的企业之一，并以此为根基打造国内外互联网金融生态链。</w:t>
      </w:r>
    </w:p>
    <w:p>
      <w:pPr>
        <w:spacing w:before="142"/>
        <w:ind w:left="15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）趣分期</w:t>
      </w:r>
    </w:p>
    <w:p>
      <w:pPr>
        <w:spacing w:line="256" w:lineRule="auto" w:before="141"/>
        <w:ind w:left="154" w:right="145"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月成立，是目前最受中国大学生欢迎的分期购物商城。主要业务分为分期购物、趣白条、趣 </w:t>
      </w:r>
      <w:r>
        <w:rPr>
          <w:rFonts w:ascii="宋体" w:hAnsi="宋体" w:cs="宋体" w:eastAsia="宋体" w:hint="default"/>
          <w:spacing w:val="-1"/>
          <w:sz w:val="21"/>
          <w:szCs w:val="21"/>
        </w:rPr>
        <w:t>贷、</w:t>
      </w:r>
      <w:r>
        <w:rPr>
          <w:rFonts w:ascii="Times New Roman" w:hAnsi="Times New Roman" w:cs="Times New Roman" w:eastAsia="Times New Roman" w:hint="default"/>
          <w:spacing w:val="-1"/>
          <w:sz w:val="21"/>
          <w:szCs w:val="21"/>
        </w:rPr>
        <w:t>offer</w:t>
      </w:r>
      <w:r>
        <w:rPr>
          <w:rFonts w:ascii="宋体" w:hAnsi="宋体" w:cs="宋体" w:eastAsia="宋体" w:hint="default"/>
          <w:spacing w:val="-1"/>
          <w:sz w:val="21"/>
          <w:szCs w:val="21"/>
        </w:rPr>
        <w:t>贷、高管贷等，</w:t>
      </w:r>
      <w:r>
        <w:rPr>
          <w:rFonts w:ascii="Times New Roman" w:hAnsi="Times New Roman" w:cs="Times New Roman" w:eastAsia="Times New Roman" w:hint="default"/>
          <w:spacing w:val="-1"/>
          <w:sz w:val="21"/>
          <w:szCs w:val="21"/>
        </w:rPr>
        <w:t>2015</w:t>
      </w:r>
      <w:r>
        <w:rPr>
          <w:rFonts w:ascii="宋体" w:hAnsi="宋体" w:cs="宋体" w:eastAsia="宋体" w:hint="default"/>
          <w:spacing w:val="-1"/>
          <w:sz w:val="21"/>
          <w:szCs w:val="21"/>
        </w:rPr>
        <w:t>年流水超过</w:t>
      </w:r>
      <w:r>
        <w:rPr>
          <w:rFonts w:ascii="Times New Roman" w:hAnsi="Times New Roman" w:cs="Times New Roman" w:eastAsia="Times New Roman" w:hint="default"/>
          <w:spacing w:val="-1"/>
          <w:sz w:val="21"/>
          <w:szCs w:val="21"/>
        </w:rPr>
        <w:t>80</w:t>
      </w:r>
      <w:r>
        <w:rPr>
          <w:rFonts w:ascii="宋体" w:hAnsi="宋体" w:cs="宋体" w:eastAsia="宋体" w:hint="default"/>
          <w:spacing w:val="-1"/>
          <w:sz w:val="21"/>
          <w:szCs w:val="21"/>
        </w:rPr>
        <w:t>亿人民币。</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月份，趣分期已完成</w:t>
      </w:r>
      <w:r>
        <w:rPr>
          <w:rFonts w:ascii="Times New Roman" w:hAnsi="Times New Roman" w:cs="Times New Roman" w:eastAsia="Times New Roman" w:hint="default"/>
          <w:spacing w:val="-1"/>
          <w:sz w:val="21"/>
          <w:szCs w:val="21"/>
        </w:rPr>
        <w:t>VIE</w:t>
      </w:r>
      <w:r>
        <w:rPr>
          <w:rFonts w:ascii="宋体" w:hAnsi="宋体" w:cs="宋体" w:eastAsia="宋体" w:hint="default"/>
          <w:spacing w:val="-1"/>
          <w:sz w:val="21"/>
          <w:szCs w:val="21"/>
        </w:rPr>
        <w:t>结构的拆除，未来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拟登陆国内资本市场。</w:t>
      </w:r>
    </w:p>
    <w:p>
      <w:pPr>
        <w:spacing w:line="240" w:lineRule="auto" w:before="6"/>
        <w:rPr>
          <w:rFonts w:ascii="宋体" w:hAnsi="宋体" w:cs="宋体" w:eastAsia="宋体" w:hint="default"/>
          <w:sz w:val="12"/>
          <w:szCs w:val="12"/>
        </w:rPr>
      </w:pPr>
    </w:p>
    <w:p>
      <w:pPr>
        <w:spacing w:line="9660" w:lineRule="exact"/>
        <w:ind w:left="2243" w:right="0" w:firstLine="0"/>
        <w:rPr>
          <w:rFonts w:ascii="宋体" w:hAnsi="宋体" w:cs="宋体" w:eastAsia="宋体" w:hint="default"/>
          <w:sz w:val="20"/>
          <w:szCs w:val="20"/>
        </w:rPr>
      </w:pPr>
      <w:r>
        <w:rPr>
          <w:rFonts w:ascii="宋体" w:hAnsi="宋体" w:cs="宋体" w:eastAsia="宋体" w:hint="default"/>
          <w:position w:val="-192"/>
          <w:sz w:val="20"/>
          <w:szCs w:val="20"/>
        </w:rPr>
        <w:drawing>
          <wp:inline distT="0" distB="0" distL="0" distR="0">
            <wp:extent cx="3466823" cy="6134100"/>
            <wp:effectExtent l="0" t="0" r="0" b="0"/>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9" cstate="print"/>
                    <a:stretch>
                      <a:fillRect/>
                    </a:stretch>
                  </pic:blipFill>
                  <pic:spPr>
                    <a:xfrm>
                      <a:off x="0" y="0"/>
                      <a:ext cx="3466823" cy="6134100"/>
                    </a:xfrm>
                    <a:prstGeom prst="rect">
                      <a:avLst/>
                    </a:prstGeom>
                  </pic:spPr>
                </pic:pic>
              </a:graphicData>
            </a:graphic>
          </wp:inline>
        </w:drawing>
      </w:r>
      <w:r>
        <w:rPr>
          <w:rFonts w:ascii="宋体" w:hAnsi="宋体" w:cs="宋体" w:eastAsia="宋体" w:hint="default"/>
          <w:position w:val="-192"/>
          <w:sz w:val="20"/>
          <w:szCs w:val="20"/>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spacing w:before="0"/>
        <w:ind w:left="15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）随手科技</w:t>
      </w:r>
    </w:p>
    <w:p>
      <w:pPr>
        <w:spacing w:after="0"/>
        <w:jc w:val="left"/>
        <w:rPr>
          <w:rFonts w:ascii="宋体" w:hAnsi="宋体" w:cs="宋体" w:eastAsia="宋体" w:hint="default"/>
          <w:sz w:val="21"/>
          <w:szCs w:val="21"/>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264" w:lineRule="auto" w:before="35"/>
        <w:ind w:left="154" w:right="151" w:firstLine="420"/>
        <w:jc w:val="both"/>
        <w:rPr>
          <w:rFonts w:ascii="宋体" w:hAnsi="宋体" w:cs="宋体" w:eastAsia="宋体" w:hint="default"/>
          <w:sz w:val="21"/>
          <w:szCs w:val="21"/>
        </w:rPr>
      </w:pPr>
      <w:r>
        <w:rPr>
          <w:rFonts w:ascii="宋体" w:hAnsi="宋体" w:cs="宋体" w:eastAsia="宋体" w:hint="default"/>
          <w:spacing w:val="-1"/>
          <w:sz w:val="21"/>
          <w:szCs w:val="21"/>
        </w:rPr>
        <w:t>随手科技是国内领先的个人理财应用服务提供商。旗下拥有随手记、卡牛信用卡管家等多款知名理财</w:t>
      </w:r>
      <w:r>
        <w:rPr>
          <w:rFonts w:ascii="宋体" w:hAnsi="宋体" w:cs="宋体" w:eastAsia="宋体" w:hint="default"/>
          <w:sz w:val="21"/>
          <w:szCs w:val="21"/>
        </w:rPr>
        <w:t> 应用产品。其中随手记用户超过后十位同类产品用户总和近一倍，在苹果</w:t>
      </w:r>
      <w:r>
        <w:rPr>
          <w:rFonts w:ascii="Times New Roman" w:hAnsi="Times New Roman" w:cs="Times New Roman" w:eastAsia="Times New Roman" w:hint="default"/>
          <w:sz w:val="21"/>
          <w:szCs w:val="21"/>
        </w:rPr>
        <w:t>AppStore</w:t>
      </w:r>
      <w:r>
        <w:rPr>
          <w:rFonts w:ascii="宋体" w:hAnsi="宋体" w:cs="宋体" w:eastAsia="宋体" w:hint="default"/>
          <w:sz w:val="21"/>
          <w:szCs w:val="21"/>
        </w:rPr>
        <w:t>财务榜连续</w:t>
      </w:r>
      <w:r>
        <w:rPr>
          <w:rFonts w:ascii="Times New Roman" w:hAnsi="Times New Roman" w:cs="Times New Roman" w:eastAsia="Times New Roman" w:hint="default"/>
          <w:sz w:val="21"/>
          <w:szCs w:val="21"/>
        </w:rPr>
        <w:t>1900</w:t>
      </w:r>
      <w:r>
        <w:rPr>
          <w:rFonts w:ascii="宋体" w:hAnsi="宋体" w:cs="宋体" w:eastAsia="宋体" w:hint="default"/>
          <w:sz w:val="21"/>
          <w:szCs w:val="21"/>
        </w:rPr>
        <w:t>天排名</w:t>
      </w:r>
      <w:r>
        <w:rPr>
          <w:rFonts w:ascii="宋体" w:hAnsi="宋体" w:cs="宋体" w:eastAsia="宋体" w:hint="default"/>
          <w:w w:val="99"/>
          <w:sz w:val="21"/>
          <w:szCs w:val="21"/>
        </w:rPr>
        <w:t> </w:t>
      </w:r>
      <w:r>
        <w:rPr>
          <w:rFonts w:ascii="宋体" w:hAnsi="宋体" w:cs="宋体" w:eastAsia="宋体" w:hint="default"/>
          <w:sz w:val="21"/>
          <w:szCs w:val="21"/>
        </w:rPr>
        <w:t>第一。</w:t>
      </w:r>
    </w:p>
    <w:p>
      <w:pPr>
        <w:spacing w:line="240" w:lineRule="auto" w:before="9"/>
        <w:rPr>
          <w:rFonts w:ascii="宋体" w:hAnsi="宋体" w:cs="宋体" w:eastAsia="宋体" w:hint="default"/>
          <w:sz w:val="15"/>
          <w:szCs w:val="15"/>
        </w:rPr>
      </w:pPr>
    </w:p>
    <w:p>
      <w:pPr>
        <w:spacing w:line="5820" w:lineRule="exact"/>
        <w:ind w:left="3323" w:right="0" w:firstLine="0"/>
        <w:rPr>
          <w:rFonts w:ascii="宋体" w:hAnsi="宋体" w:cs="宋体" w:eastAsia="宋体" w:hint="default"/>
          <w:sz w:val="20"/>
          <w:szCs w:val="20"/>
        </w:rPr>
      </w:pPr>
      <w:r>
        <w:rPr>
          <w:rFonts w:ascii="宋体" w:hAnsi="宋体" w:cs="宋体" w:eastAsia="宋体" w:hint="default"/>
          <w:position w:val="-115"/>
          <w:sz w:val="20"/>
          <w:szCs w:val="20"/>
        </w:rPr>
        <w:drawing>
          <wp:inline distT="0" distB="0" distL="0" distR="0">
            <wp:extent cx="2095860" cy="3695700"/>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30" cstate="print"/>
                    <a:stretch>
                      <a:fillRect/>
                    </a:stretch>
                  </pic:blipFill>
                  <pic:spPr>
                    <a:xfrm>
                      <a:off x="0" y="0"/>
                      <a:ext cx="2095860" cy="3695700"/>
                    </a:xfrm>
                    <a:prstGeom prst="rect">
                      <a:avLst/>
                    </a:prstGeom>
                  </pic:spPr>
                </pic:pic>
              </a:graphicData>
            </a:graphic>
          </wp:inline>
        </w:drawing>
      </w:r>
      <w:r>
        <w:rPr>
          <w:rFonts w:ascii="宋体" w:hAnsi="宋体" w:cs="宋体" w:eastAsia="宋体" w:hint="default"/>
          <w:position w:val="-115"/>
          <w:sz w:val="20"/>
          <w:szCs w:val="20"/>
        </w:rPr>
      </w:r>
    </w:p>
    <w:p>
      <w:pPr>
        <w:spacing w:before="160"/>
        <w:ind w:left="15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）银客</w:t>
      </w:r>
    </w:p>
    <w:p>
      <w:pPr>
        <w:spacing w:line="264" w:lineRule="auto" w:before="141"/>
        <w:ind w:left="154" w:right="150" w:firstLine="420"/>
        <w:jc w:val="both"/>
        <w:rPr>
          <w:rFonts w:ascii="宋体" w:hAnsi="宋体" w:cs="宋体" w:eastAsia="宋体" w:hint="default"/>
          <w:sz w:val="21"/>
          <w:szCs w:val="21"/>
        </w:rPr>
      </w:pPr>
      <w:r>
        <w:rPr>
          <w:rFonts w:ascii="宋体" w:hAnsi="宋体" w:cs="宋体" w:eastAsia="宋体" w:hint="default"/>
          <w:spacing w:val="-1"/>
          <w:sz w:val="21"/>
          <w:szCs w:val="21"/>
        </w:rPr>
        <w:t>银客集团是全国领先的综合性互联网金融集团，为北京市网贷行业协会副会长单位。银客集团为广大</w:t>
      </w:r>
      <w:r>
        <w:rPr>
          <w:rFonts w:ascii="宋体" w:hAnsi="宋体" w:cs="宋体" w:eastAsia="宋体" w:hint="default"/>
          <w:sz w:val="21"/>
          <w:szCs w:val="21"/>
        </w:rPr>
        <w:t> 用户提供</w:t>
      </w:r>
      <w:r>
        <w:rPr>
          <w:rFonts w:ascii="Times New Roman" w:hAnsi="Times New Roman" w:cs="Times New Roman" w:eastAsia="Times New Roman" w:hint="default"/>
          <w:sz w:val="21"/>
          <w:szCs w:val="21"/>
        </w:rPr>
        <w:t>“</w:t>
      </w:r>
      <w:r>
        <w:rPr>
          <w:rFonts w:ascii="宋体" w:hAnsi="宋体" w:cs="宋体" w:eastAsia="宋体" w:hint="default"/>
          <w:sz w:val="21"/>
          <w:szCs w:val="21"/>
        </w:rPr>
        <w:t>全生态</w:t>
      </w:r>
      <w:r>
        <w:rPr>
          <w:rFonts w:ascii="Times New Roman" w:hAnsi="Times New Roman" w:cs="Times New Roman" w:eastAsia="Times New Roman" w:hint="default"/>
          <w:sz w:val="21"/>
          <w:szCs w:val="21"/>
        </w:rPr>
        <w:t>”</w:t>
      </w:r>
      <w:r>
        <w:rPr>
          <w:rFonts w:ascii="宋体" w:hAnsi="宋体" w:cs="宋体" w:eastAsia="宋体" w:hint="default"/>
          <w:sz w:val="21"/>
          <w:szCs w:val="21"/>
        </w:rPr>
        <w:t>的财富管理与金融信息服务，核心团队来自于腾讯、阿里巴巴、平安银行、京东金融等 知名企业。银客重点打造两款产品：</w:t>
      </w:r>
    </w:p>
    <w:p>
      <w:pPr>
        <w:spacing w:line="256" w:lineRule="auto" w:before="136"/>
        <w:ind w:left="154" w:right="199" w:firstLine="0"/>
        <w:jc w:val="left"/>
        <w:rPr>
          <w:rFonts w:ascii="宋体" w:hAnsi="宋体" w:cs="宋体" w:eastAsia="宋体" w:hint="default"/>
          <w:sz w:val="21"/>
          <w:szCs w:val="21"/>
        </w:rPr>
      </w:pPr>
      <w:r>
        <w:rPr>
          <w:rFonts w:ascii="宋体" w:hAnsi="宋体" w:cs="宋体" w:eastAsia="宋体" w:hint="default"/>
          <w:sz w:val="21"/>
          <w:szCs w:val="21"/>
        </w:rPr>
        <w:t>银客网：全国领先的互联网金融平台，平台全年成交额</w:t>
      </w:r>
      <w:r>
        <w:rPr>
          <w:rFonts w:ascii="Times New Roman" w:hAnsi="Times New Roman" w:cs="Times New Roman" w:eastAsia="Times New Roman" w:hint="default"/>
          <w:sz w:val="21"/>
          <w:szCs w:val="21"/>
        </w:rPr>
        <w:t>40.88</w:t>
      </w:r>
      <w:r>
        <w:rPr>
          <w:rFonts w:ascii="宋体" w:hAnsi="宋体" w:cs="宋体" w:eastAsia="宋体" w:hint="default"/>
          <w:sz w:val="21"/>
          <w:szCs w:val="21"/>
        </w:rPr>
        <w:t>亿元，较</w:t>
      </w:r>
      <w:r>
        <w:rPr>
          <w:rFonts w:ascii="Times New Roman" w:hAnsi="Times New Roman" w:cs="Times New Roman" w:eastAsia="Times New Roman" w:hint="default"/>
          <w:sz w:val="21"/>
          <w:szCs w:val="21"/>
        </w:rPr>
        <w:t>2014</w:t>
      </w:r>
      <w:r>
        <w:rPr>
          <w:rFonts w:ascii="宋体" w:hAnsi="宋体" w:cs="宋体" w:eastAsia="宋体" w:hint="default"/>
          <w:sz w:val="21"/>
          <w:szCs w:val="21"/>
        </w:rPr>
        <w:t>年增长</w:t>
      </w:r>
      <w:r>
        <w:rPr>
          <w:rFonts w:ascii="Times New Roman" w:hAnsi="Times New Roman" w:cs="Times New Roman" w:eastAsia="Times New Roman" w:hint="default"/>
          <w:sz w:val="21"/>
          <w:szCs w:val="21"/>
        </w:rPr>
        <w:t>386%</w:t>
      </w:r>
      <w:r>
        <w:rPr>
          <w:rFonts w:ascii="宋体" w:hAnsi="宋体" w:cs="宋体" w:eastAsia="宋体" w:hint="default"/>
          <w:sz w:val="21"/>
          <w:szCs w:val="21"/>
        </w:rPr>
        <w:t>，为投资者赚取理 财收益</w:t>
      </w:r>
      <w:r>
        <w:rPr>
          <w:rFonts w:ascii="Times New Roman" w:hAnsi="Times New Roman" w:cs="Times New Roman" w:eastAsia="Times New Roman" w:hint="default"/>
          <w:sz w:val="21"/>
          <w:szCs w:val="21"/>
        </w:rPr>
        <w:t>1.29</w:t>
      </w:r>
      <w:r>
        <w:rPr>
          <w:rFonts w:ascii="宋体" w:hAnsi="宋体" w:cs="宋体" w:eastAsia="宋体" w:hint="default"/>
          <w:sz w:val="21"/>
          <w:szCs w:val="21"/>
        </w:rPr>
        <w:t>亿元。</w:t>
      </w:r>
    </w:p>
    <w:p>
      <w:pPr>
        <w:spacing w:before="125"/>
        <w:ind w:left="154" w:right="0" w:firstLine="0"/>
        <w:jc w:val="left"/>
        <w:rPr>
          <w:rFonts w:ascii="宋体" w:hAnsi="宋体" w:cs="宋体" w:eastAsia="宋体" w:hint="default"/>
          <w:sz w:val="21"/>
          <w:szCs w:val="21"/>
        </w:rPr>
      </w:pPr>
      <w:r>
        <w:rPr>
          <w:rFonts w:ascii="宋体" w:hAnsi="宋体" w:cs="宋体" w:eastAsia="宋体" w:hint="default"/>
          <w:sz w:val="21"/>
          <w:szCs w:val="21"/>
        </w:rPr>
        <w:t>简理财：活期理财工具。</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月上线至</w:t>
      </w:r>
      <w:r>
        <w:rPr>
          <w:rFonts w:ascii="Times New Roman" w:hAnsi="Times New Roman" w:cs="Times New Roman" w:eastAsia="Times New Roman" w:hint="default"/>
          <w:sz w:val="21"/>
          <w:szCs w:val="21"/>
        </w:rPr>
        <w:t>12</w:t>
      </w:r>
      <w:r>
        <w:rPr>
          <w:rFonts w:ascii="宋体" w:hAnsi="宋体" w:cs="宋体" w:eastAsia="宋体" w:hint="default"/>
          <w:sz w:val="21"/>
          <w:szCs w:val="21"/>
        </w:rPr>
        <w:t>月底，交易额近</w:t>
      </w:r>
      <w:r>
        <w:rPr>
          <w:rFonts w:ascii="Times New Roman" w:hAnsi="Times New Roman" w:cs="Times New Roman" w:eastAsia="Times New Roman" w:hint="default"/>
          <w:sz w:val="21"/>
          <w:szCs w:val="21"/>
        </w:rPr>
        <w:t>45</w:t>
      </w:r>
      <w:r>
        <w:rPr>
          <w:rFonts w:ascii="宋体" w:hAnsi="宋体" w:cs="宋体" w:eastAsia="宋体" w:hint="default"/>
          <w:sz w:val="21"/>
          <w:szCs w:val="21"/>
        </w:rPr>
        <w:t>亿。</w:t>
      </w:r>
    </w:p>
    <w:p>
      <w:pPr>
        <w:spacing w:after="0"/>
        <w:jc w:val="left"/>
        <w:rPr>
          <w:rFonts w:ascii="宋体" w:hAnsi="宋体" w:cs="宋体" w:eastAsia="宋体" w:hint="default"/>
          <w:sz w:val="21"/>
          <w:szCs w:val="21"/>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2"/>
          <w:szCs w:val="12"/>
        </w:rPr>
      </w:pPr>
    </w:p>
    <w:p>
      <w:pPr>
        <w:spacing w:line="5820" w:lineRule="exact"/>
        <w:ind w:left="1673" w:right="0" w:firstLine="0"/>
        <w:rPr>
          <w:rFonts w:ascii="宋体" w:hAnsi="宋体" w:cs="宋体" w:eastAsia="宋体" w:hint="default"/>
          <w:sz w:val="20"/>
          <w:szCs w:val="20"/>
        </w:rPr>
      </w:pPr>
      <w:r>
        <w:rPr>
          <w:rFonts w:ascii="宋体" w:hAnsi="宋体" w:cs="宋体" w:eastAsia="宋体" w:hint="default"/>
          <w:position w:val="-115"/>
          <w:sz w:val="20"/>
          <w:szCs w:val="20"/>
        </w:rPr>
        <w:drawing>
          <wp:inline distT="0" distB="0" distL="0" distR="0">
            <wp:extent cx="4191720" cy="3695700"/>
            <wp:effectExtent l="0" t="0" r="0" b="0"/>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31" cstate="print"/>
                    <a:stretch>
                      <a:fillRect/>
                    </a:stretch>
                  </pic:blipFill>
                  <pic:spPr>
                    <a:xfrm>
                      <a:off x="0" y="0"/>
                      <a:ext cx="4191720" cy="3695700"/>
                    </a:xfrm>
                    <a:prstGeom prst="rect">
                      <a:avLst/>
                    </a:prstGeom>
                  </pic:spPr>
                </pic:pic>
              </a:graphicData>
            </a:graphic>
          </wp:inline>
        </w:drawing>
      </w:r>
      <w:r>
        <w:rPr>
          <w:rFonts w:ascii="宋体" w:hAnsi="宋体" w:cs="宋体" w:eastAsia="宋体" w:hint="default"/>
          <w:position w:val="-115"/>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spacing w:before="35"/>
        <w:ind w:left="154" w:right="213"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Lendinvest</w:t>
      </w:r>
    </w:p>
    <w:p>
      <w:pPr>
        <w:spacing w:before="141"/>
        <w:ind w:left="574" w:right="213" w:firstLine="0"/>
        <w:jc w:val="left"/>
        <w:rPr>
          <w:rFonts w:ascii="宋体" w:hAnsi="宋体" w:cs="宋体" w:eastAsia="宋体" w:hint="default"/>
          <w:sz w:val="21"/>
          <w:szCs w:val="21"/>
        </w:rPr>
      </w:pPr>
      <w:r>
        <w:rPr>
          <w:rFonts w:ascii="宋体" w:hAnsi="宋体" w:cs="宋体" w:eastAsia="宋体" w:hint="default"/>
          <w:sz w:val="21"/>
          <w:szCs w:val="21"/>
        </w:rPr>
        <w:t>欧洲最大的房地产抵押</w:t>
      </w:r>
      <w:r>
        <w:rPr>
          <w:rFonts w:ascii="Times New Roman" w:hAnsi="Times New Roman" w:cs="Times New Roman" w:eastAsia="Times New Roman" w:hint="default"/>
          <w:sz w:val="21"/>
          <w:szCs w:val="21"/>
        </w:rPr>
        <w:t>P2P</w:t>
      </w:r>
      <w:r>
        <w:rPr>
          <w:rFonts w:ascii="宋体" w:hAnsi="宋体" w:cs="宋体" w:eastAsia="宋体" w:hint="default"/>
          <w:sz w:val="21"/>
          <w:szCs w:val="21"/>
        </w:rPr>
        <w:t>公司之一，上线以来贷款总额累计将近</w:t>
      </w:r>
      <w:r>
        <w:rPr>
          <w:rFonts w:ascii="Times New Roman" w:hAnsi="Times New Roman" w:cs="Times New Roman" w:eastAsia="Times New Roman" w:hint="default"/>
          <w:sz w:val="21"/>
          <w:szCs w:val="21"/>
        </w:rPr>
        <w:t>5</w:t>
      </w:r>
      <w:r>
        <w:rPr>
          <w:rFonts w:ascii="宋体" w:hAnsi="宋体" w:cs="宋体" w:eastAsia="宋体" w:hint="default"/>
          <w:sz w:val="21"/>
          <w:szCs w:val="21"/>
        </w:rPr>
        <w:t>亿英镑。</w:t>
      </w:r>
    </w:p>
    <w:p>
      <w:pPr>
        <w:spacing w:line="240" w:lineRule="auto" w:before="11"/>
        <w:rPr>
          <w:rFonts w:ascii="宋体" w:hAnsi="宋体" w:cs="宋体" w:eastAsia="宋体" w:hint="default"/>
          <w:sz w:val="16"/>
          <w:szCs w:val="16"/>
        </w:rPr>
      </w:pPr>
    </w:p>
    <w:p>
      <w:pPr>
        <w:spacing w:line="5175" w:lineRule="exact"/>
        <w:ind w:left="1673" w:right="0" w:firstLine="0"/>
        <w:rPr>
          <w:rFonts w:ascii="宋体" w:hAnsi="宋体" w:cs="宋体" w:eastAsia="宋体" w:hint="default"/>
          <w:sz w:val="20"/>
          <w:szCs w:val="20"/>
        </w:rPr>
      </w:pPr>
      <w:r>
        <w:rPr>
          <w:rFonts w:ascii="宋体" w:hAnsi="宋体" w:cs="宋体" w:eastAsia="宋体" w:hint="default"/>
          <w:position w:val="-103"/>
          <w:sz w:val="20"/>
          <w:szCs w:val="20"/>
        </w:rPr>
        <w:drawing>
          <wp:inline distT="0" distB="0" distL="0" distR="0">
            <wp:extent cx="4191810" cy="3286125"/>
            <wp:effectExtent l="0" t="0" r="0" b="0"/>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32" cstate="print"/>
                    <a:stretch>
                      <a:fillRect/>
                    </a:stretch>
                  </pic:blipFill>
                  <pic:spPr>
                    <a:xfrm>
                      <a:off x="0" y="0"/>
                      <a:ext cx="4191810" cy="3286125"/>
                    </a:xfrm>
                    <a:prstGeom prst="rect">
                      <a:avLst/>
                    </a:prstGeom>
                  </pic:spPr>
                </pic:pic>
              </a:graphicData>
            </a:graphic>
          </wp:inline>
        </w:drawing>
      </w:r>
      <w:r>
        <w:rPr>
          <w:rFonts w:ascii="宋体" w:hAnsi="宋体" w:cs="宋体" w:eastAsia="宋体" w:hint="default"/>
          <w:position w:val="-103"/>
          <w:sz w:val="20"/>
          <w:szCs w:val="20"/>
        </w:rPr>
      </w:r>
    </w:p>
    <w:p>
      <w:pPr>
        <w:spacing w:before="170"/>
        <w:ind w:left="154" w:right="2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）洋钱罐</w:t>
      </w:r>
    </w:p>
    <w:p>
      <w:pPr>
        <w:spacing w:before="141"/>
        <w:ind w:left="574" w:right="86" w:firstLine="0"/>
        <w:jc w:val="left"/>
        <w:rPr>
          <w:rFonts w:ascii="宋体" w:hAnsi="宋体" w:cs="宋体" w:eastAsia="宋体" w:hint="default"/>
          <w:sz w:val="21"/>
          <w:szCs w:val="21"/>
        </w:rPr>
      </w:pPr>
      <w:r>
        <w:rPr>
          <w:rFonts w:ascii="宋体" w:hAnsi="宋体" w:cs="宋体" w:eastAsia="宋体" w:hint="default"/>
          <w:spacing w:val="-3"/>
          <w:sz w:val="21"/>
          <w:szCs w:val="21"/>
        </w:rPr>
        <w:t>洋钱罐定位为都市白领的理财专家，</w:t>
      </w:r>
      <w:r>
        <w:rPr>
          <w:rFonts w:ascii="Times New Roman" w:hAnsi="Times New Roman" w:cs="Times New Roman" w:eastAsia="Times New Roman" w:hint="default"/>
          <w:spacing w:val="-3"/>
          <w:sz w:val="21"/>
          <w:szCs w:val="21"/>
        </w:rPr>
        <w:t>2015</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10</w:t>
      </w:r>
      <w:r>
        <w:rPr>
          <w:rFonts w:ascii="宋体" w:hAnsi="宋体" w:cs="宋体" w:eastAsia="宋体" w:hint="default"/>
          <w:spacing w:val="-3"/>
          <w:sz w:val="21"/>
          <w:szCs w:val="21"/>
        </w:rPr>
        <w:t>月上线，目前已推出小金罐、抄底牛、保本基金等产品。</w:t>
      </w:r>
    </w:p>
    <w:p>
      <w:pPr>
        <w:spacing w:after="0"/>
        <w:jc w:val="left"/>
        <w:rPr>
          <w:rFonts w:ascii="宋体" w:hAnsi="宋体" w:cs="宋体" w:eastAsia="宋体" w:hint="default"/>
          <w:sz w:val="21"/>
          <w:szCs w:val="21"/>
        </w:rPr>
        <w:sectPr>
          <w:pgSz w:w="11910" w:h="16840"/>
          <w:pgMar w:header="747" w:footer="979" w:top="1060" w:bottom="1160" w:left="980" w:right="920"/>
        </w:sectPr>
      </w:pPr>
    </w:p>
    <w:p>
      <w:pPr>
        <w:spacing w:line="240" w:lineRule="auto" w:before="12"/>
        <w:rPr>
          <w:rFonts w:ascii="宋体" w:hAnsi="宋体" w:cs="宋体" w:eastAsia="宋体" w:hint="default"/>
          <w:sz w:val="28"/>
          <w:szCs w:val="28"/>
        </w:rPr>
      </w:pPr>
    </w:p>
    <w:p>
      <w:pPr>
        <w:spacing w:line="9660" w:lineRule="exact"/>
        <w:ind w:left="2259" w:right="0" w:firstLine="0"/>
        <w:rPr>
          <w:rFonts w:ascii="宋体" w:hAnsi="宋体" w:cs="宋体" w:eastAsia="宋体" w:hint="default"/>
          <w:sz w:val="20"/>
          <w:szCs w:val="20"/>
        </w:rPr>
      </w:pPr>
      <w:r>
        <w:rPr>
          <w:rFonts w:ascii="宋体" w:hAnsi="宋体" w:cs="宋体" w:eastAsia="宋体" w:hint="default"/>
          <w:position w:val="-192"/>
          <w:sz w:val="20"/>
          <w:szCs w:val="20"/>
        </w:rPr>
        <w:drawing>
          <wp:inline distT="0" distB="0" distL="0" distR="0">
            <wp:extent cx="3447771" cy="6134100"/>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33" cstate="print"/>
                    <a:stretch>
                      <a:fillRect/>
                    </a:stretch>
                  </pic:blipFill>
                  <pic:spPr>
                    <a:xfrm>
                      <a:off x="0" y="0"/>
                      <a:ext cx="3447771" cy="6134100"/>
                    </a:xfrm>
                    <a:prstGeom prst="rect">
                      <a:avLst/>
                    </a:prstGeom>
                  </pic:spPr>
                </pic:pic>
              </a:graphicData>
            </a:graphic>
          </wp:inline>
        </w:drawing>
      </w:r>
      <w:r>
        <w:rPr>
          <w:rFonts w:ascii="宋体" w:hAnsi="宋体" w:cs="宋体" w:eastAsia="宋体" w:hint="default"/>
          <w:position w:val="-192"/>
          <w:sz w:val="20"/>
          <w:szCs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spacing w:before="35"/>
        <w:ind w:left="154" w:right="213" w:firstLine="0"/>
        <w:jc w:val="left"/>
        <w:rPr>
          <w:rFonts w:ascii="宋体" w:hAnsi="宋体" w:cs="宋体" w:eastAsia="宋体" w:hint="default"/>
          <w:sz w:val="21"/>
          <w:szCs w:val="21"/>
        </w:rPr>
      </w:pPr>
      <w:r>
        <w:rPr>
          <w:rFonts w:ascii="宋体" w:hAnsi="宋体" w:cs="宋体" w:eastAsia="宋体" w:hint="default"/>
          <w:sz w:val="21"/>
          <w:szCs w:val="21"/>
        </w:rPr>
        <w:t>（二）公司所处行业地位</w:t>
      </w:r>
    </w:p>
    <w:p>
      <w:pPr>
        <w:spacing w:line="256" w:lineRule="auto" w:before="157"/>
        <w:ind w:left="154" w:right="211" w:firstLine="420"/>
        <w:jc w:val="both"/>
        <w:rPr>
          <w:rFonts w:ascii="宋体" w:hAnsi="宋体" w:cs="宋体" w:eastAsia="宋体" w:hint="default"/>
          <w:sz w:val="21"/>
          <w:szCs w:val="21"/>
        </w:rPr>
      </w:pPr>
      <w:r>
        <w:rPr>
          <w:rFonts w:ascii="宋体" w:hAnsi="宋体" w:cs="宋体" w:eastAsia="宋体" w:hint="default"/>
          <w:spacing w:val="-1"/>
          <w:sz w:val="21"/>
          <w:szCs w:val="21"/>
        </w:rPr>
        <w:t>作为页游产品出口的龙头公司，公司从</w:t>
      </w:r>
      <w:r>
        <w:rPr>
          <w:rFonts w:ascii="Times New Roman" w:hAnsi="Times New Roman" w:cs="Times New Roman" w:eastAsia="Times New Roman" w:hint="default"/>
          <w:spacing w:val="-1"/>
          <w:sz w:val="21"/>
          <w:szCs w:val="21"/>
        </w:rPr>
        <w:t>2012</w:t>
      </w:r>
      <w:r>
        <w:rPr>
          <w:rFonts w:ascii="宋体" w:hAnsi="宋体" w:cs="宋体" w:eastAsia="宋体" w:hint="default"/>
          <w:spacing w:val="-1"/>
          <w:sz w:val="21"/>
          <w:szCs w:val="21"/>
        </w:rPr>
        <w:t>年起率先转型移动游戏厂商，近年来陆续发行了如《啪啪</w:t>
      </w:r>
      <w:r>
        <w:rPr>
          <w:rFonts w:ascii="宋体" w:hAnsi="宋体" w:cs="宋体" w:eastAsia="宋体" w:hint="default"/>
          <w:sz w:val="21"/>
          <w:szCs w:val="21"/>
        </w:rPr>
        <w:t> 三国》、《武侠</w:t>
      </w:r>
      <w:r>
        <w:rPr>
          <w:rFonts w:ascii="Times New Roman" w:hAnsi="Times New Roman" w:cs="Times New Roman" w:eastAsia="Times New Roman" w:hint="default"/>
          <w:sz w:val="21"/>
          <w:szCs w:val="21"/>
        </w:rPr>
        <w:t>Q</w:t>
      </w:r>
      <w:r>
        <w:rPr>
          <w:rFonts w:ascii="宋体" w:hAnsi="宋体" w:cs="宋体" w:eastAsia="宋体" w:hint="default"/>
          <w:sz w:val="21"/>
          <w:szCs w:val="21"/>
        </w:rPr>
        <w:t>传》、《时空猎人》、《全民奇迹》、《太极熊猫》等深受海外玩家欢迎的手游产品， 并成功扶植一批国内研发商进军海外市场。</w:t>
      </w:r>
    </w:p>
    <w:p>
      <w:pPr>
        <w:spacing w:line="264" w:lineRule="auto" w:before="142"/>
        <w:ind w:left="154" w:right="106" w:firstLine="336"/>
        <w:jc w:val="both"/>
        <w:rPr>
          <w:rFonts w:ascii="宋体" w:hAnsi="宋体" w:cs="宋体" w:eastAsia="宋体" w:hint="default"/>
          <w:sz w:val="21"/>
          <w:szCs w:val="21"/>
        </w:rPr>
      </w:pPr>
      <w:r>
        <w:rPr>
          <w:rFonts w:ascii="宋体" w:hAnsi="宋体" w:cs="宋体" w:eastAsia="宋体" w:hint="default"/>
          <w:sz w:val="21"/>
          <w:szCs w:val="21"/>
        </w:rPr>
        <w:t>与此同时，公司在报告期内进一步深化了与国际一流移动端游戏厂商的合作优势，在国内引进多款海 外大作。主要作品如《愤怒的小鸟</w:t>
      </w:r>
      <w:r>
        <w:rPr>
          <w:rFonts w:ascii="Times New Roman" w:hAnsi="Times New Roman" w:cs="Times New Roman" w:eastAsia="Times New Roman" w:hint="default"/>
          <w:sz w:val="21"/>
          <w:szCs w:val="21"/>
        </w:rPr>
        <w:t>2</w:t>
      </w:r>
      <w:r>
        <w:rPr>
          <w:rFonts w:ascii="宋体" w:hAnsi="宋体" w:cs="宋体" w:eastAsia="宋体" w:hint="default"/>
          <w:sz w:val="21"/>
          <w:szCs w:val="21"/>
        </w:rPr>
        <w:t>》，携手芬兰</w:t>
      </w:r>
      <w:r>
        <w:rPr>
          <w:rFonts w:ascii="Times New Roman" w:hAnsi="Times New Roman" w:cs="Times New Roman" w:eastAsia="Times New Roman" w:hint="default"/>
          <w:sz w:val="21"/>
          <w:szCs w:val="21"/>
        </w:rPr>
        <w:t>Rovio</w:t>
      </w:r>
      <w:r>
        <w:rPr>
          <w:rFonts w:ascii="宋体" w:hAnsi="宋体" w:cs="宋体" w:eastAsia="宋体" w:hint="default"/>
          <w:sz w:val="21"/>
          <w:szCs w:val="21"/>
        </w:rPr>
        <w:t>公司在全球同步上线简体中文版、繁体中文版，迅</w:t>
      </w:r>
      <w:r>
        <w:rPr>
          <w:rFonts w:ascii="宋体" w:hAnsi="宋体" w:cs="宋体" w:eastAsia="宋体" w:hint="default"/>
          <w:spacing w:val="-2"/>
          <w:sz w:val="21"/>
          <w:szCs w:val="21"/>
        </w:rPr>
        <w:t> </w:t>
      </w:r>
      <w:r>
        <w:rPr>
          <w:rFonts w:ascii="宋体" w:hAnsi="宋体" w:cs="宋体" w:eastAsia="宋体" w:hint="default"/>
          <w:sz w:val="21"/>
          <w:szCs w:val="21"/>
        </w:rPr>
        <w:t>速获得了各商店的首页推荐。另外，公司成功发行了芬兰</w:t>
      </w:r>
      <w:r>
        <w:rPr>
          <w:rFonts w:ascii="Times New Roman" w:hAnsi="Times New Roman" w:cs="Times New Roman" w:eastAsia="Times New Roman" w:hint="default"/>
          <w:sz w:val="21"/>
          <w:szCs w:val="21"/>
        </w:rPr>
        <w:t>Supercell</w:t>
      </w:r>
      <w:r>
        <w:rPr>
          <w:rFonts w:ascii="宋体" w:hAnsi="宋体" w:cs="宋体" w:eastAsia="宋体" w:hint="default"/>
          <w:sz w:val="21"/>
          <w:szCs w:val="21"/>
        </w:rPr>
        <w:t>公司研发的《部落冲突》简体中文安卓</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版，当时已距其首个全球版本正式上线超过三年，公司的发行策略不仅帮助《部落冲突》实现了移动终端</w:t>
      </w:r>
      <w:r>
        <w:rPr>
          <w:rFonts w:ascii="宋体" w:hAnsi="宋体" w:cs="宋体" w:eastAsia="宋体" w:hint="default"/>
          <w:sz w:val="21"/>
          <w:szCs w:val="21"/>
        </w:rPr>
        <w:t> 游戏生命周期的突破，更是在</w:t>
      </w:r>
      <w:r>
        <w:rPr>
          <w:rFonts w:ascii="Times New Roman" w:hAnsi="Times New Roman" w:cs="Times New Roman" w:eastAsia="Times New Roman" w:hint="default"/>
          <w:sz w:val="21"/>
          <w:szCs w:val="21"/>
        </w:rPr>
        <w:t>2015</w:t>
      </w:r>
      <w:r>
        <w:rPr>
          <w:rFonts w:ascii="宋体" w:hAnsi="宋体" w:cs="宋体" w:eastAsia="宋体" w:hint="default"/>
          <w:sz w:val="21"/>
          <w:szCs w:val="21"/>
        </w:rPr>
        <w:t>年全球综合收入榜的贡献上功不可没。根据市场研究公司</w:t>
      </w:r>
      <w:r>
        <w:rPr>
          <w:rFonts w:ascii="Times New Roman" w:hAnsi="Times New Roman" w:cs="Times New Roman" w:eastAsia="Times New Roman" w:hint="default"/>
          <w:sz w:val="21"/>
          <w:szCs w:val="21"/>
        </w:rPr>
        <w:t>SuperData</w:t>
      </w:r>
      <w:r>
        <w:rPr>
          <w:rFonts w:ascii="宋体" w:hAnsi="宋体" w:cs="宋体" w:eastAsia="宋体" w:hint="default"/>
          <w:sz w:val="21"/>
          <w:szCs w:val="21"/>
        </w:rPr>
        <w:t>的报</w:t>
      </w:r>
      <w:r>
        <w:rPr>
          <w:rFonts w:ascii="宋体" w:hAnsi="宋体" w:cs="宋体" w:eastAsia="宋体" w:hint="default"/>
          <w:spacing w:val="1"/>
          <w:sz w:val="21"/>
          <w:szCs w:val="21"/>
        </w:rPr>
        <w:t> </w:t>
      </w:r>
      <w:r>
        <w:rPr>
          <w:rFonts w:ascii="宋体" w:hAnsi="宋体" w:cs="宋体" w:eastAsia="宋体" w:hint="default"/>
          <w:spacing w:val="-4"/>
          <w:sz w:val="21"/>
          <w:szCs w:val="21"/>
        </w:rPr>
        <w:t>告，</w:t>
      </w:r>
      <w:r>
        <w:rPr>
          <w:rFonts w:ascii="Times New Roman" w:hAnsi="Times New Roman" w:cs="Times New Roman" w:eastAsia="Times New Roman" w:hint="default"/>
          <w:spacing w:val="-4"/>
          <w:sz w:val="21"/>
          <w:szCs w:val="21"/>
        </w:rPr>
        <w:t>2015</w:t>
      </w:r>
      <w:r>
        <w:rPr>
          <w:rFonts w:ascii="宋体" w:hAnsi="宋体" w:cs="宋体" w:eastAsia="宋体" w:hint="default"/>
          <w:spacing w:val="-4"/>
          <w:sz w:val="21"/>
          <w:szCs w:val="21"/>
        </w:rPr>
        <w:t>年全球数字游戏收入排行榜上，《部落冲突》以</w:t>
      </w:r>
      <w:r>
        <w:rPr>
          <w:rFonts w:ascii="Times New Roman" w:hAnsi="Times New Roman" w:cs="Times New Roman" w:eastAsia="Times New Roman" w:hint="default"/>
          <w:spacing w:val="-4"/>
          <w:sz w:val="21"/>
          <w:szCs w:val="21"/>
        </w:rPr>
        <w:t>13.45</w:t>
      </w:r>
      <w:r>
        <w:rPr>
          <w:rFonts w:ascii="宋体" w:hAnsi="宋体" w:cs="宋体" w:eastAsia="宋体" w:hint="default"/>
          <w:spacing w:val="-4"/>
          <w:sz w:val="21"/>
          <w:szCs w:val="21"/>
        </w:rPr>
        <w:t>亿美金雄居移动终端游戏全球收入榜第一名。</w:t>
      </w:r>
    </w:p>
    <w:p>
      <w:pPr>
        <w:spacing w:after="0" w:line="264" w:lineRule="auto"/>
        <w:jc w:val="both"/>
        <w:rPr>
          <w:rFonts w:ascii="宋体" w:hAnsi="宋体" w:cs="宋体" w:eastAsia="宋体" w:hint="default"/>
          <w:sz w:val="21"/>
          <w:szCs w:val="21"/>
        </w:rPr>
        <w:sectPr>
          <w:pgSz w:w="11910" w:h="16840"/>
          <w:pgMar w:header="747" w:footer="979" w:top="1060" w:bottom="1160" w:left="980" w:right="920"/>
        </w:sectPr>
      </w:pPr>
    </w:p>
    <w:p>
      <w:pPr>
        <w:spacing w:line="240" w:lineRule="auto" w:before="8"/>
        <w:rPr>
          <w:rFonts w:ascii="宋体" w:hAnsi="宋体" w:cs="宋体" w:eastAsia="宋体" w:hint="default"/>
          <w:sz w:val="23"/>
          <w:szCs w:val="23"/>
        </w:rPr>
      </w:pPr>
    </w:p>
    <w:p>
      <w:pPr>
        <w:pStyle w:val="Heading2"/>
        <w:spacing w:line="367" w:lineRule="exact"/>
        <w:ind w:right="0"/>
        <w:jc w:val="left"/>
        <w:rPr>
          <w:b w:val="0"/>
          <w:bCs w:val="0"/>
        </w:rPr>
      </w:pPr>
      <w:r>
        <w:rPr/>
        <w:t>二、主要资产重大变化情况</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、主要资产重大变化情况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3052"/>
        <w:gridCol w:w="6517"/>
      </w:tblGrid>
      <w:tr>
        <w:trPr>
          <w:trHeight w:val="186" w:hRule="exact"/>
        </w:trPr>
        <w:tc>
          <w:tcPr>
            <w:tcW w:w="3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3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vMerge w:val="restart"/>
            <w:tcBorders>
              <w:top w:val="single" w:sz="4" w:space="0" w:color="000000"/>
              <w:left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本期本公司长期股权投资及可供出售金融资产增加</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154,943.33</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万元，主要是由于公</w:t>
            </w:r>
            <w:r>
              <w:rPr>
                <w:rFonts w:ascii="宋体" w:hAnsi="宋体" w:cs="宋体" w:eastAsia="宋体" w:hint="default"/>
                <w:sz w:val="18"/>
                <w:szCs w:val="18"/>
              </w:rPr>
              <w:t> 司对外投资增加所致</w:t>
            </w:r>
          </w:p>
        </w:tc>
      </w:tr>
      <w:tr>
        <w:trPr>
          <w:trHeight w:val="392" w:hRule="exact"/>
        </w:trPr>
        <w:tc>
          <w:tcPr>
            <w:tcW w:w="3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vMerge/>
            <w:tcBorders>
              <w:left w:val="single" w:sz="4" w:space="0" w:color="000000"/>
              <w:right w:val="single" w:sz="4" w:space="0" w:color="000000"/>
            </w:tcBorders>
          </w:tcPr>
          <w:p>
            <w:pPr/>
          </w:p>
        </w:tc>
      </w:tr>
      <w:tr>
        <w:trPr>
          <w:trHeight w:val="161" w:hRule="exact"/>
        </w:trPr>
        <w:tc>
          <w:tcPr>
            <w:tcW w:w="3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vMerge/>
            <w:tcBorders>
              <w:left w:val="single" w:sz="4" w:space="0" w:color="000000"/>
              <w:bottom w:val="single" w:sz="4" w:space="0" w:color="000000"/>
              <w:right w:val="single" w:sz="4" w:space="0" w:color="000000"/>
            </w:tcBorders>
          </w:tcPr>
          <w:p>
            <w:pPr/>
          </w:p>
        </w:tc>
      </w:tr>
    </w:tbl>
    <w:p>
      <w:pPr>
        <w:spacing w:line="240" w:lineRule="auto" w:before="7"/>
        <w:rPr>
          <w:rFonts w:ascii="Microsoft JhengHei" w:hAnsi="Microsoft JhengHei" w:cs="Microsoft JhengHei" w:eastAsia="Microsoft JhengHei" w:hint="default"/>
          <w:b/>
          <w:bCs/>
          <w:sz w:val="14"/>
          <w:szCs w:val="1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、主要境外资产情况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2"/>
        <w:gridCol w:w="1063"/>
        <w:gridCol w:w="1064"/>
        <w:gridCol w:w="1066"/>
        <w:gridCol w:w="1064"/>
        <w:gridCol w:w="1063"/>
        <w:gridCol w:w="1065"/>
        <w:gridCol w:w="1062"/>
        <w:gridCol w:w="1060"/>
      </w:tblGrid>
      <w:tr>
        <w:trPr>
          <w:trHeight w:val="1026" w:hRule="exact"/>
        </w:trPr>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45" w:right="75" w:hanging="270"/>
              <w:jc w:val="left"/>
              <w:rPr>
                <w:rFonts w:ascii="宋体" w:hAnsi="宋体" w:cs="宋体" w:eastAsia="宋体" w:hint="default"/>
                <w:sz w:val="18"/>
                <w:szCs w:val="18"/>
              </w:rPr>
            </w:pPr>
            <w:r>
              <w:rPr>
                <w:rFonts w:ascii="宋体" w:hAnsi="宋体" w:cs="宋体" w:eastAsia="宋体" w:hint="default"/>
                <w:sz w:val="18"/>
                <w:szCs w:val="18"/>
              </w:rPr>
              <w:t>资产的具体 内容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资产规模</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所在地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4"/>
              <w:jc w:val="center"/>
              <w:rPr>
                <w:rFonts w:ascii="宋体" w:hAnsi="宋体" w:cs="宋体" w:eastAsia="宋体" w:hint="default"/>
                <w:sz w:val="18"/>
                <w:szCs w:val="18"/>
              </w:rPr>
            </w:pPr>
            <w:r>
              <w:rPr>
                <w:rFonts w:ascii="宋体" w:hAnsi="宋体" w:cs="宋体" w:eastAsia="宋体" w:hint="default"/>
                <w:sz w:val="18"/>
                <w:szCs w:val="18"/>
              </w:rPr>
              <w:t>保障资产安 全性的控制 措施</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收益状况</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center"/>
              <w:rPr>
                <w:rFonts w:ascii="宋体" w:hAnsi="宋体" w:cs="宋体" w:eastAsia="宋体" w:hint="default"/>
                <w:sz w:val="18"/>
                <w:szCs w:val="18"/>
              </w:rPr>
            </w:pPr>
            <w:r>
              <w:rPr>
                <w:rFonts w:ascii="宋体" w:hAnsi="宋体" w:cs="宋体" w:eastAsia="宋体" w:hint="default"/>
                <w:sz w:val="18"/>
                <w:szCs w:val="18"/>
              </w:rPr>
              <w:t>境外资产占 公司净资产 的比重</w:t>
            </w:r>
          </w:p>
        </w:tc>
        <w:tc>
          <w:tcPr>
            <w:tcW w:w="1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4" w:right="73"/>
              <w:jc w:val="left"/>
              <w:rPr>
                <w:rFonts w:ascii="宋体" w:hAnsi="宋体" w:cs="宋体" w:eastAsia="宋体" w:hint="default"/>
                <w:sz w:val="18"/>
                <w:szCs w:val="18"/>
              </w:rPr>
            </w:pPr>
            <w:r>
              <w:rPr>
                <w:rFonts w:ascii="宋体" w:hAnsi="宋体" w:cs="宋体" w:eastAsia="宋体" w:hint="default"/>
                <w:sz w:val="18"/>
                <w:szCs w:val="18"/>
              </w:rPr>
              <w:t>是否存在重 大减值风险</w:t>
            </w:r>
          </w:p>
        </w:tc>
      </w:tr>
      <w:tr>
        <w:trPr>
          <w:trHeight w:val="1962" w:hRule="exact"/>
        </w:trPr>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28"/>
              <w:jc w:val="both"/>
              <w:rPr>
                <w:rFonts w:ascii="宋体" w:hAnsi="宋体" w:cs="宋体" w:eastAsia="宋体" w:hint="default"/>
                <w:sz w:val="18"/>
                <w:szCs w:val="18"/>
              </w:rPr>
            </w:pPr>
            <w:r>
              <w:rPr>
                <w:rFonts w:ascii="宋体" w:hAnsi="宋体" w:cs="宋体" w:eastAsia="宋体" w:hint="default"/>
                <w:sz w:val="18"/>
                <w:szCs w:val="18"/>
              </w:rPr>
              <w:t>公司投入及 历年经营积 累</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387,116,137.</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35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pacing w:val="-12"/>
                <w:sz w:val="18"/>
                <w:szCs w:val="18"/>
              </w:rPr>
              <w:t>香港、韩国等</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31"/>
              <w:jc w:val="both"/>
              <w:rPr>
                <w:rFonts w:ascii="宋体" w:hAnsi="宋体" w:cs="宋体" w:eastAsia="宋体" w:hint="default"/>
                <w:sz w:val="18"/>
                <w:szCs w:val="18"/>
              </w:rPr>
            </w:pPr>
            <w:r>
              <w:rPr>
                <w:rFonts w:ascii="宋体" w:hAnsi="宋体" w:cs="宋体" w:eastAsia="宋体" w:hint="default"/>
                <w:sz w:val="18"/>
                <w:szCs w:val="18"/>
              </w:rPr>
              <w:t>用于境外公 司正常的经 营活动</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用于公司正 </w:t>
            </w:r>
            <w:r>
              <w:rPr>
                <w:rFonts w:ascii="宋体" w:hAnsi="宋体" w:cs="宋体" w:eastAsia="宋体" w:hint="default"/>
                <w:spacing w:val="-12"/>
                <w:sz w:val="18"/>
                <w:szCs w:val="18"/>
              </w:rPr>
              <w:t>常经营，款项</w:t>
            </w:r>
            <w:r>
              <w:rPr>
                <w:rFonts w:ascii="宋体" w:hAnsi="宋体" w:cs="宋体" w:eastAsia="宋体" w:hint="default"/>
                <w:sz w:val="18"/>
                <w:szCs w:val="18"/>
              </w:rPr>
              <w:t> 的支付均经 过公司内部 管理流程审 批</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22"/>
              <w:jc w:val="left"/>
              <w:rPr>
                <w:rFonts w:ascii="宋体" w:hAnsi="宋体" w:cs="宋体" w:eastAsia="宋体" w:hint="default"/>
                <w:sz w:val="18"/>
                <w:szCs w:val="18"/>
              </w:rPr>
            </w:pPr>
            <w:r>
              <w:rPr>
                <w:rFonts w:ascii="宋体" w:hAnsi="宋体" w:cs="宋体" w:eastAsia="宋体" w:hint="default"/>
                <w:sz w:val="18"/>
                <w:szCs w:val="18"/>
              </w:rPr>
              <w:t>用于正常的 </w:t>
            </w:r>
            <w:r>
              <w:rPr>
                <w:rFonts w:ascii="宋体" w:hAnsi="宋体" w:cs="宋体" w:eastAsia="宋体" w:hint="default"/>
                <w:spacing w:val="-12"/>
                <w:sz w:val="18"/>
                <w:szCs w:val="18"/>
              </w:rPr>
              <w:t>生产经营，未</w:t>
            </w:r>
            <w:r>
              <w:rPr>
                <w:rFonts w:ascii="宋体" w:hAnsi="宋体" w:cs="宋体" w:eastAsia="宋体" w:hint="default"/>
                <w:sz w:val="18"/>
                <w:szCs w:val="18"/>
              </w:rPr>
              <w:t> 单独对货币 资金进行收 益统计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14.45%</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10" w:hRule="exact"/>
        </w:trPr>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1"/>
              <w:ind w:left="22" w:right="129"/>
              <w:jc w:val="left"/>
              <w:rPr>
                <w:rFonts w:ascii="宋体" w:hAnsi="宋体" w:cs="宋体" w:eastAsia="宋体" w:hint="default"/>
                <w:sz w:val="18"/>
                <w:szCs w:val="18"/>
              </w:rPr>
            </w:pPr>
            <w:r>
              <w:rPr>
                <w:rFonts w:ascii="宋体" w:hAnsi="宋体" w:cs="宋体" w:eastAsia="宋体" w:hint="default"/>
                <w:sz w:val="18"/>
                <w:szCs w:val="18"/>
              </w:rPr>
              <w:t>可供出售金 融资产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1"/>
              <w:ind w:left="22" w:right="128"/>
              <w:jc w:val="left"/>
              <w:rPr>
                <w:rFonts w:ascii="宋体" w:hAnsi="宋体" w:cs="宋体" w:eastAsia="宋体" w:hint="default"/>
                <w:sz w:val="18"/>
                <w:szCs w:val="18"/>
              </w:rPr>
            </w:pPr>
            <w:r>
              <w:rPr>
                <w:rFonts w:ascii="宋体" w:hAnsi="宋体" w:cs="宋体" w:eastAsia="宋体" w:hint="default"/>
                <w:sz w:val="18"/>
                <w:szCs w:val="18"/>
              </w:rPr>
              <w:t>公司对外投 资产生</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22" w:right="0"/>
              <w:jc w:val="left"/>
              <w:rPr>
                <w:rFonts w:ascii="Times New Roman" w:hAnsi="Times New Roman" w:cs="Times New Roman" w:eastAsia="Times New Roman" w:hint="default"/>
                <w:sz w:val="18"/>
                <w:szCs w:val="18"/>
              </w:rPr>
            </w:pPr>
            <w:r>
              <w:rPr>
                <w:rFonts w:ascii="Times New Roman"/>
                <w:sz w:val="18"/>
              </w:rPr>
              <w:t>999,948,910.</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15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06"/>
              <w:jc w:val="center"/>
              <w:rPr>
                <w:rFonts w:ascii="宋体" w:hAnsi="宋体" w:cs="宋体" w:eastAsia="宋体" w:hint="default"/>
                <w:sz w:val="18"/>
                <w:szCs w:val="18"/>
              </w:rPr>
            </w:pPr>
            <w:r>
              <w:rPr>
                <w:rFonts w:ascii="宋体" w:hAnsi="宋体" w:cs="宋体" w:eastAsia="宋体" w:hint="default"/>
                <w:sz w:val="18"/>
                <w:szCs w:val="18"/>
              </w:rPr>
              <w:t>香港、韩国</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23"/>
              <w:jc w:val="left"/>
              <w:rPr>
                <w:rFonts w:ascii="宋体" w:hAnsi="宋体" w:cs="宋体" w:eastAsia="宋体" w:hint="default"/>
                <w:sz w:val="18"/>
                <w:szCs w:val="18"/>
              </w:rPr>
            </w:pPr>
            <w:r>
              <w:rPr>
                <w:rFonts w:ascii="宋体" w:hAnsi="宋体" w:cs="宋体" w:eastAsia="宋体" w:hint="default"/>
                <w:sz w:val="18"/>
                <w:szCs w:val="18"/>
              </w:rPr>
              <w:t>公司按照所 支付的投资 款取得被投 </w:t>
            </w:r>
            <w:r>
              <w:rPr>
                <w:rFonts w:ascii="宋体" w:hAnsi="宋体" w:cs="宋体" w:eastAsia="宋体" w:hint="default"/>
                <w:spacing w:val="-12"/>
                <w:sz w:val="18"/>
                <w:szCs w:val="18"/>
              </w:rPr>
              <w:t>资方股份，并</w:t>
            </w:r>
            <w:r>
              <w:rPr>
                <w:rFonts w:ascii="宋体" w:hAnsi="宋体" w:cs="宋体" w:eastAsia="宋体" w:hint="default"/>
                <w:sz w:val="18"/>
                <w:szCs w:val="18"/>
              </w:rPr>
              <w:t> 享有相应的 权利并履行 对应义务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50"/>
              <w:jc w:val="left"/>
              <w:rPr>
                <w:rFonts w:ascii="宋体" w:hAnsi="宋体" w:cs="宋体" w:eastAsia="宋体" w:hint="default"/>
                <w:sz w:val="18"/>
                <w:szCs w:val="18"/>
              </w:rPr>
            </w:pPr>
            <w:r>
              <w:rPr>
                <w:rFonts w:ascii="宋体" w:hAnsi="宋体" w:cs="宋体" w:eastAsia="宋体" w:hint="default"/>
                <w:sz w:val="18"/>
                <w:szCs w:val="18"/>
              </w:rPr>
              <w:t>公司定期收 集被投资单 位的财务报 </w:t>
            </w:r>
            <w:r>
              <w:rPr>
                <w:rFonts w:ascii="宋体" w:hAnsi="宋体" w:cs="宋体" w:eastAsia="宋体" w:hint="default"/>
                <w:spacing w:val="-12"/>
                <w:sz w:val="18"/>
                <w:szCs w:val="18"/>
              </w:rPr>
              <w:t>表、对外投资</w:t>
            </w:r>
            <w:r>
              <w:rPr>
                <w:rFonts w:ascii="宋体" w:hAnsi="宋体" w:cs="宋体" w:eastAsia="宋体" w:hint="default"/>
                <w:sz w:val="18"/>
                <w:szCs w:val="18"/>
              </w:rPr>
              <w:t> </w:t>
            </w:r>
            <w:r>
              <w:rPr>
                <w:rFonts w:ascii="宋体" w:hAnsi="宋体" w:cs="宋体" w:eastAsia="宋体" w:hint="default"/>
                <w:spacing w:val="-12"/>
                <w:sz w:val="18"/>
                <w:szCs w:val="18"/>
              </w:rPr>
              <w:t>报告、按照被</w:t>
            </w:r>
            <w:r>
              <w:rPr>
                <w:rFonts w:ascii="宋体" w:hAnsi="宋体" w:cs="宋体" w:eastAsia="宋体" w:hint="default"/>
                <w:sz w:val="18"/>
                <w:szCs w:val="18"/>
              </w:rPr>
              <w:t> 投资单位章 程履行职责， 对被投单位 经营情况保 持动态更新</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22" w:right="0"/>
              <w:jc w:val="left"/>
              <w:rPr>
                <w:rFonts w:ascii="Times New Roman" w:hAnsi="Times New Roman" w:cs="Times New Roman" w:eastAsia="Times New Roman" w:hint="default"/>
                <w:sz w:val="18"/>
                <w:szCs w:val="18"/>
              </w:rPr>
            </w:pPr>
            <w:r>
              <w:rPr>
                <w:rFonts w:ascii="Times New Roman"/>
                <w:sz w:val="18"/>
              </w:rPr>
              <w:t>113,310,672.</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88</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37.31%</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8"/>
          <w:szCs w:val="18"/>
        </w:rPr>
      </w:pPr>
    </w:p>
    <w:p>
      <w:pPr>
        <w:pStyle w:val="Heading2"/>
        <w:spacing w:line="367" w:lineRule="exact"/>
        <w:ind w:right="0"/>
        <w:jc w:val="left"/>
        <w:rPr>
          <w:b w:val="0"/>
          <w:bCs w:val="0"/>
        </w:rPr>
      </w:pPr>
      <w:r>
        <w:rPr/>
        <w:pict>
          <v:group style="position:absolute;margin-left:376.119995pt;margin-top:-172.367493pt;width:52.8pt;height:160.050pt;mso-position-horizontal-relative:page;mso-position-vertical-relative:paragraph;z-index:-966208" coordorigin="7522,-3447" coordsize="1056,3201">
            <v:group style="position:absolute;left:7522;top:-3447;width:1056;height:3201" coordorigin="7522,-3447" coordsize="1056,3201">
              <v:shape style="position:absolute;left:7522;top:-3447;width:1056;height:3201" coordorigin="7522,-3447" coordsize="1056,3201" path="m7522,-247l8578,-247,8578,-3447,7522,-3447,7522,-247xe" filled="true" fillcolor="#ffffff" stroked="false">
                <v:path arrowok="t"/>
                <v:fill type="solid"/>
              </v:shape>
            </v:group>
            <v:group style="position:absolute;left:7545;top:-2199;width:1009;height:352" coordorigin="7545,-2199" coordsize="1009,352">
              <v:shape style="position:absolute;left:7545;top:-2199;width:1009;height:352" coordorigin="7545,-2199" coordsize="1009,352" path="m7545,-1848l8554,-1848,8554,-2199,7545,-2199,7545,-1848xe" filled="true" fillcolor="#ffffff" stroked="false">
                <v:path arrowok="t"/>
                <v:fill type="solid"/>
              </v:shape>
            </v:group>
            <v:group style="position:absolute;left:7545;top:-1848;width:1009;height:353" coordorigin="7545,-1848" coordsize="1009,353">
              <v:shape style="position:absolute;left:7545;top:-1848;width:1009;height:353" coordorigin="7545,-1848" coordsize="1009,353" path="m7545,-1495l8554,-1495,8554,-1848,7545,-1848,7545,-1495xe" filled="true" fillcolor="#ffffff" stroked="false">
                <v:path arrowok="t"/>
                <v:fill type="solid"/>
              </v:shape>
            </v:group>
            <w10:wrap type="none"/>
          </v:group>
        </w:pict>
      </w:r>
      <w:r>
        <w:rPr/>
        <w:t>三、核心竞争力分析</w:t>
      </w:r>
      <w:r>
        <w:rPr>
          <w:b w:val="0"/>
          <w:bCs w:val="0"/>
        </w:rPr>
      </w:r>
    </w:p>
    <w:p>
      <w:pPr>
        <w:spacing w:line="432" w:lineRule="exact" w:before="193"/>
        <w:ind w:left="574" w:right="0"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、具备国际互联网市场的丰富经验和广泛资源 公司在发展之初便意识到海外市场的巨大潜力，积攒了雄厚的海外互联网产品运作实力。 </w:t>
      </w:r>
      <w:r>
        <w:rPr>
          <w:rFonts w:ascii="宋体" w:hAnsi="宋体" w:cs="宋体" w:eastAsia="宋体" w:hint="default"/>
          <w:spacing w:val="-1"/>
          <w:sz w:val="21"/>
          <w:szCs w:val="21"/>
        </w:rPr>
        <w:t>公司于</w:t>
      </w:r>
      <w:r>
        <w:rPr>
          <w:rFonts w:ascii="Times New Roman" w:hAnsi="Times New Roman" w:cs="Times New Roman" w:eastAsia="Times New Roman" w:hint="default"/>
          <w:spacing w:val="-1"/>
          <w:sz w:val="21"/>
          <w:szCs w:val="21"/>
        </w:rPr>
        <w:t>2008</w:t>
      </w:r>
      <w:r>
        <w:rPr>
          <w:rFonts w:ascii="宋体" w:hAnsi="宋体" w:cs="宋体" w:eastAsia="宋体" w:hint="default"/>
          <w:spacing w:val="-1"/>
          <w:sz w:val="21"/>
          <w:szCs w:val="21"/>
        </w:rPr>
        <w:t>年开始组建海外软件工具团队，</w:t>
      </w:r>
      <w:r>
        <w:rPr>
          <w:rFonts w:ascii="Times New Roman" w:hAnsi="Times New Roman" w:cs="Times New Roman" w:eastAsia="Times New Roman" w:hint="default"/>
          <w:spacing w:val="-1"/>
          <w:sz w:val="21"/>
          <w:szCs w:val="21"/>
        </w:rPr>
        <w:t>2009</w:t>
      </w:r>
      <w:r>
        <w:rPr>
          <w:rFonts w:ascii="宋体" w:hAnsi="宋体" w:cs="宋体" w:eastAsia="宋体" w:hint="default"/>
          <w:spacing w:val="-1"/>
          <w:sz w:val="21"/>
          <w:szCs w:val="21"/>
        </w:rPr>
        <w:t>年开始组建海外游戏业务团队。现已在港澳台、东南</w:t>
      </w:r>
    </w:p>
    <w:p>
      <w:pPr>
        <w:spacing w:line="271" w:lineRule="exact"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亚、日韩、欧美等</w:t>
      </w:r>
      <w:r>
        <w:rPr>
          <w:rFonts w:ascii="Times New Roman" w:hAnsi="Times New Roman" w:cs="Times New Roman" w:eastAsia="Times New Roman" w:hint="default"/>
          <w:sz w:val="21"/>
          <w:szCs w:val="21"/>
        </w:rPr>
        <w:t>10</w:t>
      </w:r>
      <w:r>
        <w:rPr>
          <w:rFonts w:ascii="宋体" w:hAnsi="宋体" w:cs="宋体" w:eastAsia="宋体" w:hint="default"/>
          <w:sz w:val="21"/>
          <w:szCs w:val="21"/>
        </w:rPr>
        <w:t>余个语种的海外市场从事软件工具以及游戏发行及运营业务，建立起了全球化的互联</w:t>
      </w:r>
    </w:p>
    <w:p>
      <w:pPr>
        <w:spacing w:before="21"/>
        <w:ind w:left="154" w:right="0" w:firstLine="0"/>
        <w:jc w:val="left"/>
        <w:rPr>
          <w:rFonts w:ascii="宋体" w:hAnsi="宋体" w:cs="宋体" w:eastAsia="宋体" w:hint="default"/>
          <w:sz w:val="21"/>
          <w:szCs w:val="21"/>
        </w:rPr>
      </w:pPr>
      <w:r>
        <w:rPr>
          <w:rFonts w:ascii="宋体" w:hAnsi="宋体" w:cs="宋体" w:eastAsia="宋体" w:hint="default"/>
          <w:sz w:val="21"/>
          <w:szCs w:val="21"/>
        </w:rPr>
        <w:t>网业务网络。</w:t>
      </w:r>
    </w:p>
    <w:p>
      <w:pPr>
        <w:spacing w:line="273" w:lineRule="auto" w:before="157"/>
        <w:ind w:left="154" w:right="151" w:firstLine="420"/>
        <w:jc w:val="both"/>
        <w:rPr>
          <w:rFonts w:ascii="宋体" w:hAnsi="宋体" w:cs="宋体" w:eastAsia="宋体" w:hint="default"/>
          <w:sz w:val="21"/>
          <w:szCs w:val="21"/>
        </w:rPr>
      </w:pPr>
      <w:r>
        <w:rPr>
          <w:rFonts w:ascii="宋体" w:hAnsi="宋体" w:cs="宋体" w:eastAsia="宋体" w:hint="default"/>
          <w:spacing w:val="-1"/>
          <w:sz w:val="21"/>
          <w:szCs w:val="21"/>
        </w:rPr>
        <w:t>通过海外互联网业务的不断开拓，公司与相关产品链各个环节的主要合作伙伴建立了良好的长期合作</w:t>
      </w:r>
      <w:r>
        <w:rPr>
          <w:rFonts w:ascii="宋体" w:hAnsi="宋体" w:cs="宋体" w:eastAsia="宋体" w:hint="default"/>
          <w:sz w:val="21"/>
          <w:szCs w:val="21"/>
        </w:rPr>
        <w:t> </w:t>
      </w:r>
      <w:r>
        <w:rPr>
          <w:rFonts w:ascii="宋体" w:hAnsi="宋体" w:cs="宋体" w:eastAsia="宋体" w:hint="default"/>
          <w:spacing w:val="-1"/>
          <w:sz w:val="21"/>
          <w:szCs w:val="21"/>
        </w:rPr>
        <w:t>关系，并计划将以下关系运用到之后的互联网金融、软件工具、社交平台、视频直播等各个业务领域。如</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在产品发行方面，与苹果、谷歌建立了坚实的合作关系；在产品运营方面，与全球多个市场的主流移动网</w:t>
      </w:r>
    </w:p>
    <w:p>
      <w:pPr>
        <w:spacing w:after="0" w:line="273" w:lineRule="auto"/>
        <w:jc w:val="both"/>
        <w:rPr>
          <w:rFonts w:ascii="宋体" w:hAnsi="宋体" w:cs="宋体" w:eastAsia="宋体" w:hint="default"/>
          <w:sz w:val="21"/>
          <w:szCs w:val="21"/>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273" w:lineRule="auto" w:before="35"/>
        <w:ind w:left="154" w:right="211" w:firstLine="0"/>
        <w:jc w:val="both"/>
        <w:rPr>
          <w:rFonts w:ascii="宋体" w:hAnsi="宋体" w:cs="宋体" w:eastAsia="宋体" w:hint="default"/>
          <w:sz w:val="21"/>
          <w:szCs w:val="21"/>
        </w:rPr>
      </w:pPr>
      <w:r>
        <w:rPr>
          <w:rFonts w:ascii="宋体" w:hAnsi="宋体" w:cs="宋体" w:eastAsia="宋体" w:hint="default"/>
          <w:spacing w:val="-1"/>
          <w:sz w:val="21"/>
          <w:szCs w:val="21"/>
        </w:rPr>
        <w:t>络游戏发行和推广平台建立了长期的合作关系；在支付渠道方面，公司与全球多个市场主流支付服务提供</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商建立了合作和服务关系，能够为全球用户提供安全便捷的线上支付渠道；在服务器和网络服务方面，公</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司向全球知名服务器供应商进行采购，与海内外主流数据托管和内容分发服务提供商建立长期、稳定的合</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作关系，有效保证数据中心的稳定和安全。</w:t>
      </w:r>
    </w:p>
    <w:p>
      <w:pPr>
        <w:spacing w:line="432" w:lineRule="exact" w:before="28"/>
        <w:ind w:left="574" w:right="103"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、通过游戏、软件工具和互联网金融等业务积累了全球海量用户 </w:t>
      </w:r>
      <w:r>
        <w:rPr>
          <w:rFonts w:ascii="宋体" w:hAnsi="宋体" w:cs="宋体" w:eastAsia="宋体" w:hint="default"/>
          <w:spacing w:val="-1"/>
          <w:sz w:val="21"/>
          <w:szCs w:val="21"/>
        </w:rPr>
        <w:t>公司近年来在游戏方面始终保持每年</w:t>
      </w:r>
      <w:r>
        <w:rPr>
          <w:rFonts w:ascii="Times New Roman" w:hAnsi="Times New Roman" w:cs="Times New Roman" w:eastAsia="Times New Roman" w:hint="default"/>
          <w:spacing w:val="-1"/>
          <w:sz w:val="21"/>
          <w:szCs w:val="21"/>
        </w:rPr>
        <w:t>20</w:t>
      </w:r>
      <w:r>
        <w:rPr>
          <w:rFonts w:ascii="宋体" w:hAnsi="宋体" w:cs="宋体" w:eastAsia="宋体" w:hint="default"/>
          <w:spacing w:val="-1"/>
          <w:sz w:val="21"/>
          <w:szCs w:val="21"/>
        </w:rPr>
        <w:t>款左右的游戏大作在</w:t>
      </w:r>
      <w:r>
        <w:rPr>
          <w:rFonts w:ascii="Times New Roman" w:hAnsi="Times New Roman" w:cs="Times New Roman" w:eastAsia="Times New Roman" w:hint="default"/>
          <w:spacing w:val="-1"/>
          <w:sz w:val="21"/>
          <w:szCs w:val="21"/>
        </w:rPr>
        <w:t>10</w:t>
      </w:r>
      <w:r>
        <w:rPr>
          <w:rFonts w:ascii="宋体" w:hAnsi="宋体" w:cs="宋体" w:eastAsia="宋体" w:hint="default"/>
          <w:spacing w:val="-1"/>
          <w:sz w:val="21"/>
          <w:szCs w:val="21"/>
        </w:rPr>
        <w:t>余个国家和地区进行发行和运营；海外</w:t>
      </w:r>
    </w:p>
    <w:p>
      <w:pPr>
        <w:spacing w:line="271" w:lineRule="exact" w:before="0"/>
        <w:ind w:left="154" w:right="0" w:firstLine="0"/>
        <w:jc w:val="both"/>
        <w:rPr>
          <w:rFonts w:ascii="宋体" w:hAnsi="宋体" w:cs="宋体" w:eastAsia="宋体" w:hint="default"/>
          <w:sz w:val="21"/>
          <w:szCs w:val="21"/>
        </w:rPr>
      </w:pPr>
      <w:r>
        <w:rPr>
          <w:rFonts w:ascii="宋体" w:hAnsi="宋体" w:cs="宋体" w:eastAsia="宋体" w:hint="default"/>
          <w:sz w:val="21"/>
          <w:szCs w:val="21"/>
        </w:rPr>
        <w:t>软件工具方面，</w:t>
      </w:r>
      <w:r>
        <w:rPr>
          <w:rFonts w:ascii="Times New Roman" w:hAnsi="Times New Roman" w:cs="Times New Roman" w:eastAsia="Times New Roman" w:hint="default"/>
          <w:sz w:val="21"/>
          <w:szCs w:val="21"/>
        </w:rPr>
        <w:t>1Mobile</w:t>
      </w:r>
      <w:r>
        <w:rPr>
          <w:rFonts w:ascii="宋体" w:hAnsi="宋体" w:cs="宋体" w:eastAsia="宋体" w:hint="default"/>
          <w:sz w:val="21"/>
          <w:szCs w:val="21"/>
        </w:rPr>
        <w:t>和</w:t>
      </w:r>
      <w:r>
        <w:rPr>
          <w:rFonts w:ascii="Times New Roman" w:hAnsi="Times New Roman" w:cs="Times New Roman" w:eastAsia="Times New Roman" w:hint="default"/>
          <w:sz w:val="21"/>
          <w:szCs w:val="21"/>
        </w:rPr>
        <w:t>Brothersoft</w:t>
      </w:r>
      <w:r>
        <w:rPr>
          <w:rFonts w:ascii="宋体" w:hAnsi="宋体" w:cs="宋体" w:eastAsia="宋体" w:hint="default"/>
          <w:sz w:val="21"/>
          <w:szCs w:val="21"/>
        </w:rPr>
        <w:t>均属国际知名平台；互联网金融方面，随手科技、趣分期均覆盖了大</w:t>
      </w:r>
    </w:p>
    <w:p>
      <w:pPr>
        <w:spacing w:before="21"/>
        <w:ind w:left="154" w:right="0" w:firstLine="0"/>
        <w:jc w:val="both"/>
        <w:rPr>
          <w:rFonts w:ascii="宋体" w:hAnsi="宋体" w:cs="宋体" w:eastAsia="宋体" w:hint="default"/>
          <w:sz w:val="21"/>
          <w:szCs w:val="21"/>
        </w:rPr>
      </w:pPr>
      <w:r>
        <w:rPr>
          <w:rFonts w:ascii="宋体" w:hAnsi="宋体" w:cs="宋体" w:eastAsia="宋体" w:hint="default"/>
          <w:sz w:val="21"/>
          <w:szCs w:val="21"/>
        </w:rPr>
        <w:t>量用户。</w:t>
      </w:r>
    </w:p>
    <w:p>
      <w:pPr>
        <w:spacing w:line="256" w:lineRule="auto" w:before="157"/>
        <w:ind w:left="154" w:right="210" w:firstLine="420"/>
        <w:jc w:val="both"/>
        <w:rPr>
          <w:rFonts w:ascii="宋体" w:hAnsi="宋体" w:cs="宋体" w:eastAsia="宋体" w:hint="default"/>
          <w:sz w:val="21"/>
          <w:szCs w:val="21"/>
        </w:rPr>
      </w:pPr>
      <w:r>
        <w:rPr>
          <w:rFonts w:ascii="宋体" w:hAnsi="宋体" w:cs="宋体" w:eastAsia="宋体" w:hint="default"/>
          <w:sz w:val="21"/>
          <w:szCs w:val="21"/>
        </w:rPr>
        <w:t>未来，公司通过对</w:t>
      </w:r>
      <w:r>
        <w:rPr>
          <w:rFonts w:ascii="Times New Roman" w:hAnsi="Times New Roman" w:cs="Times New Roman" w:eastAsia="Times New Roman" w:hint="default"/>
          <w:sz w:val="21"/>
          <w:szCs w:val="21"/>
        </w:rPr>
        <w:t>Opera</w:t>
      </w:r>
      <w:r>
        <w:rPr>
          <w:rFonts w:ascii="宋体" w:hAnsi="宋体" w:cs="宋体" w:eastAsia="宋体" w:hint="default"/>
          <w:sz w:val="21"/>
          <w:szCs w:val="21"/>
        </w:rPr>
        <w:t>的整合，以及在全球移动社交平台上的突破，预计公司将覆盖全球更多的互 联网用户，成为全球范围内重要的互联网流量入口。</w:t>
      </w:r>
    </w:p>
    <w:p>
      <w:pPr>
        <w:spacing w:line="357" w:lineRule="auto" w:before="142"/>
        <w:ind w:left="574" w:right="97"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、网罗全球顶尖互联网人才，完善人才激励机制 </w:t>
      </w:r>
      <w:r>
        <w:rPr>
          <w:rFonts w:ascii="宋体" w:hAnsi="宋体" w:cs="宋体" w:eastAsia="宋体" w:hint="default"/>
          <w:spacing w:val="-3"/>
          <w:sz w:val="21"/>
          <w:szCs w:val="21"/>
        </w:rPr>
        <w:t>报告期内，公司在各个业务线条上均吸纳了国际化顶尖人才，确保了公司在各个细分领域的并肩发展。</w:t>
      </w:r>
    </w:p>
    <w:p>
      <w:pPr>
        <w:spacing w:line="209" w:lineRule="exact" w:before="0"/>
        <w:ind w:left="154" w:right="0" w:firstLine="0"/>
        <w:jc w:val="both"/>
        <w:rPr>
          <w:rFonts w:ascii="宋体" w:hAnsi="宋体" w:cs="宋体" w:eastAsia="宋体" w:hint="default"/>
          <w:sz w:val="21"/>
          <w:szCs w:val="21"/>
        </w:rPr>
      </w:pPr>
      <w:r>
        <w:rPr>
          <w:rFonts w:ascii="宋体" w:hAnsi="宋体" w:cs="宋体" w:eastAsia="宋体" w:hint="default"/>
          <w:sz w:val="21"/>
          <w:szCs w:val="21"/>
        </w:rPr>
        <w:t>游戏方面，公司引进了来自腾讯等知名游戏公司策划和发行人员，并从韩国聘请了高级美术团队。影视方</w:t>
      </w:r>
    </w:p>
    <w:p>
      <w:pPr>
        <w:spacing w:line="264" w:lineRule="auto" w:before="37"/>
        <w:ind w:left="154" w:right="210" w:firstLine="0"/>
        <w:jc w:val="both"/>
        <w:rPr>
          <w:rFonts w:ascii="宋体" w:hAnsi="宋体" w:cs="宋体" w:eastAsia="宋体" w:hint="default"/>
          <w:sz w:val="21"/>
          <w:szCs w:val="21"/>
        </w:rPr>
      </w:pPr>
      <w:r>
        <w:rPr>
          <w:rFonts w:ascii="宋体" w:hAnsi="宋体" w:cs="宋体" w:eastAsia="宋体" w:hint="default"/>
          <w:spacing w:val="-1"/>
          <w:sz w:val="21"/>
          <w:szCs w:val="21"/>
        </w:rPr>
        <w:t>面，公司聘请了原慈文传媒电影业务主管、董事长助理，《花千骨》总策划、执行制片人谭景担任影视事</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业部总经理。互联网金融方面，公司引进了来自</w:t>
      </w:r>
      <w:r>
        <w:rPr>
          <w:rFonts w:ascii="Times New Roman" w:hAnsi="Times New Roman" w:cs="Times New Roman" w:eastAsia="Times New Roman" w:hint="default"/>
          <w:spacing w:val="-1"/>
          <w:sz w:val="21"/>
          <w:szCs w:val="21"/>
        </w:rPr>
        <w:t>Facebook</w:t>
      </w:r>
      <w:r>
        <w:rPr>
          <w:rFonts w:ascii="宋体" w:hAnsi="宋体" w:cs="宋体" w:eastAsia="宋体" w:hint="default"/>
          <w:spacing w:val="-1"/>
          <w:sz w:val="21"/>
          <w:szCs w:val="21"/>
        </w:rPr>
        <w:t>、微软、聚美优品、</w:t>
      </w:r>
      <w:r>
        <w:rPr>
          <w:rFonts w:ascii="Times New Roman" w:hAnsi="Times New Roman" w:cs="Times New Roman" w:eastAsia="Times New Roman" w:hint="default"/>
          <w:spacing w:val="-1"/>
          <w:sz w:val="21"/>
          <w:szCs w:val="21"/>
        </w:rPr>
        <w:t>HSBC</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Bloomberg</w:t>
      </w:r>
      <w:r>
        <w:rPr>
          <w:rFonts w:ascii="宋体" w:hAnsi="宋体" w:cs="宋体" w:eastAsia="宋体" w:hint="default"/>
          <w:spacing w:val="-1"/>
          <w:sz w:val="21"/>
          <w:szCs w:val="21"/>
        </w:rPr>
        <w:t>等国际知</w:t>
      </w:r>
      <w:r>
        <w:rPr>
          <w:rFonts w:ascii="宋体" w:hAnsi="宋体" w:cs="宋体" w:eastAsia="宋体" w:hint="default"/>
          <w:spacing w:val="-77"/>
          <w:sz w:val="21"/>
          <w:szCs w:val="21"/>
        </w:rPr>
        <w:t> </w:t>
      </w:r>
      <w:r>
        <w:rPr>
          <w:rFonts w:ascii="宋体" w:hAnsi="宋体" w:cs="宋体" w:eastAsia="宋体" w:hint="default"/>
          <w:sz w:val="21"/>
          <w:szCs w:val="21"/>
        </w:rPr>
        <w:t>名企业的华人高管。</w:t>
      </w:r>
    </w:p>
    <w:p>
      <w:pPr>
        <w:spacing w:line="256" w:lineRule="auto" w:before="136"/>
        <w:ind w:left="154" w:right="219" w:firstLine="420"/>
        <w:jc w:val="both"/>
        <w:rPr>
          <w:rFonts w:ascii="宋体" w:hAnsi="宋体" w:cs="宋体" w:eastAsia="宋体" w:hint="default"/>
          <w:sz w:val="21"/>
          <w:szCs w:val="21"/>
        </w:rPr>
      </w:pP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30</w:t>
      </w:r>
      <w:r>
        <w:rPr>
          <w:rFonts w:ascii="宋体" w:hAnsi="宋体" w:cs="宋体" w:eastAsia="宋体" w:hint="default"/>
          <w:sz w:val="21"/>
          <w:szCs w:val="21"/>
        </w:rPr>
        <w:t>日发布股票期权与限制性股票激励计划草案，激励力度很大，深度绑定人才，进 一步完善了人才激励机制。</w:t>
      </w:r>
    </w:p>
    <w:p>
      <w:pPr>
        <w:spacing w:line="357" w:lineRule="auto" w:before="142"/>
        <w:ind w:left="574" w:right="103"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、拥有成熟的数据分析系统以及精细化的市场营销和运营体系 </w:t>
      </w:r>
      <w:r>
        <w:rPr>
          <w:rFonts w:ascii="宋体" w:hAnsi="宋体" w:cs="宋体" w:eastAsia="宋体" w:hint="default"/>
          <w:spacing w:val="-1"/>
          <w:sz w:val="21"/>
          <w:szCs w:val="21"/>
        </w:rPr>
        <w:t>公司通过优秀的数据分析能力，实现了精准的市场投放，建立了以数据为依托、以用户行为为导向的</w:t>
      </w:r>
    </w:p>
    <w:p>
      <w:pPr>
        <w:spacing w:line="209" w:lineRule="exact" w:before="0"/>
        <w:ind w:left="154" w:right="0" w:firstLine="0"/>
        <w:jc w:val="both"/>
        <w:rPr>
          <w:rFonts w:ascii="宋体" w:hAnsi="宋体" w:cs="宋体" w:eastAsia="宋体" w:hint="default"/>
          <w:sz w:val="21"/>
          <w:szCs w:val="21"/>
        </w:rPr>
      </w:pPr>
      <w:r>
        <w:rPr>
          <w:rFonts w:ascii="宋体" w:hAnsi="宋体" w:cs="宋体" w:eastAsia="宋体" w:hint="default"/>
          <w:sz w:val="21"/>
          <w:szCs w:val="21"/>
        </w:rPr>
        <w:t>精细化运营体系。借助高效准确的数据统计和分析，公司可以为所有运营及营销决策提供数据支持，实时</w:t>
      </w:r>
    </w:p>
    <w:p>
      <w:pPr>
        <w:spacing w:line="273" w:lineRule="auto" w:before="37"/>
        <w:ind w:left="154" w:right="210" w:firstLine="0"/>
        <w:jc w:val="both"/>
        <w:rPr>
          <w:rFonts w:ascii="宋体" w:hAnsi="宋体" w:cs="宋体" w:eastAsia="宋体" w:hint="default"/>
          <w:sz w:val="21"/>
          <w:szCs w:val="21"/>
        </w:rPr>
      </w:pPr>
      <w:r>
        <w:rPr>
          <w:rFonts w:ascii="宋体" w:hAnsi="宋体" w:cs="宋体" w:eastAsia="宋体" w:hint="default"/>
          <w:spacing w:val="-1"/>
          <w:sz w:val="21"/>
          <w:szCs w:val="21"/>
        </w:rPr>
        <w:t>调整市场推广工作，优化广告投放渠道、投放时段和投放创意，实现精准的市场投放。公司还可以通过及</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1"/>
          <w:sz w:val="21"/>
          <w:szCs w:val="21"/>
        </w:rPr>
        <w:t>时的数据分析和产品分析，对市场变化做出迅速准确的判断，形成以数据结论为主要参考标准的科学化的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产品运营决策和运营策略，对产品的成功和稳定运营起到了关键的保障作用，最大程度上发挥数据支持运</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营效率。</w:t>
      </w:r>
    </w:p>
    <w:p>
      <w:pPr>
        <w:spacing w:line="264" w:lineRule="auto" w:before="127"/>
        <w:ind w:left="154" w:right="211" w:firstLine="420"/>
        <w:jc w:val="both"/>
        <w:rPr>
          <w:rFonts w:ascii="宋体" w:hAnsi="宋体" w:cs="宋体" w:eastAsia="宋体" w:hint="default"/>
          <w:sz w:val="21"/>
          <w:szCs w:val="21"/>
        </w:rPr>
      </w:pPr>
      <w:r>
        <w:rPr>
          <w:rFonts w:ascii="宋体" w:hAnsi="宋体" w:cs="宋体" w:eastAsia="宋体" w:hint="default"/>
          <w:spacing w:val="-1"/>
          <w:sz w:val="21"/>
          <w:szCs w:val="21"/>
        </w:rPr>
        <w:t>另外，公司已于</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年初开始搭建集团公共平台系统，作为各版块协同作战的基础。该平台系统包括</w:t>
      </w:r>
      <w:r>
        <w:rPr>
          <w:rFonts w:ascii="宋体" w:hAnsi="宋体" w:cs="宋体" w:eastAsia="宋体" w:hint="default"/>
          <w:sz w:val="21"/>
          <w:szCs w:val="21"/>
        </w:rPr>
        <w:t> </w:t>
      </w:r>
      <w:r>
        <w:rPr>
          <w:rFonts w:ascii="宋体" w:hAnsi="宋体" w:cs="宋体" w:eastAsia="宋体" w:hint="default"/>
          <w:spacing w:val="-1"/>
          <w:sz w:val="21"/>
          <w:szCs w:val="21"/>
        </w:rPr>
        <w:t>用户系统、大数据系统、推荐系统和广告系统。一方面可以为用户提供更好的服务体验，另一方面可以显</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著提高公司的变现能力和运营效果。</w:t>
      </w:r>
    </w:p>
    <w:p>
      <w:pPr>
        <w:spacing w:line="357" w:lineRule="auto" w:before="136"/>
        <w:ind w:left="574" w:right="103"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、多元化变现方式，业务板块间协同发展，具备综合性互联网增值服务能力 </w:t>
      </w:r>
      <w:r>
        <w:rPr>
          <w:rFonts w:ascii="宋体" w:hAnsi="宋体" w:cs="宋体" w:eastAsia="宋体" w:hint="default"/>
          <w:spacing w:val="-1"/>
          <w:sz w:val="21"/>
          <w:szCs w:val="21"/>
        </w:rPr>
        <w:t>公司在网络游戏的研发和发行、软件应用商店的运营、互联网金融等现有业务基础上，还在积极拓展</w:t>
      </w:r>
    </w:p>
    <w:p>
      <w:pPr>
        <w:spacing w:line="209" w:lineRule="exact" w:before="0"/>
        <w:ind w:left="154" w:right="0" w:firstLine="0"/>
        <w:jc w:val="both"/>
        <w:rPr>
          <w:rFonts w:ascii="宋体" w:hAnsi="宋体" w:cs="宋体" w:eastAsia="宋体" w:hint="default"/>
          <w:sz w:val="21"/>
          <w:szCs w:val="21"/>
        </w:rPr>
      </w:pPr>
      <w:r>
        <w:rPr>
          <w:rFonts w:ascii="宋体" w:hAnsi="宋体" w:cs="宋体" w:eastAsia="宋体" w:hint="default"/>
          <w:sz w:val="21"/>
          <w:szCs w:val="21"/>
        </w:rPr>
        <w:t>浏览器、移动社交、视频直播、影游联动等其他互联网相关的热门领域，具备多元化的变现方式，具备为</w:t>
      </w:r>
    </w:p>
    <w:p>
      <w:pPr>
        <w:spacing w:before="37"/>
        <w:ind w:left="154" w:right="0" w:firstLine="0"/>
        <w:jc w:val="both"/>
        <w:rPr>
          <w:rFonts w:ascii="宋体" w:hAnsi="宋体" w:cs="宋体" w:eastAsia="宋体" w:hint="default"/>
          <w:sz w:val="21"/>
          <w:szCs w:val="21"/>
        </w:rPr>
      </w:pPr>
      <w:r>
        <w:rPr>
          <w:rFonts w:ascii="宋体" w:hAnsi="宋体" w:cs="宋体" w:eastAsia="宋体" w:hint="default"/>
          <w:sz w:val="21"/>
          <w:szCs w:val="21"/>
        </w:rPr>
        <w:t>全球互联网用户提供综合性互联网增值服务的能力。</w:t>
      </w:r>
    </w:p>
    <w:p>
      <w:pPr>
        <w:spacing w:line="273" w:lineRule="auto" w:before="157"/>
        <w:ind w:left="154" w:right="211" w:firstLine="420"/>
        <w:jc w:val="both"/>
        <w:rPr>
          <w:rFonts w:ascii="宋体" w:hAnsi="宋体" w:cs="宋体" w:eastAsia="宋体" w:hint="default"/>
          <w:sz w:val="21"/>
          <w:szCs w:val="21"/>
        </w:rPr>
      </w:pPr>
      <w:r>
        <w:rPr>
          <w:rFonts w:ascii="宋体" w:hAnsi="宋体" w:cs="宋体" w:eastAsia="宋体" w:hint="default"/>
          <w:spacing w:val="-1"/>
          <w:sz w:val="21"/>
          <w:szCs w:val="21"/>
        </w:rPr>
        <w:t>与此同时，公司各个业务板块相互支持，实现了资源的有效整合，初步形成了良好的协同效应。比如</w:t>
      </w:r>
      <w:r>
        <w:rPr>
          <w:rFonts w:ascii="宋体" w:hAnsi="宋体" w:cs="宋体" w:eastAsia="宋体" w:hint="default"/>
          <w:sz w:val="21"/>
          <w:szCs w:val="21"/>
        </w:rPr>
        <w:t> </w:t>
      </w:r>
      <w:r>
        <w:rPr>
          <w:rFonts w:ascii="宋体" w:hAnsi="宋体" w:cs="宋体" w:eastAsia="宋体" w:hint="default"/>
          <w:spacing w:val="-1"/>
          <w:sz w:val="21"/>
          <w:szCs w:val="21"/>
        </w:rPr>
        <w:t>在游戏业务中深耕的国际市场和相关资源，可充分运用到其他互联网产品中去。软件应用商店为公司推广</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网络游戏业务提供了有利渠道。影游联动方面，公司尝试将动画团队与游戏团队在剧情、美术、周期等方</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面进行共享。互联网金融已经实现与游戏用户进行互导，形成了显著的协同效应。</w:t>
      </w:r>
    </w:p>
    <w:p>
      <w:pPr>
        <w:spacing w:line="432" w:lineRule="exact" w:before="27"/>
        <w:ind w:left="574" w:right="103"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、具备精准的前瞻性的战略发展眼光 </w:t>
      </w:r>
      <w:r>
        <w:rPr>
          <w:rFonts w:ascii="宋体" w:hAnsi="宋体" w:cs="宋体" w:eastAsia="宋体" w:hint="default"/>
          <w:spacing w:val="-1"/>
          <w:sz w:val="21"/>
          <w:szCs w:val="21"/>
        </w:rPr>
        <w:t>公司始终致力于发展成为全球领先的互联网综合平台商。自</w:t>
      </w:r>
      <w:r>
        <w:rPr>
          <w:rFonts w:ascii="Times New Roman" w:hAnsi="Times New Roman" w:cs="Times New Roman" w:eastAsia="Times New Roman" w:hint="default"/>
          <w:spacing w:val="-1"/>
          <w:sz w:val="21"/>
          <w:szCs w:val="21"/>
        </w:rPr>
        <w:t>2008</w:t>
      </w:r>
      <w:r>
        <w:rPr>
          <w:rFonts w:ascii="宋体" w:hAnsi="宋体" w:cs="宋体" w:eastAsia="宋体" w:hint="default"/>
          <w:spacing w:val="-1"/>
          <w:sz w:val="21"/>
          <w:szCs w:val="21"/>
        </w:rPr>
        <w:t>年成立以来，公司在国内成为率先立</w:t>
      </w:r>
    </w:p>
    <w:p>
      <w:pPr>
        <w:spacing w:line="271" w:lineRule="exact" w:before="0"/>
        <w:ind w:left="154" w:right="0" w:firstLine="0"/>
        <w:jc w:val="both"/>
        <w:rPr>
          <w:rFonts w:ascii="宋体" w:hAnsi="宋体" w:cs="宋体" w:eastAsia="宋体" w:hint="default"/>
          <w:sz w:val="21"/>
          <w:szCs w:val="21"/>
        </w:rPr>
      </w:pPr>
      <w:r>
        <w:rPr>
          <w:rFonts w:ascii="宋体" w:hAnsi="宋体" w:cs="宋体" w:eastAsia="宋体" w:hint="default"/>
          <w:sz w:val="21"/>
          <w:szCs w:val="21"/>
        </w:rPr>
        <w:t>足于网页游戏的公司之一，推动了中国网页游戏市场的快速发展。并于</w:t>
      </w:r>
      <w:r>
        <w:rPr>
          <w:rFonts w:ascii="Times New Roman" w:hAnsi="Times New Roman" w:cs="Times New Roman" w:eastAsia="Times New Roman" w:hint="default"/>
          <w:sz w:val="21"/>
          <w:szCs w:val="21"/>
        </w:rPr>
        <w:t>2009</w:t>
      </w:r>
      <w:r>
        <w:rPr>
          <w:rFonts w:ascii="宋体" w:hAnsi="宋体" w:cs="宋体" w:eastAsia="宋体" w:hint="default"/>
          <w:sz w:val="21"/>
          <w:szCs w:val="21"/>
        </w:rPr>
        <w:t>年成功切入海外页游市场，成</w:t>
      </w:r>
    </w:p>
    <w:p>
      <w:pPr>
        <w:spacing w:after="0" w:line="271" w:lineRule="exact"/>
        <w:jc w:val="both"/>
        <w:rPr>
          <w:rFonts w:ascii="宋体" w:hAnsi="宋体" w:cs="宋体" w:eastAsia="宋体" w:hint="default"/>
          <w:sz w:val="21"/>
          <w:szCs w:val="21"/>
        </w:rPr>
        <w:sectPr>
          <w:pgSz w:w="11910" w:h="16840"/>
          <w:pgMar w:header="747" w:footer="979" w:top="1060" w:bottom="1160" w:left="980" w:right="920"/>
        </w:sectPr>
      </w:pPr>
    </w:p>
    <w:p>
      <w:pPr>
        <w:spacing w:line="240" w:lineRule="auto" w:before="9"/>
        <w:rPr>
          <w:rFonts w:ascii="宋体" w:hAnsi="宋体" w:cs="宋体" w:eastAsia="宋体" w:hint="default"/>
          <w:sz w:val="24"/>
          <w:szCs w:val="24"/>
        </w:rPr>
      </w:pPr>
    </w:p>
    <w:p>
      <w:pPr>
        <w:spacing w:line="256" w:lineRule="auto" w:before="35"/>
        <w:ind w:left="0" w:right="130" w:firstLine="0"/>
        <w:jc w:val="right"/>
        <w:rPr>
          <w:rFonts w:ascii="宋体" w:hAnsi="宋体" w:cs="宋体" w:eastAsia="宋体" w:hint="default"/>
          <w:sz w:val="21"/>
          <w:szCs w:val="21"/>
        </w:rPr>
      </w:pPr>
      <w:r>
        <w:rPr>
          <w:rFonts w:ascii="宋体" w:hAnsi="宋体" w:cs="宋体" w:eastAsia="宋体" w:hint="default"/>
          <w:spacing w:val="-1"/>
          <w:sz w:val="21"/>
          <w:szCs w:val="21"/>
        </w:rPr>
        <w:t>为最早一批成功进军海外市场的中国游戏厂商。</w:t>
      </w:r>
      <w:r>
        <w:rPr>
          <w:rFonts w:ascii="Times New Roman" w:hAnsi="Times New Roman" w:cs="Times New Roman" w:eastAsia="Times New Roman" w:hint="default"/>
          <w:spacing w:val="-1"/>
          <w:sz w:val="21"/>
          <w:szCs w:val="21"/>
        </w:rPr>
        <w:t>2012</w:t>
      </w:r>
      <w:r>
        <w:rPr>
          <w:rFonts w:ascii="宋体" w:hAnsi="宋体" w:cs="宋体" w:eastAsia="宋体" w:hint="default"/>
          <w:spacing w:val="-1"/>
          <w:sz w:val="21"/>
          <w:szCs w:val="21"/>
        </w:rPr>
        <w:t>年，公司敏锐察觉到移动互联网游戏的兴起，大力布</w:t>
      </w:r>
      <w:r>
        <w:rPr>
          <w:rFonts w:ascii="宋体" w:hAnsi="宋体" w:cs="宋体" w:eastAsia="宋体" w:hint="default"/>
          <w:sz w:val="21"/>
          <w:szCs w:val="21"/>
        </w:rPr>
        <w:t> 局转型手游业务，凭借先发优势和深入的本地化运营模式，占据中国移动网络游戏产品出口的龙头地位。</w:t>
      </w:r>
    </w:p>
    <w:p>
      <w:pPr>
        <w:spacing w:line="266" w:lineRule="auto" w:before="142"/>
        <w:ind w:left="154" w:right="149" w:firstLine="420"/>
        <w:jc w:val="both"/>
        <w:rPr>
          <w:rFonts w:ascii="宋体" w:hAnsi="宋体" w:cs="宋体" w:eastAsia="宋体" w:hint="default"/>
          <w:sz w:val="21"/>
          <w:szCs w:val="21"/>
        </w:rPr>
      </w:pPr>
      <w:r>
        <w:rPr>
          <w:rFonts w:ascii="宋体" w:hAnsi="宋体" w:cs="宋体" w:eastAsia="宋体" w:hint="default"/>
          <w:spacing w:val="-1"/>
          <w:sz w:val="21"/>
          <w:szCs w:val="21"/>
        </w:rPr>
        <w:t>报告期内，公司积极向平台型生态化互联网公司转型，大举布局了互联网金融、影游联动等前沿细分</w:t>
      </w:r>
      <w:r>
        <w:rPr>
          <w:rFonts w:ascii="宋体" w:hAnsi="宋体" w:cs="宋体" w:eastAsia="宋体" w:hint="default"/>
          <w:sz w:val="21"/>
          <w:szCs w:val="21"/>
        </w:rPr>
        <w:t> </w:t>
      </w:r>
      <w:r>
        <w:rPr>
          <w:rFonts w:ascii="宋体" w:hAnsi="宋体" w:cs="宋体" w:eastAsia="宋体" w:hint="default"/>
          <w:spacing w:val="-3"/>
          <w:sz w:val="21"/>
          <w:szCs w:val="21"/>
        </w:rPr>
        <w:t>市场。并于</w:t>
      </w:r>
      <w:r>
        <w:rPr>
          <w:rFonts w:ascii="Times New Roman" w:hAnsi="Times New Roman" w:cs="Times New Roman" w:eastAsia="Times New Roman" w:hint="default"/>
          <w:spacing w:val="-3"/>
          <w:sz w:val="21"/>
          <w:szCs w:val="21"/>
        </w:rPr>
        <w:t>2016</w:t>
      </w:r>
      <w:r>
        <w:rPr>
          <w:rFonts w:ascii="宋体" w:hAnsi="宋体" w:cs="宋体" w:eastAsia="宋体" w:hint="default"/>
          <w:spacing w:val="-3"/>
          <w:sz w:val="21"/>
          <w:szCs w:val="21"/>
        </w:rPr>
        <w:t>年初通过投资布局视频直播、社交平台、软件工具、</w:t>
      </w:r>
      <w:r>
        <w:rPr>
          <w:rFonts w:ascii="Times New Roman" w:hAnsi="Times New Roman" w:cs="Times New Roman" w:eastAsia="Times New Roman" w:hint="default"/>
          <w:spacing w:val="-3"/>
          <w:sz w:val="21"/>
          <w:szCs w:val="21"/>
        </w:rPr>
        <w:t>VR</w:t>
      </w:r>
      <w:r>
        <w:rPr>
          <w:rFonts w:ascii="宋体" w:hAnsi="宋体" w:cs="宋体" w:eastAsia="宋体" w:hint="default"/>
          <w:spacing w:val="-3"/>
          <w:sz w:val="21"/>
          <w:szCs w:val="21"/>
        </w:rPr>
        <w:t>、人工智能等具备前瞻性的互联网</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相关领域。</w:t>
      </w:r>
    </w:p>
    <w:p>
      <w:pPr>
        <w:spacing w:after="0" w:line="266" w:lineRule="auto"/>
        <w:jc w:val="both"/>
        <w:rPr>
          <w:rFonts w:ascii="宋体" w:hAnsi="宋体" w:cs="宋体" w:eastAsia="宋体" w:hint="default"/>
          <w:sz w:val="21"/>
          <w:szCs w:val="21"/>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457" w:lineRule="exact"/>
        <w:ind w:left="3126" w:right="82"/>
        <w:jc w:val="left"/>
        <w:rPr>
          <w:b w:val="0"/>
          <w:bCs w:val="0"/>
        </w:rPr>
      </w:pPr>
      <w:bookmarkStart w:name="_TOC_250007" w:id="4"/>
      <w:r>
        <w:rPr/>
        <w:t>第四节 </w:t>
      </w:r>
      <w:r>
        <w:rPr>
          <w:spacing w:val="7"/>
        </w:rPr>
        <w:t> </w:t>
      </w:r>
      <w:r>
        <w:rPr/>
        <w:t>管理层讨论与分析</w:t>
      </w:r>
      <w:bookmarkEnd w:id="4"/>
      <w:r>
        <w:rPr>
          <w:b w:val="0"/>
          <w:bCs w:val="0"/>
        </w:rPr>
      </w:r>
    </w:p>
    <w:p>
      <w:pPr>
        <w:spacing w:line="240" w:lineRule="auto" w:before="12"/>
        <w:rPr>
          <w:rFonts w:ascii="Microsoft JhengHei" w:hAnsi="Microsoft JhengHei" w:cs="Microsoft JhengHei" w:eastAsia="Microsoft JhengHei" w:hint="default"/>
          <w:b/>
          <w:bCs/>
          <w:sz w:val="25"/>
          <w:szCs w:val="25"/>
        </w:rPr>
      </w:pPr>
    </w:p>
    <w:p>
      <w:pPr>
        <w:pStyle w:val="Heading2"/>
        <w:spacing w:line="367" w:lineRule="exact"/>
        <w:ind w:right="0"/>
        <w:jc w:val="both"/>
        <w:rPr>
          <w:b w:val="0"/>
          <w:bCs w:val="0"/>
        </w:rPr>
      </w:pPr>
      <w:r>
        <w:rPr/>
        <w:t>一、概述</w:t>
      </w:r>
      <w:r>
        <w:rPr>
          <w:b w:val="0"/>
          <w:bCs w:val="0"/>
        </w:rPr>
      </w:r>
    </w:p>
    <w:p>
      <w:pPr>
        <w:spacing w:line="430" w:lineRule="atLeast" w:before="139"/>
        <w:ind w:left="574" w:right="82" w:hanging="421"/>
        <w:jc w:val="left"/>
        <w:rPr>
          <w:rFonts w:ascii="宋体" w:hAnsi="宋体" w:cs="宋体" w:eastAsia="宋体" w:hint="default"/>
          <w:sz w:val="21"/>
          <w:szCs w:val="21"/>
        </w:rPr>
      </w:pPr>
      <w:r>
        <w:rPr>
          <w:rFonts w:ascii="宋体" w:hAnsi="宋体" w:cs="宋体" w:eastAsia="宋体" w:hint="default"/>
          <w:sz w:val="21"/>
          <w:szCs w:val="21"/>
        </w:rPr>
        <w:t>公司整体发展概述 </w:t>
      </w:r>
      <w:r>
        <w:rPr>
          <w:rFonts w:ascii="宋体" w:hAnsi="宋体" w:cs="宋体" w:eastAsia="宋体" w:hint="default"/>
          <w:spacing w:val="-1"/>
          <w:sz w:val="21"/>
          <w:szCs w:val="21"/>
        </w:rPr>
        <w:t>公司致力于发展成为全球领先的互联网综合平台商。报告期内，公司围绕这一长期战略目标，将发展</w:t>
      </w:r>
    </w:p>
    <w:p>
      <w:pPr>
        <w:spacing w:line="264" w:lineRule="auto" w:before="37"/>
        <w:ind w:left="154" w:right="82" w:firstLine="0"/>
        <w:jc w:val="left"/>
        <w:rPr>
          <w:rFonts w:ascii="宋体" w:hAnsi="宋体" w:cs="宋体" w:eastAsia="宋体" w:hint="default"/>
          <w:sz w:val="21"/>
          <w:szCs w:val="21"/>
        </w:rPr>
      </w:pPr>
      <w:r>
        <w:rPr>
          <w:rFonts w:ascii="宋体" w:hAnsi="宋体" w:cs="宋体" w:eastAsia="宋体" w:hint="default"/>
          <w:sz w:val="21"/>
          <w:szCs w:val="21"/>
        </w:rPr>
        <w:t>战略和主营业务进行了全面升级，并确定了公司未来</w:t>
      </w:r>
      <w:r>
        <w:rPr>
          <w:rFonts w:ascii="Times New Roman" w:hAnsi="Times New Roman" w:cs="Times New Roman" w:eastAsia="Times New Roman" w:hint="default"/>
          <w:sz w:val="21"/>
          <w:szCs w:val="21"/>
        </w:rPr>
        <w:t>3-5</w:t>
      </w:r>
      <w:r>
        <w:rPr>
          <w:rFonts w:ascii="宋体" w:hAnsi="宋体" w:cs="宋体" w:eastAsia="宋体" w:hint="default"/>
          <w:sz w:val="21"/>
          <w:szCs w:val="21"/>
        </w:rPr>
        <w:t>年的发展蓝图。在继续稳固公司现有的网络游戏、 软件商店、互联网金融三大业务板块的同时，积极探索互联网领域的投资机会，重点围绕软件工具、社交 平台、</w:t>
      </w:r>
      <w:r>
        <w:rPr>
          <w:rFonts w:ascii="Times New Roman" w:hAnsi="Times New Roman" w:cs="Times New Roman" w:eastAsia="Times New Roman" w:hint="default"/>
          <w:sz w:val="21"/>
          <w:szCs w:val="21"/>
        </w:rPr>
        <w:t>IP</w:t>
      </w:r>
      <w:r>
        <w:rPr>
          <w:rFonts w:ascii="宋体" w:hAnsi="宋体" w:cs="宋体" w:eastAsia="宋体" w:hint="default"/>
          <w:sz w:val="21"/>
          <w:szCs w:val="21"/>
        </w:rPr>
        <w:t>经营、互联网金融和视频直播等板块进行投资布局，同时通过搭建集团中央平台，使得公司共享 用户系统、大数据系统、推荐系统和广告系统，给全球互联网用户优质的服务体验，形成各业务板块协同 发展的国际化互联网生态系统。</w:t>
      </w:r>
    </w:p>
    <w:p>
      <w:pPr>
        <w:spacing w:before="136"/>
        <w:ind w:left="574" w:right="82" w:firstLine="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2015</w:t>
      </w:r>
      <w:r>
        <w:rPr>
          <w:rFonts w:ascii="宋体" w:hAnsi="宋体" w:cs="宋体" w:eastAsia="宋体" w:hint="default"/>
          <w:spacing w:val="6"/>
          <w:sz w:val="21"/>
          <w:szCs w:val="21"/>
        </w:rPr>
        <w:t>年度公司实现营业收入</w:t>
      </w:r>
      <w:r>
        <w:rPr>
          <w:rFonts w:ascii="Times New Roman" w:hAnsi="Times New Roman" w:cs="Times New Roman" w:eastAsia="Times New Roman" w:hint="default"/>
          <w:spacing w:val="6"/>
          <w:sz w:val="21"/>
          <w:szCs w:val="21"/>
        </w:rPr>
        <w:t>1,789,140,564.52</w:t>
      </w:r>
      <w:r>
        <w:rPr>
          <w:rFonts w:ascii="宋体" w:hAnsi="宋体" w:cs="宋体" w:eastAsia="宋体" w:hint="default"/>
          <w:spacing w:val="6"/>
          <w:sz w:val="21"/>
          <w:szCs w:val="21"/>
        </w:rPr>
        <w:t>元，同比降低</w:t>
      </w:r>
      <w:r>
        <w:rPr>
          <w:rFonts w:ascii="Times New Roman" w:hAnsi="Times New Roman" w:cs="Times New Roman" w:eastAsia="Times New Roman" w:hint="default"/>
          <w:spacing w:val="6"/>
          <w:sz w:val="21"/>
          <w:szCs w:val="21"/>
        </w:rPr>
        <w:t>7.5%</w:t>
      </w:r>
      <w:r>
        <w:rPr>
          <w:rFonts w:ascii="宋体" w:hAnsi="宋体" w:cs="宋体" w:eastAsia="宋体" w:hint="default"/>
          <w:spacing w:val="6"/>
          <w:sz w:val="21"/>
          <w:szCs w:val="21"/>
        </w:rPr>
        <w:t>；实现归属上市公司股东的净利润</w:t>
      </w:r>
    </w:p>
    <w:p>
      <w:pPr>
        <w:spacing w:line="256" w:lineRule="auto" w:before="21"/>
        <w:ind w:left="154" w:right="192" w:firstLine="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405,288,398.77</w:t>
      </w:r>
      <w:r>
        <w:rPr>
          <w:rFonts w:ascii="宋体" w:hAnsi="宋体" w:cs="宋体" w:eastAsia="宋体" w:hint="default"/>
          <w:spacing w:val="-2"/>
          <w:sz w:val="21"/>
          <w:szCs w:val="21"/>
        </w:rPr>
        <w:t>元，同比增长</w:t>
      </w:r>
      <w:r>
        <w:rPr>
          <w:rFonts w:ascii="Times New Roman" w:hAnsi="Times New Roman" w:cs="Times New Roman" w:eastAsia="Times New Roman" w:hint="default"/>
          <w:spacing w:val="-2"/>
          <w:sz w:val="21"/>
          <w:szCs w:val="21"/>
        </w:rPr>
        <w:t>24.18%</w:t>
      </w:r>
      <w:r>
        <w:rPr>
          <w:rFonts w:ascii="宋体" w:hAnsi="宋体" w:cs="宋体" w:eastAsia="宋体" w:hint="default"/>
          <w:spacing w:val="-2"/>
          <w:sz w:val="21"/>
          <w:szCs w:val="21"/>
        </w:rPr>
        <w:t>。公司</w:t>
      </w:r>
      <w:r>
        <w:rPr>
          <w:rFonts w:ascii="Times New Roman" w:hAnsi="Times New Roman" w:cs="Times New Roman" w:eastAsia="Times New Roman" w:hint="default"/>
          <w:spacing w:val="-2"/>
          <w:sz w:val="21"/>
          <w:szCs w:val="21"/>
        </w:rPr>
        <w:t>2015</w:t>
      </w:r>
      <w:r>
        <w:rPr>
          <w:rFonts w:ascii="宋体" w:hAnsi="宋体" w:cs="宋体" w:eastAsia="宋体" w:hint="default"/>
          <w:spacing w:val="-2"/>
          <w:sz w:val="21"/>
          <w:szCs w:val="21"/>
        </w:rPr>
        <w:t>年利润总额因为全年长期股权投资确认被投资单位亏损，减</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少利润总额</w:t>
      </w:r>
      <w:r>
        <w:rPr>
          <w:rFonts w:ascii="Times New Roman" w:hAnsi="Times New Roman" w:cs="Times New Roman" w:eastAsia="Times New Roman" w:hint="default"/>
          <w:sz w:val="21"/>
          <w:szCs w:val="21"/>
        </w:rPr>
        <w:t>705.94</w:t>
      </w:r>
      <w:r>
        <w:rPr>
          <w:rFonts w:ascii="宋体" w:hAnsi="宋体" w:cs="宋体" w:eastAsia="宋体" w:hint="default"/>
          <w:sz w:val="21"/>
          <w:szCs w:val="21"/>
        </w:rPr>
        <w:t>万，因为计提股权激励费用，减少利润总额</w:t>
      </w:r>
      <w:r>
        <w:rPr>
          <w:rFonts w:ascii="Times New Roman" w:hAnsi="Times New Roman" w:cs="Times New Roman" w:eastAsia="Times New Roman" w:hint="default"/>
          <w:sz w:val="21"/>
          <w:szCs w:val="21"/>
        </w:rPr>
        <w:t>3,148.08</w:t>
      </w:r>
      <w:r>
        <w:rPr>
          <w:rFonts w:ascii="宋体" w:hAnsi="宋体" w:cs="宋体" w:eastAsia="宋体" w:hint="default"/>
          <w:sz w:val="21"/>
          <w:szCs w:val="21"/>
        </w:rPr>
        <w:t>万。</w:t>
      </w:r>
    </w:p>
    <w:p>
      <w:pPr>
        <w:spacing w:line="273" w:lineRule="auto" w:before="125"/>
        <w:ind w:left="154" w:right="191" w:firstLine="420"/>
        <w:jc w:val="both"/>
        <w:rPr>
          <w:rFonts w:ascii="宋体" w:hAnsi="宋体" w:cs="宋体" w:eastAsia="宋体" w:hint="default"/>
          <w:sz w:val="21"/>
          <w:szCs w:val="21"/>
        </w:rPr>
      </w:pPr>
      <w:r>
        <w:rPr>
          <w:rFonts w:ascii="宋体" w:hAnsi="宋体" w:cs="宋体" w:eastAsia="宋体" w:hint="default"/>
          <w:spacing w:val="-1"/>
          <w:sz w:val="21"/>
          <w:szCs w:val="21"/>
        </w:rPr>
        <w:t>报告期内，公司在原有的游戏和软件应用商店业务方面进行了全面的战略升级，并新增了互联网金融</w:t>
      </w:r>
      <w:r>
        <w:rPr>
          <w:rFonts w:ascii="宋体" w:hAnsi="宋体" w:cs="宋体" w:eastAsia="宋体" w:hint="default"/>
          <w:sz w:val="21"/>
          <w:szCs w:val="21"/>
        </w:rPr>
        <w:t> 业务板块。</w:t>
      </w:r>
    </w:p>
    <w:p>
      <w:pPr>
        <w:spacing w:line="432" w:lineRule="exact" w:before="27"/>
        <w:ind w:left="574" w:right="18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、将游戏研发和发行业务向上下游打通，与影视业务结合进行影游联动 报告期内，公司更加专注在移动游戏市场领域的发展，手机游戏收入</w:t>
      </w:r>
      <w:r>
        <w:rPr>
          <w:rFonts w:ascii="Times New Roman" w:hAnsi="Times New Roman" w:cs="Times New Roman" w:eastAsia="Times New Roman" w:hint="default"/>
          <w:sz w:val="21"/>
          <w:szCs w:val="21"/>
        </w:rPr>
        <w:t>14.66</w:t>
      </w:r>
      <w:r>
        <w:rPr>
          <w:rFonts w:ascii="宋体" w:hAnsi="宋体" w:cs="宋体" w:eastAsia="宋体" w:hint="default"/>
          <w:sz w:val="21"/>
          <w:szCs w:val="21"/>
        </w:rPr>
        <w:t>亿元，同比增长</w:t>
      </w:r>
      <w:r>
        <w:rPr>
          <w:rFonts w:ascii="Times New Roman" w:hAnsi="Times New Roman" w:cs="Times New Roman" w:eastAsia="Times New Roman" w:hint="default"/>
          <w:sz w:val="21"/>
          <w:szCs w:val="21"/>
        </w:rPr>
        <w:t>9.09%</w:t>
      </w:r>
      <w:r>
        <w:rPr>
          <w:rFonts w:ascii="宋体" w:hAnsi="宋体" w:cs="宋体" w:eastAsia="宋体" w:hint="default"/>
          <w:sz w:val="21"/>
          <w:szCs w:val="21"/>
        </w:rPr>
        <w:t>。推</w:t>
      </w:r>
    </w:p>
    <w:p>
      <w:pPr>
        <w:spacing w:line="271" w:lineRule="exact" w:before="0"/>
        <w:ind w:left="154" w:right="0" w:firstLine="0"/>
        <w:jc w:val="both"/>
        <w:rPr>
          <w:rFonts w:ascii="宋体" w:hAnsi="宋体" w:cs="宋体" w:eastAsia="宋体" w:hint="default"/>
          <w:sz w:val="21"/>
          <w:szCs w:val="21"/>
        </w:rPr>
      </w:pPr>
      <w:r>
        <w:rPr>
          <w:rFonts w:ascii="宋体" w:hAnsi="宋体" w:cs="宋体" w:eastAsia="宋体" w:hint="default"/>
          <w:sz w:val="21"/>
          <w:szCs w:val="21"/>
        </w:rPr>
        <w:t>出自研移动终端游戏包括《无双剑姬》、《风云三国</w:t>
      </w:r>
      <w:r>
        <w:rPr>
          <w:rFonts w:ascii="Times New Roman" w:hAnsi="Times New Roman" w:cs="Times New Roman" w:eastAsia="Times New Roman" w:hint="default"/>
          <w:sz w:val="21"/>
          <w:szCs w:val="21"/>
        </w:rPr>
        <w:t>2</w:t>
      </w:r>
      <w:r>
        <w:rPr>
          <w:rFonts w:ascii="宋体" w:hAnsi="宋体" w:cs="宋体" w:eastAsia="宋体" w:hint="default"/>
          <w:sz w:val="21"/>
          <w:szCs w:val="21"/>
        </w:rPr>
        <w:t>》、《师父有妖气》、《艾尔战记》</w:t>
      </w:r>
      <w:r>
        <w:rPr>
          <w:rFonts w:ascii="Times New Roman" w:hAnsi="Times New Roman" w:cs="Times New Roman" w:eastAsia="Times New Roman" w:hint="default"/>
          <w:sz w:val="21"/>
          <w:szCs w:val="21"/>
        </w:rPr>
        <w:t>4</w:t>
      </w:r>
      <w:r>
        <w:rPr>
          <w:rFonts w:ascii="宋体" w:hAnsi="宋体" w:cs="宋体" w:eastAsia="宋体" w:hint="default"/>
          <w:sz w:val="21"/>
          <w:szCs w:val="21"/>
        </w:rPr>
        <w:t>款。代理推出</w:t>
      </w:r>
    </w:p>
    <w:p>
      <w:pPr>
        <w:spacing w:line="264" w:lineRule="auto" w:before="21"/>
        <w:ind w:left="154" w:right="170" w:firstLine="0"/>
        <w:jc w:val="both"/>
        <w:rPr>
          <w:rFonts w:ascii="宋体" w:hAnsi="宋体" w:cs="宋体" w:eastAsia="宋体" w:hint="default"/>
          <w:sz w:val="21"/>
          <w:szCs w:val="21"/>
        </w:rPr>
      </w:pPr>
      <w:r>
        <w:rPr>
          <w:rFonts w:ascii="宋体" w:hAnsi="宋体" w:cs="宋体" w:eastAsia="宋体" w:hint="default"/>
          <w:sz w:val="21"/>
          <w:szCs w:val="21"/>
        </w:rPr>
        <w:t>移动终端游戏主要包括大陆地区的《极品飞车：最高通缉</w:t>
      </w:r>
      <w:r>
        <w:rPr>
          <w:rFonts w:ascii="Times New Roman" w:hAnsi="Times New Roman" w:cs="Times New Roman" w:eastAsia="Times New Roman" w:hint="default"/>
          <w:sz w:val="21"/>
          <w:szCs w:val="21"/>
        </w:rPr>
        <w:t>2015</w:t>
      </w:r>
      <w:r>
        <w:rPr>
          <w:rFonts w:ascii="宋体" w:hAnsi="宋体" w:cs="宋体" w:eastAsia="宋体" w:hint="default"/>
          <w:sz w:val="21"/>
          <w:szCs w:val="21"/>
        </w:rPr>
        <w:t>》、《愤怒的小鸟</w:t>
      </w:r>
      <w:r>
        <w:rPr>
          <w:rFonts w:ascii="Times New Roman" w:hAnsi="Times New Roman" w:cs="Times New Roman" w:eastAsia="Times New Roman" w:hint="default"/>
          <w:sz w:val="21"/>
          <w:szCs w:val="21"/>
        </w:rPr>
        <w:t>2</w:t>
      </w:r>
      <w:r>
        <w:rPr>
          <w:rFonts w:ascii="宋体" w:hAnsi="宋体" w:cs="宋体" w:eastAsia="宋体" w:hint="default"/>
          <w:sz w:val="21"/>
          <w:szCs w:val="21"/>
        </w:rPr>
        <w:t>》、《英雄联盟之魄罗</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宋体" w:hAnsi="宋体" w:cs="宋体" w:eastAsia="宋体" w:hint="default"/>
          <w:sz w:val="21"/>
          <w:szCs w:val="21"/>
        </w:rPr>
        <w:t>快跑》、《部落冲突》、《糖糖大世界》、《梦三国》等，韩国地区的《太极熊猫》、《乱斗西游》等， 日本地区的《血族萝莉》、《战神黎明》等，港澳台地区的《三国之刃》、《影之刃》、《全民奇迹》、</w:t>
      </w:r>
    </w:p>
    <w:p>
      <w:pPr>
        <w:spacing w:line="273" w:lineRule="auto" w:before="16"/>
        <w:ind w:left="154" w:right="170" w:firstLine="0"/>
        <w:jc w:val="both"/>
        <w:rPr>
          <w:rFonts w:ascii="宋体" w:hAnsi="宋体" w:cs="宋体" w:eastAsia="宋体" w:hint="default"/>
          <w:sz w:val="21"/>
          <w:szCs w:val="21"/>
        </w:rPr>
      </w:pPr>
      <w:r>
        <w:rPr>
          <w:rFonts w:ascii="宋体" w:hAnsi="宋体" w:cs="宋体" w:eastAsia="宋体" w:hint="default"/>
          <w:spacing w:val="-1"/>
          <w:sz w:val="21"/>
          <w:szCs w:val="21"/>
        </w:rPr>
        <w:t>《太极熊猫》等，东南亚地区的《全民奇迹》、《天龙八部》等，共计近二十款产品。此外，包括《兽人</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计划》等多款产品持续进行调优型测试。报告期内，公司通过精品化和多样化的移动终端游戏产品组合， 在多个移动游戏市场继续保持领先地位和竞争优势。</w:t>
      </w:r>
    </w:p>
    <w:p>
      <w:pPr>
        <w:spacing w:line="261" w:lineRule="auto" w:before="127"/>
        <w:ind w:left="154" w:right="190" w:firstLine="420"/>
        <w:jc w:val="both"/>
        <w:rPr>
          <w:rFonts w:ascii="宋体" w:hAnsi="宋体" w:cs="宋体" w:eastAsia="宋体" w:hint="default"/>
          <w:sz w:val="21"/>
          <w:szCs w:val="21"/>
        </w:rPr>
      </w:pPr>
      <w:r>
        <w:rPr>
          <w:rFonts w:ascii="宋体" w:hAnsi="宋体" w:cs="宋体" w:eastAsia="宋体" w:hint="default"/>
          <w:spacing w:val="-1"/>
          <w:sz w:val="21"/>
          <w:szCs w:val="21"/>
        </w:rPr>
        <w:t>与此同时，公司对网页游戏和客户端游戏业务进行了主动的缩减，收入均来自于存量游戏产品。报告</w:t>
      </w:r>
      <w:r>
        <w:rPr>
          <w:rFonts w:ascii="宋体" w:hAnsi="宋体" w:cs="宋体" w:eastAsia="宋体" w:hint="default"/>
          <w:sz w:val="21"/>
          <w:szCs w:val="21"/>
        </w:rPr>
        <w:t> 期内，网页游戏收入</w:t>
      </w:r>
      <w:r>
        <w:rPr>
          <w:rFonts w:ascii="Times New Roman" w:hAnsi="Times New Roman" w:cs="Times New Roman" w:eastAsia="Times New Roman" w:hint="default"/>
          <w:sz w:val="21"/>
          <w:szCs w:val="21"/>
        </w:rPr>
        <w:t>2.26</w:t>
      </w:r>
      <w:r>
        <w:rPr>
          <w:rFonts w:ascii="宋体" w:hAnsi="宋体" w:cs="宋体" w:eastAsia="宋体" w:hint="default"/>
          <w:sz w:val="21"/>
          <w:szCs w:val="21"/>
        </w:rPr>
        <w:t>亿，占比由上一年的</w:t>
      </w:r>
      <w:r>
        <w:rPr>
          <w:rFonts w:ascii="Times New Roman" w:hAnsi="Times New Roman" w:cs="Times New Roman" w:eastAsia="Times New Roman" w:hint="default"/>
          <w:sz w:val="21"/>
          <w:szCs w:val="21"/>
        </w:rPr>
        <w:t>23.77%</w:t>
      </w:r>
      <w:r>
        <w:rPr>
          <w:rFonts w:ascii="宋体" w:hAnsi="宋体" w:cs="宋体" w:eastAsia="宋体" w:hint="default"/>
          <w:sz w:val="21"/>
          <w:szCs w:val="21"/>
        </w:rPr>
        <w:t>，下降到</w:t>
      </w:r>
      <w:r>
        <w:rPr>
          <w:rFonts w:ascii="Times New Roman" w:hAnsi="Times New Roman" w:cs="Times New Roman" w:eastAsia="Times New Roman" w:hint="default"/>
          <w:sz w:val="21"/>
          <w:szCs w:val="21"/>
        </w:rPr>
        <w:t>12.66%</w:t>
      </w:r>
      <w:r>
        <w:rPr>
          <w:rFonts w:ascii="宋体" w:hAnsi="宋体" w:cs="宋体" w:eastAsia="宋体" w:hint="default"/>
          <w:sz w:val="21"/>
          <w:szCs w:val="21"/>
        </w:rPr>
        <w:t>；客户端游戏收入</w:t>
      </w:r>
      <w:r>
        <w:rPr>
          <w:rFonts w:ascii="Times New Roman" w:hAnsi="Times New Roman" w:cs="Times New Roman" w:eastAsia="Times New Roman" w:hint="default"/>
          <w:sz w:val="21"/>
          <w:szCs w:val="21"/>
        </w:rPr>
        <w:t>0.52</w:t>
      </w:r>
      <w:r>
        <w:rPr>
          <w:rFonts w:ascii="宋体" w:hAnsi="宋体" w:cs="宋体" w:eastAsia="宋体" w:hint="default"/>
          <w:sz w:val="21"/>
          <w:szCs w:val="21"/>
        </w:rPr>
        <w:t>亿元，收入占</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2"/>
          <w:sz w:val="21"/>
          <w:szCs w:val="21"/>
        </w:rPr>
        <w:t>比由上一年的</w:t>
      </w:r>
      <w:r>
        <w:rPr>
          <w:rFonts w:ascii="Times New Roman" w:hAnsi="Times New Roman" w:cs="Times New Roman" w:eastAsia="Times New Roman" w:hint="default"/>
          <w:spacing w:val="-2"/>
          <w:sz w:val="21"/>
          <w:szCs w:val="21"/>
        </w:rPr>
        <w:t>5.05%</w:t>
      </w:r>
      <w:r>
        <w:rPr>
          <w:rFonts w:ascii="宋体" w:hAnsi="宋体" w:cs="宋体" w:eastAsia="宋体" w:hint="default"/>
          <w:spacing w:val="-2"/>
          <w:sz w:val="21"/>
          <w:szCs w:val="21"/>
        </w:rPr>
        <w:t>，下降到</w:t>
      </w:r>
      <w:r>
        <w:rPr>
          <w:rFonts w:ascii="Times New Roman" w:hAnsi="Times New Roman" w:cs="Times New Roman" w:eastAsia="Times New Roman" w:hint="default"/>
          <w:spacing w:val="-2"/>
          <w:sz w:val="21"/>
          <w:szCs w:val="21"/>
        </w:rPr>
        <w:t>2.92%</w:t>
      </w:r>
      <w:r>
        <w:rPr>
          <w:rFonts w:ascii="宋体" w:hAnsi="宋体" w:cs="宋体" w:eastAsia="宋体" w:hint="default"/>
          <w:spacing w:val="-2"/>
          <w:sz w:val="21"/>
          <w:szCs w:val="21"/>
        </w:rPr>
        <w:t>；移动游戏占比由上一年的</w:t>
      </w:r>
      <w:r>
        <w:rPr>
          <w:rFonts w:ascii="Times New Roman" w:hAnsi="Times New Roman" w:cs="Times New Roman" w:eastAsia="Times New Roman" w:hint="default"/>
          <w:spacing w:val="-2"/>
          <w:sz w:val="21"/>
          <w:szCs w:val="21"/>
        </w:rPr>
        <w:t>69.49%</w:t>
      </w:r>
      <w:r>
        <w:rPr>
          <w:rFonts w:ascii="宋体" w:hAnsi="宋体" w:cs="宋体" w:eastAsia="宋体" w:hint="default"/>
          <w:spacing w:val="-2"/>
          <w:sz w:val="21"/>
          <w:szCs w:val="21"/>
        </w:rPr>
        <w:t>，上升到</w:t>
      </w:r>
      <w:r>
        <w:rPr>
          <w:rFonts w:ascii="Times New Roman" w:hAnsi="Times New Roman" w:cs="Times New Roman" w:eastAsia="Times New Roman" w:hint="default"/>
          <w:spacing w:val="-2"/>
          <w:sz w:val="21"/>
          <w:szCs w:val="21"/>
        </w:rPr>
        <w:t>81.94%</w:t>
      </w:r>
      <w:r>
        <w:rPr>
          <w:rFonts w:ascii="宋体" w:hAnsi="宋体" w:cs="宋体" w:eastAsia="宋体" w:hint="default"/>
          <w:spacing w:val="-2"/>
          <w:sz w:val="21"/>
          <w:szCs w:val="21"/>
        </w:rPr>
        <w:t>，进一步优化了收入</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结构。</w:t>
      </w:r>
    </w:p>
    <w:p>
      <w:pPr>
        <w:spacing w:after="0" w:line="261" w:lineRule="auto"/>
        <w:jc w:val="both"/>
        <w:rPr>
          <w:rFonts w:ascii="宋体" w:hAnsi="宋体" w:cs="宋体" w:eastAsia="宋体" w:hint="default"/>
          <w:sz w:val="21"/>
          <w:szCs w:val="21"/>
        </w:rPr>
        <w:sectPr>
          <w:pgSz w:w="11910" w:h="16840"/>
          <w:pgMar w:header="747" w:footer="979" w:top="1060" w:bottom="1160" w:left="980" w:right="9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2"/>
          <w:szCs w:val="12"/>
        </w:rPr>
      </w:pPr>
    </w:p>
    <w:p>
      <w:pPr>
        <w:spacing w:line="4260" w:lineRule="exact"/>
        <w:ind w:left="1119" w:right="0" w:firstLine="0"/>
        <w:rPr>
          <w:rFonts w:ascii="宋体" w:hAnsi="宋体" w:cs="宋体" w:eastAsia="宋体" w:hint="default"/>
          <w:sz w:val="20"/>
          <w:szCs w:val="20"/>
        </w:rPr>
      </w:pPr>
      <w:r>
        <w:rPr>
          <w:rFonts w:ascii="宋体" w:hAnsi="宋体" w:cs="宋体" w:eastAsia="宋体" w:hint="default"/>
          <w:position w:val="-84"/>
          <w:sz w:val="20"/>
          <w:szCs w:val="20"/>
        </w:rPr>
        <w:drawing>
          <wp:inline distT="0" distB="0" distL="0" distR="0">
            <wp:extent cx="4896364" cy="2705100"/>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34" cstate="print"/>
                    <a:stretch>
                      <a:fillRect/>
                    </a:stretch>
                  </pic:blipFill>
                  <pic:spPr>
                    <a:xfrm>
                      <a:off x="0" y="0"/>
                      <a:ext cx="4896364" cy="2705100"/>
                    </a:xfrm>
                    <a:prstGeom prst="rect">
                      <a:avLst/>
                    </a:prstGeom>
                  </pic:spPr>
                </pic:pic>
              </a:graphicData>
            </a:graphic>
          </wp:inline>
        </w:drawing>
      </w:r>
      <w:r>
        <w:rPr>
          <w:rFonts w:ascii="宋体" w:hAnsi="宋体" w:cs="宋体" w:eastAsia="宋体" w:hint="default"/>
          <w:position w:val="-84"/>
          <w:sz w:val="20"/>
          <w:szCs w:val="20"/>
        </w:rPr>
      </w:r>
    </w:p>
    <w:p>
      <w:pPr>
        <w:spacing w:line="240" w:lineRule="auto" w:before="7"/>
        <w:rPr>
          <w:rFonts w:ascii="宋体" w:hAnsi="宋体" w:cs="宋体" w:eastAsia="宋体" w:hint="default"/>
          <w:sz w:val="9"/>
          <w:szCs w:val="9"/>
        </w:rPr>
      </w:pPr>
    </w:p>
    <w:p>
      <w:pPr>
        <w:spacing w:before="35"/>
        <w:ind w:left="2733" w:right="0" w:firstLine="0"/>
        <w:jc w:val="left"/>
        <w:rPr>
          <w:rFonts w:ascii="宋体" w:hAnsi="宋体" w:cs="宋体" w:eastAsia="宋体" w:hint="default"/>
          <w:sz w:val="21"/>
          <w:szCs w:val="21"/>
        </w:rPr>
      </w:pPr>
      <w:r>
        <w:rPr/>
        <w:pict>
          <v:shape style="position:absolute;margin-left:210.649994pt;margin-top:25.873652pt;width:174.0pt;height:168pt;mso-position-horizontal-relative:page;mso-position-vertical-relative:paragraph;z-index:-966184" type="#_x0000_t75" stroked="false">
            <v:imagedata r:id="rId35" o:title=""/>
          </v:shape>
        </w:pict>
      </w:r>
      <w:r>
        <w:rPr>
          <w:rFonts w:ascii="宋体" w:hAnsi="宋体" w:cs="宋体" w:eastAsia="宋体" w:hint="default"/>
          <w:sz w:val="21"/>
          <w:szCs w:val="21"/>
        </w:rPr>
        <w:t>公司</w:t>
      </w: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-2015</w:t>
      </w:r>
      <w:r>
        <w:rPr>
          <w:rFonts w:ascii="宋体" w:hAnsi="宋体" w:cs="宋体" w:eastAsia="宋体" w:hint="default"/>
          <w:sz w:val="21"/>
          <w:szCs w:val="21"/>
        </w:rPr>
        <w:t>年分类游戏收入图表（单位：万元）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19"/>
          <w:szCs w:val="19"/>
        </w:rPr>
      </w:pPr>
    </w:p>
    <w:p>
      <w:pPr>
        <w:spacing w:line="850" w:lineRule="atLeast" w:before="0"/>
        <w:ind w:left="574" w:right="0" w:firstLine="3033"/>
        <w:jc w:val="left"/>
        <w:rPr>
          <w:rFonts w:ascii="宋体" w:hAnsi="宋体" w:cs="宋体" w:eastAsia="宋体" w:hint="default"/>
          <w:sz w:val="21"/>
          <w:szCs w:val="21"/>
        </w:rPr>
      </w:pPr>
      <w:r>
        <w:rPr>
          <w:rFonts w:ascii="宋体" w:hAnsi="宋体" w:cs="宋体" w:eastAsia="宋体" w:hint="default"/>
          <w:sz w:val="21"/>
          <w:szCs w:val="21"/>
        </w:rPr>
        <w:t>公司</w:t>
      </w:r>
      <w:r>
        <w:rPr>
          <w:rFonts w:ascii="Times New Roman" w:hAnsi="Times New Roman" w:cs="Times New Roman" w:eastAsia="Times New Roman" w:hint="default"/>
          <w:sz w:val="21"/>
          <w:szCs w:val="21"/>
        </w:rPr>
        <w:t>2015</w:t>
      </w:r>
      <w:r>
        <w:rPr>
          <w:rFonts w:ascii="宋体" w:hAnsi="宋体" w:cs="宋体" w:eastAsia="宋体" w:hint="default"/>
          <w:sz w:val="21"/>
          <w:szCs w:val="21"/>
        </w:rPr>
        <w:t>年分类游戏收入占比 </w:t>
      </w:r>
      <w:r>
        <w:rPr>
          <w:rFonts w:ascii="宋体" w:hAnsi="宋体" w:cs="宋体" w:eastAsia="宋体" w:hint="default"/>
          <w:spacing w:val="-1"/>
          <w:sz w:val="21"/>
          <w:szCs w:val="21"/>
        </w:rPr>
        <w:t>为了进一步巩固公司在游戏行业的核心竞争力，公司将打通游戏上下游全产业链，聚焦具有长生命周</w:t>
      </w:r>
    </w:p>
    <w:p>
      <w:pPr>
        <w:spacing w:line="261" w:lineRule="auto" w:before="37"/>
        <w:ind w:left="154" w:right="151" w:firstLine="0"/>
        <w:jc w:val="both"/>
        <w:rPr>
          <w:rFonts w:ascii="宋体" w:hAnsi="宋体" w:cs="宋体" w:eastAsia="宋体" w:hint="default"/>
          <w:sz w:val="21"/>
          <w:szCs w:val="21"/>
        </w:rPr>
      </w:pPr>
      <w:r>
        <w:rPr>
          <w:rFonts w:ascii="宋体" w:hAnsi="宋体" w:cs="宋体" w:eastAsia="宋体" w:hint="default"/>
          <w:sz w:val="21"/>
          <w:szCs w:val="21"/>
        </w:rPr>
        <w:t>期的可系列化的经典</w:t>
      </w:r>
      <w:r>
        <w:rPr>
          <w:rFonts w:ascii="Times New Roman" w:hAnsi="Times New Roman" w:cs="Times New Roman" w:eastAsia="Times New Roman" w:hint="default"/>
          <w:sz w:val="21"/>
          <w:szCs w:val="21"/>
        </w:rPr>
        <w:t>IP</w:t>
      </w:r>
      <w:r>
        <w:rPr>
          <w:rFonts w:ascii="宋体" w:hAnsi="宋体" w:cs="宋体" w:eastAsia="宋体" w:hint="default"/>
          <w:sz w:val="21"/>
          <w:szCs w:val="21"/>
        </w:rPr>
        <w:t>，进行泛娱乐模式下的影游联动。公司已在报告期内组建影视事业部，专注于为公 司挖掘有价值的</w:t>
      </w:r>
      <w:r>
        <w:rPr>
          <w:rFonts w:ascii="Times New Roman" w:hAnsi="Times New Roman" w:cs="Times New Roman" w:eastAsia="Times New Roman" w:hint="default"/>
          <w:sz w:val="21"/>
          <w:szCs w:val="21"/>
        </w:rPr>
        <w:t>IP</w:t>
      </w:r>
      <w:r>
        <w:rPr>
          <w:rFonts w:ascii="宋体" w:hAnsi="宋体" w:cs="宋体" w:eastAsia="宋体" w:hint="default"/>
          <w:sz w:val="21"/>
          <w:szCs w:val="21"/>
        </w:rPr>
        <w:t>资源、与公司游戏团队进行影游联动项目的运作、以及影视剧方面的投资。已经启动的 </w:t>
      </w:r>
      <w:r>
        <w:rPr>
          <w:rFonts w:ascii="宋体" w:hAnsi="宋体" w:cs="宋体" w:eastAsia="宋体" w:hint="default"/>
          <w:spacing w:val="-1"/>
          <w:sz w:val="21"/>
          <w:szCs w:val="21"/>
        </w:rPr>
        <w:t>项目包括《脱骨香》等，其中《脱骨香》为《花千骨》编剧和监制在内的原班人马创作的第二部作品。此</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外，公司还与台湾大宇达成战略合作关系，将开发《轩辕剑汉之云》在内的一系列影游联动产品。</w:t>
      </w:r>
    </w:p>
    <w:p>
      <w:pPr>
        <w:spacing w:line="240" w:lineRule="auto" w:before="0"/>
        <w:rPr>
          <w:rFonts w:ascii="宋体" w:hAnsi="宋体" w:cs="宋体" w:eastAsia="宋体" w:hint="default"/>
          <w:sz w:val="20"/>
          <w:szCs w:val="20"/>
        </w:rPr>
      </w:pPr>
    </w:p>
    <w:p>
      <w:pPr>
        <w:spacing w:line="430" w:lineRule="atLeast" w:before="169"/>
        <w:ind w:left="57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、软件应用商店全面向移动端转型，打造移动端全球化流量变现实力 </w:t>
      </w:r>
      <w:r>
        <w:rPr>
          <w:rFonts w:ascii="宋体" w:hAnsi="宋体" w:cs="宋体" w:eastAsia="宋体" w:hint="default"/>
          <w:spacing w:val="-2"/>
          <w:sz w:val="21"/>
          <w:szCs w:val="21"/>
        </w:rPr>
        <w:t>报告期内，公司软件应用商店业务主要包括</w:t>
      </w:r>
      <w:r>
        <w:rPr>
          <w:rFonts w:ascii="Times New Roman" w:hAnsi="Times New Roman" w:cs="Times New Roman" w:eastAsia="Times New Roman" w:hint="default"/>
          <w:spacing w:val="-2"/>
          <w:sz w:val="21"/>
          <w:szCs w:val="21"/>
        </w:rPr>
        <w:t>Brothersoft</w:t>
      </w:r>
      <w:r>
        <w:rPr>
          <w:rFonts w:ascii="宋体" w:hAnsi="宋体" w:cs="宋体" w:eastAsia="宋体" w:hint="default"/>
          <w:spacing w:val="-2"/>
          <w:sz w:val="21"/>
          <w:szCs w:val="21"/>
        </w:rPr>
        <w:t>和</w:t>
      </w:r>
      <w:r>
        <w:rPr>
          <w:rFonts w:ascii="Times New Roman" w:hAnsi="Times New Roman" w:cs="Times New Roman" w:eastAsia="Times New Roman" w:hint="default"/>
          <w:spacing w:val="-2"/>
          <w:sz w:val="21"/>
          <w:szCs w:val="21"/>
        </w:rPr>
        <w:t>1Mobile</w:t>
      </w:r>
      <w:r>
        <w:rPr>
          <w:rFonts w:ascii="宋体" w:hAnsi="宋体" w:cs="宋体" w:eastAsia="宋体" w:hint="default"/>
          <w:spacing w:val="-2"/>
          <w:sz w:val="21"/>
          <w:szCs w:val="21"/>
        </w:rPr>
        <w:t>两个平台。其中</w:t>
      </w:r>
      <w:r>
        <w:rPr>
          <w:rFonts w:ascii="Times New Roman" w:hAnsi="Times New Roman" w:cs="Times New Roman" w:eastAsia="Times New Roman" w:hint="default"/>
          <w:spacing w:val="-2"/>
          <w:sz w:val="21"/>
          <w:szCs w:val="21"/>
        </w:rPr>
        <w:t>1Mobile</w:t>
      </w:r>
      <w:r>
        <w:rPr>
          <w:rFonts w:ascii="宋体" w:hAnsi="宋体" w:cs="宋体" w:eastAsia="宋体" w:hint="default"/>
          <w:spacing w:val="-2"/>
          <w:sz w:val="21"/>
          <w:szCs w:val="21"/>
        </w:rPr>
        <w:t>收入在下半年</w:t>
      </w:r>
    </w:p>
    <w:p>
      <w:pPr>
        <w:spacing w:line="256" w:lineRule="auto" w:before="21"/>
        <w:ind w:left="154" w:right="151" w:firstLine="0"/>
        <w:jc w:val="both"/>
        <w:rPr>
          <w:rFonts w:ascii="宋体" w:hAnsi="宋体" w:cs="宋体" w:eastAsia="宋体" w:hint="default"/>
          <w:sz w:val="21"/>
          <w:szCs w:val="21"/>
        </w:rPr>
      </w:pPr>
      <w:r>
        <w:rPr>
          <w:rFonts w:ascii="宋体" w:hAnsi="宋体" w:cs="宋体" w:eastAsia="宋体" w:hint="default"/>
          <w:spacing w:val="2"/>
          <w:sz w:val="21"/>
          <w:szCs w:val="21"/>
        </w:rPr>
        <w:t>呈明显增长态势，尤其在美国、德国、印度、台湾和中东等地区涨幅明显。</w:t>
      </w:r>
      <w:r>
        <w:rPr>
          <w:rFonts w:ascii="Times New Roman" w:hAnsi="Times New Roman" w:cs="Times New Roman" w:eastAsia="Times New Roman" w:hint="default"/>
          <w:spacing w:val="2"/>
          <w:sz w:val="21"/>
          <w:szCs w:val="21"/>
        </w:rPr>
        <w:t>1Mobile</w:t>
      </w:r>
      <w:r>
        <w:rPr>
          <w:rFonts w:ascii="宋体" w:hAnsi="宋体" w:cs="宋体" w:eastAsia="宋体" w:hint="default"/>
          <w:spacing w:val="2"/>
          <w:sz w:val="21"/>
          <w:szCs w:val="21"/>
        </w:rPr>
        <w:t>与</w:t>
      </w:r>
      <w:r>
        <w:rPr>
          <w:rFonts w:ascii="Times New Roman" w:hAnsi="Times New Roman" w:cs="Times New Roman" w:eastAsia="Times New Roman" w:hint="default"/>
          <w:spacing w:val="2"/>
          <w:sz w:val="21"/>
          <w:szCs w:val="21"/>
        </w:rPr>
        <w:t>Facebook</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Google</w:t>
      </w:r>
      <w:r>
        <w:rPr>
          <w:rFonts w:ascii="Times New Roman" w:hAnsi="Times New Roman" w:cs="Times New Roman" w:eastAsia="Times New Roman" w:hint="default"/>
          <w:spacing w:val="-39"/>
          <w:sz w:val="21"/>
          <w:szCs w:val="21"/>
        </w:rPr>
        <w:t> </w:t>
      </w:r>
      <w:r>
        <w:rPr>
          <w:rFonts w:ascii="宋体" w:hAnsi="宋体" w:cs="宋体" w:eastAsia="宋体" w:hint="default"/>
          <w:sz w:val="21"/>
          <w:szCs w:val="21"/>
        </w:rPr>
        <w:t>等超过</w:t>
      </w:r>
      <w:r>
        <w:rPr>
          <w:rFonts w:ascii="Times New Roman" w:hAnsi="Times New Roman" w:cs="Times New Roman" w:eastAsia="Times New Roman" w:hint="default"/>
          <w:sz w:val="21"/>
          <w:szCs w:val="21"/>
        </w:rPr>
        <w:t>20</w:t>
      </w:r>
      <w:r>
        <w:rPr>
          <w:rFonts w:ascii="宋体" w:hAnsi="宋体" w:cs="宋体" w:eastAsia="宋体" w:hint="default"/>
          <w:sz w:val="21"/>
          <w:szCs w:val="21"/>
        </w:rPr>
        <w:t>家国内外广告联盟进行合作，并对自身广告系统进行优化，显著提升变现效率。</w:t>
      </w:r>
    </w:p>
    <w:p>
      <w:pPr>
        <w:spacing w:line="256" w:lineRule="auto" w:before="125"/>
        <w:ind w:left="154" w:right="152" w:firstLine="420"/>
        <w:jc w:val="both"/>
        <w:rPr>
          <w:rFonts w:ascii="宋体" w:hAnsi="宋体" w:cs="宋体" w:eastAsia="宋体" w:hint="default"/>
          <w:sz w:val="21"/>
          <w:szCs w:val="21"/>
        </w:rPr>
      </w:pPr>
      <w:r>
        <w:rPr>
          <w:rFonts w:ascii="宋体" w:hAnsi="宋体" w:cs="宋体" w:eastAsia="宋体" w:hint="default"/>
          <w:sz w:val="21"/>
          <w:szCs w:val="21"/>
        </w:rPr>
        <w:t>公司于</w:t>
      </w:r>
      <w:r>
        <w:rPr>
          <w:rFonts w:ascii="Times New Roman" w:hAnsi="Times New Roman" w:cs="Times New Roman" w:eastAsia="Times New Roman" w:hint="default"/>
          <w:sz w:val="21"/>
          <w:szCs w:val="21"/>
        </w:rPr>
        <w:t>2008</w:t>
      </w:r>
      <w:r>
        <w:rPr>
          <w:rFonts w:ascii="宋体" w:hAnsi="宋体" w:cs="宋体" w:eastAsia="宋体" w:hint="default"/>
          <w:sz w:val="21"/>
          <w:szCs w:val="21"/>
        </w:rPr>
        <w:t>年推出的</w:t>
      </w:r>
      <w:r>
        <w:rPr>
          <w:rFonts w:ascii="Times New Roman" w:hAnsi="Times New Roman" w:cs="Times New Roman" w:eastAsia="Times New Roman" w:hint="default"/>
          <w:sz w:val="21"/>
          <w:szCs w:val="21"/>
        </w:rPr>
        <w:t>Brothersoft</w:t>
      </w:r>
      <w:r>
        <w:rPr>
          <w:rFonts w:ascii="宋体" w:hAnsi="宋体" w:cs="宋体" w:eastAsia="宋体" w:hint="default"/>
          <w:sz w:val="21"/>
          <w:szCs w:val="21"/>
        </w:rPr>
        <w:t>网站业务主要面向</w:t>
      </w:r>
      <w:r>
        <w:rPr>
          <w:rFonts w:ascii="Times New Roman" w:hAnsi="Times New Roman" w:cs="Times New Roman" w:eastAsia="Times New Roman" w:hint="default"/>
          <w:sz w:val="21"/>
          <w:szCs w:val="21"/>
        </w:rPr>
        <w:t>PC</w:t>
      </w:r>
      <w:r>
        <w:rPr>
          <w:rFonts w:ascii="宋体" w:hAnsi="宋体" w:cs="宋体" w:eastAsia="宋体" w:hint="default"/>
          <w:sz w:val="21"/>
          <w:szCs w:val="21"/>
        </w:rPr>
        <w:t>端。</w:t>
      </w:r>
      <w:r>
        <w:rPr>
          <w:rFonts w:ascii="Times New Roman" w:hAnsi="Times New Roman" w:cs="Times New Roman" w:eastAsia="Times New Roman" w:hint="default"/>
          <w:sz w:val="21"/>
          <w:szCs w:val="21"/>
        </w:rPr>
        <w:t>2012</w:t>
      </w:r>
      <w:r>
        <w:rPr>
          <w:rFonts w:ascii="宋体" w:hAnsi="宋体" w:cs="宋体" w:eastAsia="宋体" w:hint="default"/>
          <w:sz w:val="21"/>
          <w:szCs w:val="21"/>
        </w:rPr>
        <w:t>年伊始，随着移动互联网的发展，广告 主的投入重心逐渐转移至移动网络，故在</w:t>
      </w:r>
      <w:r>
        <w:rPr>
          <w:rFonts w:ascii="Times New Roman" w:hAnsi="Times New Roman" w:cs="Times New Roman" w:eastAsia="Times New Roman" w:hint="default"/>
          <w:sz w:val="21"/>
          <w:szCs w:val="21"/>
        </w:rPr>
        <w:t>Brothersoft</w:t>
      </w:r>
      <w:r>
        <w:rPr>
          <w:rFonts w:ascii="宋体" w:hAnsi="宋体" w:cs="宋体" w:eastAsia="宋体" w:hint="default"/>
          <w:sz w:val="21"/>
          <w:szCs w:val="21"/>
        </w:rPr>
        <w:t>上产生的收入自</w:t>
      </w:r>
      <w:r>
        <w:rPr>
          <w:rFonts w:ascii="Times New Roman" w:hAnsi="Times New Roman" w:cs="Times New Roman" w:eastAsia="Times New Roman" w:hint="default"/>
          <w:sz w:val="21"/>
          <w:szCs w:val="21"/>
        </w:rPr>
        <w:t>2012</w:t>
      </w:r>
      <w:r>
        <w:rPr>
          <w:rFonts w:ascii="宋体" w:hAnsi="宋体" w:cs="宋体" w:eastAsia="宋体" w:hint="default"/>
          <w:sz w:val="21"/>
          <w:szCs w:val="21"/>
        </w:rPr>
        <w:t>年起逐渐下降。公司及时把握互</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3"/>
          <w:sz w:val="21"/>
          <w:szCs w:val="21"/>
        </w:rPr>
        <w:t>联网的的发展变化，适时推出的移动端软件商店</w:t>
      </w:r>
      <w:r>
        <w:rPr>
          <w:rFonts w:ascii="Times New Roman" w:hAnsi="Times New Roman" w:cs="Times New Roman" w:eastAsia="Times New Roman" w:hint="default"/>
          <w:spacing w:val="-3"/>
          <w:sz w:val="21"/>
          <w:szCs w:val="21"/>
        </w:rPr>
        <w:t>1Mobile</w:t>
      </w:r>
      <w:r>
        <w:rPr>
          <w:rFonts w:ascii="宋体" w:hAnsi="宋体" w:cs="宋体" w:eastAsia="宋体" w:hint="default"/>
          <w:spacing w:val="-3"/>
          <w:sz w:val="21"/>
          <w:szCs w:val="21"/>
        </w:rPr>
        <w:t>，并于</w:t>
      </w:r>
      <w:r>
        <w:rPr>
          <w:rFonts w:ascii="Times New Roman" w:hAnsi="Times New Roman" w:cs="Times New Roman" w:eastAsia="Times New Roman" w:hint="default"/>
          <w:spacing w:val="-3"/>
          <w:sz w:val="21"/>
          <w:szCs w:val="21"/>
        </w:rPr>
        <w:t>2015</w:t>
      </w:r>
      <w:r>
        <w:rPr>
          <w:rFonts w:ascii="宋体" w:hAnsi="宋体" w:cs="宋体" w:eastAsia="宋体" w:hint="default"/>
          <w:spacing w:val="-3"/>
          <w:sz w:val="21"/>
          <w:szCs w:val="21"/>
        </w:rPr>
        <w:t>年开始进行规模化商业变现，预计公司</w:t>
      </w:r>
    </w:p>
    <w:p>
      <w:pPr>
        <w:spacing w:after="0" w:line="256" w:lineRule="auto"/>
        <w:jc w:val="both"/>
        <w:rPr>
          <w:rFonts w:ascii="宋体" w:hAnsi="宋体" w:cs="宋体" w:eastAsia="宋体" w:hint="default"/>
          <w:sz w:val="21"/>
          <w:szCs w:val="21"/>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未来的软件应用商店业务将集中以</w:t>
      </w:r>
      <w:r>
        <w:rPr>
          <w:rFonts w:ascii="Times New Roman" w:hAnsi="Times New Roman" w:cs="Times New Roman" w:eastAsia="Times New Roman" w:hint="default"/>
          <w:sz w:val="21"/>
          <w:szCs w:val="21"/>
        </w:rPr>
        <w:t>1Mobile</w:t>
      </w:r>
      <w:r>
        <w:rPr>
          <w:rFonts w:ascii="宋体" w:hAnsi="宋体" w:cs="宋体" w:eastAsia="宋体" w:hint="default"/>
          <w:sz w:val="21"/>
          <w:szCs w:val="21"/>
        </w:rPr>
        <w:t>平台为主。</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1"/>
          <w:szCs w:val="21"/>
        </w:rPr>
      </w:pPr>
    </w:p>
    <w:p>
      <w:pPr>
        <w:spacing w:line="357" w:lineRule="auto" w:before="0"/>
        <w:ind w:left="57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、通过系列投资布局互联网金融生态链，并开始着手打造昆仑体系内的互联网金融业务板块 </w:t>
      </w:r>
      <w:r>
        <w:rPr>
          <w:rFonts w:ascii="宋体" w:hAnsi="宋体" w:cs="宋体" w:eastAsia="宋体" w:hint="default"/>
          <w:spacing w:val="-1"/>
          <w:sz w:val="21"/>
          <w:szCs w:val="21"/>
        </w:rPr>
        <w:t>报告期内，公司已通过投资相关细分行业优质公司，在互联网金融生态体系中站稳脚跟。先后投资了</w:t>
      </w:r>
    </w:p>
    <w:p>
      <w:pPr>
        <w:spacing w:line="225" w:lineRule="exact"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国内领先的个人理财应用服务提供商随手科技，持股比例</w:t>
      </w:r>
      <w:r>
        <w:rPr>
          <w:rFonts w:ascii="Times New Roman" w:hAnsi="Times New Roman" w:cs="Times New Roman" w:eastAsia="Times New Roman" w:hint="default"/>
          <w:sz w:val="21"/>
          <w:szCs w:val="21"/>
        </w:rPr>
        <w:t>8.25%</w:t>
      </w:r>
      <w:r>
        <w:rPr>
          <w:rFonts w:ascii="宋体" w:hAnsi="宋体" w:cs="宋体" w:eastAsia="宋体" w:hint="default"/>
          <w:sz w:val="21"/>
          <w:szCs w:val="21"/>
        </w:rPr>
        <w:t>；最受中国大学生欢迎的分期消费金融服</w:t>
      </w:r>
    </w:p>
    <w:p>
      <w:pPr>
        <w:spacing w:line="256" w:lineRule="auto" w:before="21"/>
        <w:ind w:left="154" w:right="143" w:firstLine="0"/>
        <w:jc w:val="left"/>
        <w:rPr>
          <w:rFonts w:ascii="宋体" w:hAnsi="宋体" w:cs="宋体" w:eastAsia="宋体" w:hint="default"/>
          <w:sz w:val="21"/>
          <w:szCs w:val="21"/>
        </w:rPr>
      </w:pPr>
      <w:r>
        <w:rPr>
          <w:rFonts w:ascii="宋体" w:hAnsi="宋体" w:cs="宋体" w:eastAsia="宋体" w:hint="default"/>
          <w:sz w:val="21"/>
          <w:szCs w:val="21"/>
        </w:rPr>
        <w:t>务平台趣分期，持股比例</w:t>
      </w:r>
      <w:r>
        <w:rPr>
          <w:rFonts w:ascii="Times New Roman" w:hAnsi="Times New Roman" w:cs="Times New Roman" w:eastAsia="Times New Roman" w:hint="default"/>
          <w:sz w:val="21"/>
          <w:szCs w:val="21"/>
        </w:rPr>
        <w:t>19.45%</w:t>
      </w:r>
      <w:r>
        <w:rPr>
          <w:rFonts w:ascii="宋体" w:hAnsi="宋体" w:cs="宋体" w:eastAsia="宋体" w:hint="default"/>
          <w:sz w:val="21"/>
          <w:szCs w:val="21"/>
        </w:rPr>
        <w:t>；创新型互联网金融平台银客集团，持股比例</w:t>
      </w:r>
      <w:r>
        <w:rPr>
          <w:rFonts w:ascii="Times New Roman" w:hAnsi="Times New Roman" w:cs="Times New Roman" w:eastAsia="Times New Roman" w:hint="default"/>
          <w:sz w:val="21"/>
          <w:szCs w:val="21"/>
        </w:rPr>
        <w:t>20%</w:t>
      </w:r>
      <w:r>
        <w:rPr>
          <w:rFonts w:ascii="宋体" w:hAnsi="宋体" w:cs="宋体" w:eastAsia="宋体" w:hint="default"/>
          <w:sz w:val="21"/>
          <w:szCs w:val="21"/>
        </w:rPr>
        <w:t>；欧洲知名</w:t>
      </w:r>
      <w:r>
        <w:rPr>
          <w:rFonts w:ascii="Times New Roman" w:hAnsi="Times New Roman" w:cs="Times New Roman" w:eastAsia="Times New Roman" w:hint="default"/>
          <w:sz w:val="21"/>
          <w:szCs w:val="21"/>
        </w:rPr>
        <w:t>P2P</w:t>
      </w:r>
      <w:r>
        <w:rPr>
          <w:rFonts w:ascii="宋体" w:hAnsi="宋体" w:cs="宋体" w:eastAsia="宋体" w:hint="default"/>
          <w:sz w:val="21"/>
          <w:szCs w:val="21"/>
        </w:rPr>
        <w:t>平台 </w:t>
      </w:r>
      <w:r>
        <w:rPr>
          <w:rFonts w:ascii="Times New Roman" w:hAnsi="Times New Roman" w:cs="Times New Roman" w:eastAsia="Times New Roman" w:hint="default"/>
          <w:spacing w:val="-1"/>
          <w:sz w:val="21"/>
          <w:szCs w:val="21"/>
        </w:rPr>
        <w:t>Lendinvest</w:t>
      </w:r>
      <w:r>
        <w:rPr>
          <w:rFonts w:ascii="宋体" w:hAnsi="宋体" w:cs="宋体" w:eastAsia="宋体" w:hint="default"/>
          <w:spacing w:val="-1"/>
          <w:sz w:val="21"/>
          <w:szCs w:val="21"/>
        </w:rPr>
        <w:t>，持股比例</w:t>
      </w:r>
      <w:r>
        <w:rPr>
          <w:rFonts w:ascii="Times New Roman" w:hAnsi="Times New Roman" w:cs="Times New Roman" w:eastAsia="Times New Roman" w:hint="default"/>
          <w:spacing w:val="-1"/>
          <w:sz w:val="21"/>
          <w:szCs w:val="21"/>
        </w:rPr>
        <w:t>20%</w:t>
      </w:r>
      <w:r>
        <w:rPr>
          <w:rFonts w:ascii="宋体" w:hAnsi="宋体" w:cs="宋体" w:eastAsia="宋体" w:hint="default"/>
          <w:spacing w:val="-1"/>
          <w:sz w:val="21"/>
          <w:szCs w:val="21"/>
        </w:rPr>
        <w:t>；面向都市白领的理财工具洋钱罐，持股比例</w:t>
      </w:r>
      <w:r>
        <w:rPr>
          <w:rFonts w:ascii="Times New Roman" w:hAnsi="Times New Roman" w:cs="Times New Roman" w:eastAsia="Times New Roman" w:hint="default"/>
          <w:spacing w:val="-1"/>
          <w:sz w:val="21"/>
          <w:szCs w:val="21"/>
        </w:rPr>
        <w:t>20%</w:t>
      </w:r>
      <w:r>
        <w:rPr>
          <w:rFonts w:ascii="宋体" w:hAnsi="宋体" w:cs="宋体" w:eastAsia="宋体" w:hint="default"/>
          <w:spacing w:val="-1"/>
          <w:sz w:val="21"/>
          <w:szCs w:val="21"/>
        </w:rPr>
        <w:t>。目前，以上这些公司已实现</w:t>
      </w:r>
      <w:r>
        <w:rPr>
          <w:rFonts w:ascii="宋体" w:hAnsi="宋体" w:cs="宋体" w:eastAsia="宋体" w:hint="default"/>
          <w:sz w:val="21"/>
          <w:szCs w:val="21"/>
        </w:rPr>
        <w:t> 将优质资产优先在内部流转，各平台相互扶持，流量互导等协同效应。</w:t>
      </w:r>
    </w:p>
    <w:p>
      <w:pPr>
        <w:spacing w:line="261" w:lineRule="auto" w:before="142"/>
        <w:ind w:left="154" w:right="0" w:firstLine="420"/>
        <w:jc w:val="left"/>
        <w:rPr>
          <w:rFonts w:ascii="宋体" w:hAnsi="宋体" w:cs="宋体" w:eastAsia="宋体" w:hint="default"/>
          <w:sz w:val="21"/>
          <w:szCs w:val="21"/>
        </w:rPr>
      </w:pPr>
      <w:r>
        <w:rPr>
          <w:rFonts w:ascii="宋体" w:hAnsi="宋体" w:cs="宋体" w:eastAsia="宋体" w:hint="default"/>
          <w:sz w:val="21"/>
          <w:szCs w:val="21"/>
        </w:rPr>
        <w:t>另外，公司已开始搭建内部的互联网金融团队，重点实施公司于</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月初公布的非公开发行股票 </w:t>
      </w:r>
      <w:r>
        <w:rPr>
          <w:rFonts w:ascii="宋体" w:hAnsi="宋体" w:cs="宋体" w:eastAsia="宋体" w:hint="default"/>
          <w:spacing w:val="-1"/>
          <w:sz w:val="21"/>
          <w:szCs w:val="21"/>
        </w:rPr>
        <w:t>预案中的项目，如海淘金理财平台、海外互联网金融平台以及游戏与互联网金融互动平台。现团队已完成</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1"/>
          <w:sz w:val="21"/>
          <w:szCs w:val="21"/>
        </w:rPr>
        <w:t>日本、韩国、东南亚等市场的前期考察和培育阶段，预计在</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年至</w:t>
      </w:r>
      <w:r>
        <w:rPr>
          <w:rFonts w:ascii="Times New Roman" w:hAnsi="Times New Roman" w:cs="Times New Roman" w:eastAsia="Times New Roman" w:hint="default"/>
          <w:spacing w:val="-1"/>
          <w:sz w:val="21"/>
          <w:szCs w:val="21"/>
        </w:rPr>
        <w:t>2017</w:t>
      </w:r>
      <w:r>
        <w:rPr>
          <w:rFonts w:ascii="宋体" w:hAnsi="宋体" w:cs="宋体" w:eastAsia="宋体" w:hint="default"/>
          <w:spacing w:val="-1"/>
          <w:sz w:val="21"/>
          <w:szCs w:val="21"/>
        </w:rPr>
        <w:t>年在以上国家和地区实现项目落</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地。</w:t>
      </w:r>
    </w:p>
    <w:p>
      <w:pPr>
        <w:spacing w:line="264" w:lineRule="auto" w:before="138"/>
        <w:ind w:left="154" w:right="0"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21</w:t>
      </w:r>
      <w:r>
        <w:rPr>
          <w:rFonts w:ascii="宋体" w:hAnsi="宋体" w:cs="宋体" w:eastAsia="宋体" w:hint="default"/>
          <w:sz w:val="21"/>
          <w:szCs w:val="21"/>
        </w:rPr>
        <w:t>日，公司成功登陆创业板，这既是公司的里程碑，也是公司勇于突破自我进行二次创业 </w:t>
      </w:r>
      <w:r>
        <w:rPr>
          <w:rFonts w:ascii="宋体" w:hAnsi="宋体" w:cs="宋体" w:eastAsia="宋体" w:hint="default"/>
          <w:spacing w:val="-1"/>
          <w:sz w:val="21"/>
          <w:szCs w:val="21"/>
        </w:rPr>
        <w:t>的新起点。上市后，公司没有选择固守历史成绩，而是凭借对市场的前瞻性和对自身优势的反复打磨，明</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
          <w:sz w:val="21"/>
          <w:szCs w:val="21"/>
        </w:rPr>
        <w:t>确了以国际市场作为主要战场，寻求除游戏和软件应用商店之外更富有创新性和成长性的互联网产品。工</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欲善其事，必先利其器。</w:t>
      </w:r>
      <w:r>
        <w:rPr>
          <w:rFonts w:ascii="Times New Roman" w:hAnsi="Times New Roman" w:cs="Times New Roman" w:eastAsia="Times New Roman" w:hint="default"/>
          <w:spacing w:val="-1"/>
          <w:sz w:val="21"/>
          <w:szCs w:val="21"/>
        </w:rPr>
        <w:t>2015</w:t>
      </w:r>
      <w:r>
        <w:rPr>
          <w:rFonts w:ascii="宋体" w:hAnsi="宋体" w:cs="宋体" w:eastAsia="宋体" w:hint="default"/>
          <w:spacing w:val="-1"/>
          <w:sz w:val="21"/>
          <w:szCs w:val="21"/>
        </w:rPr>
        <w:t>年对公司来说是突破、布局、储备、蓄势待发的一年，只有通过这一年的打</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磨，才能在未来厚积薄发，使自身在互联网浪潮中处于不败之地。</w:t>
      </w:r>
    </w:p>
    <w:p>
      <w:pPr>
        <w:spacing w:line="240" w:lineRule="auto" w:before="9"/>
        <w:rPr>
          <w:rFonts w:ascii="宋体" w:hAnsi="宋体" w:cs="宋体" w:eastAsia="宋体" w:hint="default"/>
          <w:sz w:val="16"/>
          <w:szCs w:val="16"/>
        </w:rPr>
      </w:pPr>
    </w:p>
    <w:p>
      <w:pPr>
        <w:pStyle w:val="Heading2"/>
        <w:spacing w:line="240" w:lineRule="auto"/>
        <w:ind w:right="0"/>
        <w:jc w:val="left"/>
        <w:rPr>
          <w:b w:val="0"/>
          <w:bCs w:val="0"/>
        </w:rPr>
      </w:pPr>
      <w:r>
        <w:rPr/>
        <w:t>二、主营业务分析</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line="482" w:lineRule="auto" w:before="0"/>
        <w:ind w:left="154" w:right="567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、概述</w:t>
      </w:r>
      <w:r>
        <w:rPr>
          <w:rFonts w:ascii="Microsoft JhengHei" w:hAnsi="Microsoft JhengHei" w:cs="Microsoft JhengHei" w:eastAsia="Microsoft JhengHei" w:hint="default"/>
          <w:b/>
          <w:bCs/>
          <w:spacing w:val="-50"/>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管理层讨论与分析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、收入与成本</w:t>
      </w:r>
      <w:r>
        <w:rPr>
          <w:rFonts w:ascii="Microsoft JhengHei" w:hAnsi="Microsoft JhengHei" w:cs="Microsoft JhengHei" w:eastAsia="Microsoft JhengHei" w:hint="default"/>
          <w:sz w:val="21"/>
          <w:szCs w:val="21"/>
        </w:rPr>
      </w:r>
    </w:p>
    <w:p>
      <w:pPr>
        <w:spacing w:line="332"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）营业收入构成</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1"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5" w:type="dxa"/>
            <w:vMerge/>
            <w:tcBorders>
              <w:left w:val="single" w:sz="4" w:space="0" w:color="000000"/>
              <w:bottom w:val="single" w:sz="4" w:space="0" w:color="000000"/>
              <w:right w:val="single" w:sz="4" w:space="0" w:color="000000"/>
            </w:tcBorders>
            <w:shd w:val="clear" w:color="auto" w:fill="D2D2D2"/>
          </w:tcPr>
          <w:p>
            <w:pPr/>
          </w:p>
        </w:tc>
      </w:tr>
      <w:tr>
        <w:trPr>
          <w:trHeight w:val="407"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1,789,140,564.52</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1,934,145,769.25</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w:t>
            </w:r>
          </w:p>
        </w:tc>
      </w:tr>
      <w:tr>
        <w:trPr>
          <w:trHeight w:val="397"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互联网产品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22,006,762.05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30,804,632.07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-28.56%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22,424,287.63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游戏产品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1,744,709,514.84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1,903,341,137.18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98.41%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-8.33%</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客户端游戏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52,159,788.34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97,746,507.07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-46.64%</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22,424,287.63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1,860,321.76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1,105.40%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软件应用商店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22,006,762.05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30,804,632.07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-28.56%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手机游戏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1,466,090,947.67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81.94%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1,343,971,423.09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69.49%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网页游戏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226,458,778.83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459,762,885.26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23.77%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-50.74%</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465,485,435.47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490,369,299.23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1,323,655,129.05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1,443,776,470.02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74.65%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-8.32%</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）占公司营业收入或营业利润</w:t>
      </w:r>
      <w:r>
        <w:rPr>
          <w:rFonts w:ascii="Microsoft JhengHei" w:hAnsi="Microsoft JhengHei" w:cs="Microsoft JhengHei" w:eastAsia="Microsoft JhengHei" w:hint="default"/>
          <w:b/>
          <w:bCs/>
          <w:spacing w:val="17"/>
          <w:sz w:val="21"/>
          <w:szCs w:val="21"/>
        </w:rPr>
        <w:t> </w:t>
      </w: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以上的行业、产品或地区情况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8" w:right="47" w:hanging="270"/>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游戏产品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1,744,709,514.84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691,911,675.09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19.19%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-13.18%</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手机游戏</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1,466,090,947.67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584,152,705.32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37.53%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-12.05%</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网页游戏</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226,458,778.83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59,957,473.82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-40.18%</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-5.98%</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465,485,435.47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228,086,767.37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24.12%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-18.44%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1,323,655,129.05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470,528,573.56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13.55%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-9.60%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年按报告期末口径调整后的主营业务数据</w:t>
      </w:r>
    </w:p>
    <w:p>
      <w:pPr>
        <w:spacing w:before="10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）公司实物销售收入是否大于劳务收入</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）公司已签订的重大销售合同截至本报告期的履行情况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37" w:type="dxa"/>
        <w:tblLayout w:type="fixed"/>
        <w:tblCellMar>
          <w:top w:w="0" w:type="dxa"/>
          <w:left w:w="0" w:type="dxa"/>
          <w:bottom w:w="0" w:type="dxa"/>
          <w:right w:w="0" w:type="dxa"/>
        </w:tblCellMar>
        <w:tblLook w:val="01E0"/>
      </w:tblPr>
      <w:tblGrid>
        <w:gridCol w:w="719"/>
        <w:gridCol w:w="1418"/>
        <w:gridCol w:w="5528"/>
        <w:gridCol w:w="1871"/>
      </w:tblGrid>
      <w:tr>
        <w:trPr>
          <w:trHeight w:val="338" w:hRule="exact"/>
        </w:trPr>
        <w:tc>
          <w:tcPr>
            <w:tcW w:w="719" w:type="dxa"/>
            <w:tcBorders>
              <w:top w:val="nil" w:sz="6" w:space="0" w:color="auto"/>
              <w:left w:val="nil" w:sz="6" w:space="0" w:color="auto"/>
              <w:bottom w:val="single" w:sz="6" w:space="0" w:color="000000"/>
              <w:right w:val="single" w:sz="6"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序号</w:t>
            </w:r>
          </w:p>
        </w:tc>
        <w:tc>
          <w:tcPr>
            <w:tcW w:w="1418" w:type="dxa"/>
            <w:tcBorders>
              <w:top w:val="nil" w:sz="6" w:space="0" w:color="auto"/>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对方公司</w:t>
            </w:r>
          </w:p>
        </w:tc>
        <w:tc>
          <w:tcPr>
            <w:tcW w:w="5528" w:type="dxa"/>
            <w:tcBorders>
              <w:top w:val="nil" w:sz="6" w:space="0" w:color="auto"/>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合同内容</w:t>
            </w:r>
          </w:p>
        </w:tc>
        <w:tc>
          <w:tcPr>
            <w:tcW w:w="1871" w:type="dxa"/>
            <w:tcBorders>
              <w:top w:val="nil" w:sz="6" w:space="0" w:color="auto"/>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合同执行情况</w:t>
            </w:r>
          </w:p>
        </w:tc>
      </w:tr>
      <w:tr>
        <w:trPr>
          <w:trHeight w:val="337"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5"/>
              <w:ind w:right="2"/>
              <w:jc w:val="right"/>
              <w:rPr>
                <w:rFonts w:ascii="Times New Roman" w:hAnsi="Times New Roman" w:cs="Times New Roman" w:eastAsia="Times New Roman" w:hint="default"/>
                <w:sz w:val="21"/>
                <w:szCs w:val="21"/>
              </w:rPr>
            </w:pPr>
            <w:r>
              <w:rPr>
                <w:rFonts w:ascii="Times New Roman"/>
                <w:sz w:val="21"/>
              </w:rPr>
              <w:t>1</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1</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2" w:right="0"/>
              <w:jc w:val="left"/>
              <w:rPr>
                <w:rFonts w:ascii="宋体" w:hAnsi="宋体" w:cs="宋体" w:eastAsia="宋体" w:hint="default"/>
                <w:sz w:val="21"/>
                <w:szCs w:val="21"/>
              </w:rPr>
            </w:pPr>
            <w:r>
              <w:rPr>
                <w:rFonts w:ascii="宋体" w:hAnsi="宋体" w:cs="宋体" w:eastAsia="宋体" w:hint="default"/>
                <w:sz w:val="21"/>
                <w:szCs w:val="21"/>
              </w:rPr>
              <w:t>服务条款</w:t>
            </w:r>
            <w:r>
              <w:rPr>
                <w:rFonts w:ascii="Times New Roman" w:hAnsi="Times New Roman" w:cs="Times New Roman" w:eastAsia="Times New Roman" w:hint="default"/>
                <w:sz w:val="21"/>
                <w:szCs w:val="21"/>
              </w:rPr>
              <w:t>/</w:t>
            </w:r>
            <w:r>
              <w:rPr>
                <w:rFonts w:ascii="宋体" w:hAnsi="宋体" w:cs="宋体" w:eastAsia="宋体" w:hint="default"/>
                <w:sz w:val="21"/>
                <w:szCs w:val="21"/>
              </w:rPr>
              <w:t>发布协议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7"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5"/>
              <w:ind w:right="2"/>
              <w:jc w:val="right"/>
              <w:rPr>
                <w:rFonts w:ascii="Times New Roman" w:hAnsi="Times New Roman" w:cs="Times New Roman" w:eastAsia="Times New Roman" w:hint="default"/>
                <w:sz w:val="21"/>
                <w:szCs w:val="21"/>
              </w:rPr>
            </w:pPr>
            <w:r>
              <w:rPr>
                <w:rFonts w:ascii="Times New Roman"/>
                <w:sz w:val="21"/>
              </w:rPr>
              <w:t>2</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2</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2" w:right="0"/>
              <w:jc w:val="left"/>
              <w:rPr>
                <w:rFonts w:ascii="宋体" w:hAnsi="宋体" w:cs="宋体" w:eastAsia="宋体" w:hint="default"/>
                <w:sz w:val="21"/>
                <w:szCs w:val="21"/>
              </w:rPr>
            </w:pPr>
            <w:r>
              <w:rPr>
                <w:rFonts w:ascii="宋体" w:hAnsi="宋体" w:cs="宋体" w:eastAsia="宋体" w:hint="default"/>
                <w:sz w:val="21"/>
                <w:szCs w:val="21"/>
              </w:rPr>
              <w:t>服务条款</w:t>
            </w:r>
            <w:r>
              <w:rPr>
                <w:rFonts w:ascii="Times New Roman" w:hAnsi="Times New Roman" w:cs="Times New Roman" w:eastAsia="Times New Roman" w:hint="default"/>
                <w:sz w:val="21"/>
                <w:szCs w:val="21"/>
              </w:rPr>
              <w:t>/</w:t>
            </w:r>
            <w:r>
              <w:rPr>
                <w:rFonts w:ascii="宋体" w:hAnsi="宋体" w:cs="宋体" w:eastAsia="宋体" w:hint="default"/>
                <w:sz w:val="21"/>
                <w:szCs w:val="21"/>
              </w:rPr>
              <w:t>发布协议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8"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4"/>
              <w:ind w:right="2"/>
              <w:jc w:val="right"/>
              <w:rPr>
                <w:rFonts w:ascii="Times New Roman" w:hAnsi="Times New Roman" w:cs="Times New Roman" w:eastAsia="Times New Roman" w:hint="default"/>
                <w:sz w:val="21"/>
                <w:szCs w:val="21"/>
              </w:rPr>
            </w:pPr>
            <w:r>
              <w:rPr>
                <w:rFonts w:ascii="Times New Roman"/>
                <w:sz w:val="21"/>
              </w:rPr>
              <w:t>3</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3</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《网路支援服务商品交易合约书》及其补充协议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7"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4"/>
              <w:ind w:right="2"/>
              <w:jc w:val="right"/>
              <w:rPr>
                <w:rFonts w:ascii="Times New Roman" w:hAnsi="Times New Roman" w:cs="Times New Roman" w:eastAsia="Times New Roman" w:hint="default"/>
                <w:sz w:val="21"/>
                <w:szCs w:val="21"/>
              </w:rPr>
            </w:pPr>
            <w:r>
              <w:rPr>
                <w:rFonts w:ascii="Times New Roman"/>
                <w:sz w:val="21"/>
              </w:rPr>
              <w:t>4</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4</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联合推广合作协议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6"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4"/>
              <w:ind w:right="2"/>
              <w:jc w:val="right"/>
              <w:rPr>
                <w:rFonts w:ascii="Times New Roman" w:hAnsi="Times New Roman" w:cs="Times New Roman" w:eastAsia="Times New Roman" w:hint="default"/>
                <w:sz w:val="21"/>
                <w:szCs w:val="21"/>
              </w:rPr>
            </w:pPr>
            <w:r>
              <w:rPr>
                <w:rFonts w:ascii="Times New Roman"/>
                <w:sz w:val="21"/>
              </w:rPr>
              <w:t>5</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Times New Roman" w:hAnsi="Times New Roman" w:cs="Times New Roman" w:eastAsia="Times New Roman" w:hint="default"/>
                <w:sz w:val="21"/>
                <w:szCs w:val="21"/>
              </w:rPr>
              <w:t>5</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平台联运协议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7"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5"/>
              <w:ind w:right="2"/>
              <w:jc w:val="right"/>
              <w:rPr>
                <w:rFonts w:ascii="Times New Roman" w:hAnsi="Times New Roman" w:cs="Times New Roman" w:eastAsia="Times New Roman" w:hint="default"/>
                <w:sz w:val="21"/>
                <w:szCs w:val="21"/>
              </w:rPr>
            </w:pPr>
            <w:r>
              <w:rPr>
                <w:rFonts w:ascii="Times New Roman"/>
                <w:sz w:val="21"/>
              </w:rPr>
              <w:t>6</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Times New Roman" w:hAnsi="Times New Roman" w:cs="Times New Roman" w:eastAsia="Times New Roman" w:hint="default"/>
                <w:sz w:val="21"/>
                <w:szCs w:val="21"/>
              </w:rPr>
              <w:t>1</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游戏授权协议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7"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5"/>
              <w:ind w:right="2"/>
              <w:jc w:val="right"/>
              <w:rPr>
                <w:rFonts w:ascii="Times New Roman" w:hAnsi="Times New Roman" w:cs="Times New Roman" w:eastAsia="Times New Roman" w:hint="default"/>
                <w:sz w:val="21"/>
                <w:szCs w:val="21"/>
              </w:rPr>
            </w:pPr>
            <w:r>
              <w:rPr>
                <w:rFonts w:ascii="Times New Roman"/>
                <w:sz w:val="21"/>
              </w:rPr>
              <w:t>7</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Times New Roman" w:hAnsi="Times New Roman" w:cs="Times New Roman" w:eastAsia="Times New Roman" w:hint="default"/>
                <w:sz w:val="21"/>
                <w:szCs w:val="21"/>
              </w:rPr>
              <w:t>2</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游戏授权协议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bl>
    <w:p>
      <w:pPr>
        <w:spacing w:after="0" w:line="261" w:lineRule="exact"/>
        <w:jc w:val="left"/>
        <w:rPr>
          <w:rFonts w:ascii="宋体" w:hAnsi="宋体" w:cs="宋体" w:eastAsia="宋体" w:hint="default"/>
          <w:sz w:val="21"/>
          <w:szCs w:val="21"/>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37" w:type="dxa"/>
        <w:tblLayout w:type="fixed"/>
        <w:tblCellMar>
          <w:top w:w="0" w:type="dxa"/>
          <w:left w:w="0" w:type="dxa"/>
          <w:bottom w:w="0" w:type="dxa"/>
          <w:right w:w="0" w:type="dxa"/>
        </w:tblCellMar>
        <w:tblLook w:val="01E0"/>
      </w:tblPr>
      <w:tblGrid>
        <w:gridCol w:w="719"/>
        <w:gridCol w:w="1418"/>
        <w:gridCol w:w="5528"/>
        <w:gridCol w:w="1871"/>
      </w:tblGrid>
      <w:tr>
        <w:trPr>
          <w:trHeight w:val="340" w:hRule="exact"/>
        </w:trPr>
        <w:tc>
          <w:tcPr>
            <w:tcW w:w="719" w:type="dxa"/>
            <w:tcBorders>
              <w:top w:val="nil" w:sz="6" w:space="0" w:color="auto"/>
              <w:left w:val="nil" w:sz="6" w:space="0" w:color="auto"/>
              <w:bottom w:val="single" w:sz="6" w:space="0" w:color="000000"/>
              <w:right w:val="single" w:sz="6" w:space="0" w:color="000000"/>
            </w:tcBorders>
          </w:tcPr>
          <w:p>
            <w:pPr>
              <w:pStyle w:val="TableParagraph"/>
              <w:spacing w:line="240" w:lineRule="auto" w:before="44"/>
              <w:ind w:right="2"/>
              <w:jc w:val="right"/>
              <w:rPr>
                <w:rFonts w:ascii="Times New Roman" w:hAnsi="Times New Roman" w:cs="Times New Roman" w:eastAsia="Times New Roman" w:hint="default"/>
                <w:sz w:val="21"/>
                <w:szCs w:val="21"/>
              </w:rPr>
            </w:pPr>
            <w:r>
              <w:rPr>
                <w:rFonts w:ascii="Times New Roman"/>
                <w:sz w:val="21"/>
              </w:rPr>
              <w:t>8</w:t>
            </w:r>
          </w:p>
        </w:tc>
        <w:tc>
          <w:tcPr>
            <w:tcW w:w="1418" w:type="dxa"/>
            <w:tcBorders>
              <w:top w:val="nil" w:sz="6" w:space="0" w:color="auto"/>
              <w:left w:val="single" w:sz="6" w:space="0" w:color="000000"/>
              <w:bottom w:val="single" w:sz="6" w:space="0" w:color="000000"/>
              <w:right w:val="single" w:sz="6" w:space="0" w:color="000000"/>
            </w:tcBorders>
          </w:tcPr>
          <w:p>
            <w:pPr>
              <w:pStyle w:val="TableParagraph"/>
              <w:spacing w:line="285"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Times New Roman" w:hAnsi="Times New Roman" w:cs="Times New Roman" w:eastAsia="Times New Roman" w:hint="default"/>
                <w:sz w:val="21"/>
                <w:szCs w:val="21"/>
              </w:rPr>
              <w:t>3</w:t>
            </w:r>
          </w:p>
        </w:tc>
        <w:tc>
          <w:tcPr>
            <w:tcW w:w="5528" w:type="dxa"/>
            <w:tcBorders>
              <w:top w:val="nil" w:sz="6" w:space="0" w:color="auto"/>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游戏授权协议</w:t>
            </w:r>
          </w:p>
        </w:tc>
        <w:tc>
          <w:tcPr>
            <w:tcW w:w="1871" w:type="dxa"/>
            <w:tcBorders>
              <w:top w:val="nil" w:sz="6" w:space="0" w:color="auto"/>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6"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4"/>
              <w:ind w:right="2"/>
              <w:jc w:val="right"/>
              <w:rPr>
                <w:rFonts w:ascii="Times New Roman" w:hAnsi="Times New Roman" w:cs="Times New Roman" w:eastAsia="Times New Roman" w:hint="default"/>
                <w:sz w:val="21"/>
                <w:szCs w:val="21"/>
              </w:rPr>
            </w:pPr>
            <w:r>
              <w:rPr>
                <w:rFonts w:ascii="Times New Roman"/>
                <w:sz w:val="21"/>
              </w:rPr>
              <w:t>9</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Times New Roman" w:hAnsi="Times New Roman" w:cs="Times New Roman" w:eastAsia="Times New Roman" w:hint="default"/>
                <w:sz w:val="21"/>
                <w:szCs w:val="21"/>
              </w:rPr>
              <w:t>4</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游戏授权协议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r>
        <w:trPr>
          <w:trHeight w:val="338" w:hRule="exact"/>
        </w:trPr>
        <w:tc>
          <w:tcPr>
            <w:tcW w:w="71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5"/>
              <w:ind w:right="0"/>
              <w:jc w:val="right"/>
              <w:rPr>
                <w:rFonts w:ascii="Times New Roman" w:hAnsi="Times New Roman" w:cs="Times New Roman" w:eastAsia="Times New Roman" w:hint="default"/>
                <w:sz w:val="21"/>
                <w:szCs w:val="21"/>
              </w:rPr>
            </w:pPr>
            <w:r>
              <w:rPr>
                <w:rFonts w:ascii="Times New Roman"/>
                <w:sz w:val="21"/>
              </w:rPr>
              <w:t>10</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Times New Roman" w:hAnsi="Times New Roman" w:cs="Times New Roman" w:eastAsia="Times New Roman" w:hint="default"/>
                <w:sz w:val="21"/>
                <w:szCs w:val="21"/>
              </w:rPr>
              <w:t>5</w:t>
            </w:r>
          </w:p>
        </w:tc>
        <w:tc>
          <w:tcPr>
            <w:tcW w:w="552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游戏授权协议</w:t>
            </w:r>
          </w:p>
        </w:tc>
        <w:tc>
          <w:tcPr>
            <w:tcW w:w="187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正常履行中</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）营业成本构成</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行业和产品分类</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互联网产品</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6,703,665.85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17,614,094.89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-61.94%</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游戏产品</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691,911,675.08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99.04%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580,530,965.95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19.19%</w:t>
            </w:r>
          </w:p>
        </w:tc>
      </w:tr>
    </w:tbl>
    <w:p>
      <w:pPr>
        <w:spacing w:before="51"/>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网页游戏</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59,957,473.82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100,225,752.44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-40.18%</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客户端游戏</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30,124,882.18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54,856,050.05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-45.08%</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手机游戏</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584,152,705.32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424,749,786.25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71.01%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37.53%</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软件应用商店</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6,703,665.85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17,614,094.89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-61.94%</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17,676,613.76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699,377.21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2,427.48%</w:t>
            </w:r>
          </w:p>
        </w:tc>
      </w:tr>
    </w:tbl>
    <w:p>
      <w:pPr>
        <w:spacing w:line="357" w:lineRule="auto" w:before="51"/>
        <w:ind w:left="154" w:right="8332" w:firstLine="0"/>
        <w:jc w:val="left"/>
        <w:rPr>
          <w:rFonts w:ascii="宋体" w:hAnsi="宋体" w:cs="宋体" w:eastAsia="宋体" w:hint="default"/>
          <w:sz w:val="18"/>
          <w:szCs w:val="18"/>
        </w:rPr>
      </w:pPr>
      <w:r>
        <w:rPr/>
        <w:pict>
          <v:shape style="position:absolute;margin-left:56.579987pt;margin-top:35.201694pt;width:464.3pt;height:118.45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56"/>
                    <w:gridCol w:w="1560"/>
                    <w:gridCol w:w="1622"/>
                    <w:gridCol w:w="1784"/>
                    <w:gridCol w:w="1528"/>
                    <w:gridCol w:w="1214"/>
                  </w:tblGrid>
                  <w:tr>
                    <w:trPr>
                      <w:trHeight w:val="338" w:hRule="exact"/>
                    </w:trPr>
                    <w:tc>
                      <w:tcPr>
                        <w:tcW w:w="1556" w:type="dxa"/>
                        <w:vMerge w:val="restart"/>
                        <w:tcBorders>
                          <w:top w:val="nil" w:sz="6" w:space="0" w:color="auto"/>
                          <w:left w:val="nil" w:sz="6" w:space="0" w:color="auto"/>
                          <w:right w:val="single" w:sz="6" w:space="0" w:color="000000"/>
                        </w:tcBorders>
                        <w:shd w:val="clear" w:color="auto" w:fill="BEBEBE"/>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2" w:type="dxa"/>
                        <w:gridSpan w:val="2"/>
                        <w:tcBorders>
                          <w:top w:val="nil" w:sz="6" w:space="0" w:color="auto"/>
                          <w:left w:val="single" w:sz="6" w:space="0" w:color="000000"/>
                          <w:bottom w:val="single" w:sz="6" w:space="0" w:color="000000"/>
                          <w:right w:val="single" w:sz="6" w:space="0" w:color="000000"/>
                        </w:tcBorders>
                        <w:shd w:val="clear" w:color="auto" w:fill="BEBEBE"/>
                      </w:tcPr>
                      <w:p>
                        <w:pPr>
                          <w:pStyle w:val="TableParagraph"/>
                          <w:spacing w:line="240" w:lineRule="auto" w:before="2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p>
                    </w:tc>
                    <w:tc>
                      <w:tcPr>
                        <w:tcW w:w="3312" w:type="dxa"/>
                        <w:gridSpan w:val="2"/>
                        <w:tcBorders>
                          <w:top w:val="nil" w:sz="6" w:space="0" w:color="auto"/>
                          <w:left w:val="single" w:sz="6" w:space="0" w:color="000000"/>
                          <w:bottom w:val="single" w:sz="6" w:space="0" w:color="000000"/>
                          <w:right w:val="single" w:sz="6" w:space="0" w:color="000000"/>
                        </w:tcBorders>
                        <w:shd w:val="clear" w:color="auto" w:fill="BEBEBE"/>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p>
                    </w:tc>
                    <w:tc>
                      <w:tcPr>
                        <w:tcW w:w="1214" w:type="dxa"/>
                        <w:tcBorders>
                          <w:top w:val="nil" w:sz="6" w:space="0" w:color="auto"/>
                          <w:left w:val="single" w:sz="6" w:space="0" w:color="000000"/>
                          <w:bottom w:val="single" w:sz="6" w:space="0" w:color="000000"/>
                          <w:right w:val="single" w:sz="6" w:space="0" w:color="000000"/>
                        </w:tcBorders>
                        <w:shd w:val="clear" w:color="auto" w:fill="BEBEBE"/>
                      </w:tcPr>
                      <w:p>
                        <w:pPr>
                          <w:pStyle w:val="TableParagraph"/>
                          <w:spacing w:line="240" w:lineRule="auto" w:before="20"/>
                          <w:ind w:left="23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37" w:hRule="exact"/>
                    </w:trPr>
                    <w:tc>
                      <w:tcPr>
                        <w:tcW w:w="1556" w:type="dxa"/>
                        <w:vMerge/>
                        <w:tcBorders>
                          <w:left w:val="nil" w:sz="6" w:space="0" w:color="auto"/>
                          <w:bottom w:val="single" w:sz="6" w:space="0" w:color="000000"/>
                          <w:right w:val="single" w:sz="6" w:space="0" w:color="000000"/>
                        </w:tcBorders>
                        <w:shd w:val="clear" w:color="auto" w:fill="BEBEBE"/>
                      </w:tcPr>
                      <w:p>
                        <w:pPr/>
                      </w:p>
                    </w:tc>
                    <w:tc>
                      <w:tcPr>
                        <w:tcW w:w="1560"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2"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11"/>
                          <w:ind w:left="172"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78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28"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11"/>
                          <w:ind w:left="125"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214" w:type="dxa"/>
                        <w:tcBorders>
                          <w:top w:val="single" w:sz="6" w:space="0" w:color="000000"/>
                          <w:left w:val="single" w:sz="6" w:space="0" w:color="000000"/>
                          <w:bottom w:val="single" w:sz="6" w:space="0" w:color="000000"/>
                          <w:right w:val="single" w:sz="6" w:space="0" w:color="000000"/>
                        </w:tcBorders>
                        <w:shd w:val="clear" w:color="auto" w:fill="BEBEBE"/>
                      </w:tcPr>
                      <w:p>
                        <w:pPr/>
                      </w:p>
                    </w:tc>
                  </w:tr>
                  <w:tr>
                    <w:trPr>
                      <w:trHeight w:val="337" w:hRule="exact"/>
                    </w:trPr>
                    <w:tc>
                      <w:tcPr>
                        <w:tcW w:w="15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1"/>
                          <w:ind w:left="9" w:right="0"/>
                          <w:jc w:val="left"/>
                          <w:rPr>
                            <w:rFonts w:ascii="宋体" w:hAnsi="宋体" w:cs="宋体" w:eastAsia="宋体" w:hint="default"/>
                            <w:sz w:val="18"/>
                            <w:szCs w:val="18"/>
                          </w:rPr>
                        </w:pPr>
                        <w:r>
                          <w:rPr>
                            <w:rFonts w:ascii="宋体" w:hAnsi="宋体" w:cs="宋体" w:eastAsia="宋体" w:hint="default"/>
                            <w:sz w:val="18"/>
                            <w:szCs w:val="18"/>
                          </w:rPr>
                          <w:t>游戏分成</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pacing w:val="-1"/>
                            <w:sz w:val="18"/>
                          </w:rPr>
                          <w:t>527,556,894.57</w:t>
                        </w:r>
                      </w:p>
                    </w:tc>
                    <w:tc>
                      <w:tcPr>
                        <w:tcW w:w="1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75.51%</w:t>
                        </w:r>
                      </w:p>
                    </w:tc>
                    <w:tc>
                      <w:tcPr>
                        <w:tcW w:w="1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pacing w:val="-1"/>
                            <w:sz w:val="18"/>
                          </w:rPr>
                          <w:t>430,466,796.05</w:t>
                        </w:r>
                      </w:p>
                    </w:tc>
                    <w:tc>
                      <w:tcPr>
                        <w:tcW w:w="1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z w:val="18"/>
                          </w:rPr>
                          <w:t>71.97%</w:t>
                        </w:r>
                      </w:p>
                    </w:tc>
                    <w:tc>
                      <w:tcPr>
                        <w:tcW w:w="1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z w:val="18"/>
                          </w:rPr>
                          <w:t>22.55%</w:t>
                        </w:r>
                      </w:p>
                    </w:tc>
                  </w:tr>
                  <w:tr>
                    <w:trPr>
                      <w:trHeight w:val="337" w:hRule="exact"/>
                    </w:trPr>
                    <w:tc>
                      <w:tcPr>
                        <w:tcW w:w="15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9" w:right="0"/>
                          <w:jc w:val="left"/>
                          <w:rPr>
                            <w:rFonts w:ascii="宋体" w:hAnsi="宋体" w:cs="宋体" w:eastAsia="宋体" w:hint="default"/>
                            <w:sz w:val="18"/>
                            <w:szCs w:val="18"/>
                          </w:rPr>
                        </w:pPr>
                        <w:r>
                          <w:rPr>
                            <w:rFonts w:ascii="宋体" w:hAnsi="宋体" w:cs="宋体" w:eastAsia="宋体" w:hint="default"/>
                            <w:sz w:val="18"/>
                            <w:szCs w:val="18"/>
                          </w:rPr>
                          <w:t>带宽成本</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49,242,879.93</w:t>
                        </w:r>
                      </w:p>
                    </w:tc>
                    <w:tc>
                      <w:tcPr>
                        <w:tcW w:w="1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7.05%</w:t>
                        </w:r>
                      </w:p>
                    </w:tc>
                    <w:tc>
                      <w:tcPr>
                        <w:tcW w:w="1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46,309,286.75</w:t>
                        </w:r>
                      </w:p>
                    </w:tc>
                    <w:tc>
                      <w:tcPr>
                        <w:tcW w:w="1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7.74%</w:t>
                        </w:r>
                      </w:p>
                    </w:tc>
                    <w:tc>
                      <w:tcPr>
                        <w:tcW w:w="1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6.33%</w:t>
                        </w:r>
                      </w:p>
                    </w:tc>
                  </w:tr>
                  <w:tr>
                    <w:trPr>
                      <w:trHeight w:val="337" w:hRule="exact"/>
                    </w:trPr>
                    <w:tc>
                      <w:tcPr>
                        <w:tcW w:w="15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9" w:right="0"/>
                          <w:jc w:val="left"/>
                          <w:rPr>
                            <w:rFonts w:ascii="宋体" w:hAnsi="宋体" w:cs="宋体" w:eastAsia="宋体" w:hint="default"/>
                            <w:sz w:val="18"/>
                            <w:szCs w:val="18"/>
                          </w:rPr>
                        </w:pPr>
                        <w:r>
                          <w:rPr>
                            <w:rFonts w:ascii="宋体" w:hAnsi="宋体" w:cs="宋体" w:eastAsia="宋体" w:hint="default"/>
                            <w:sz w:val="18"/>
                            <w:szCs w:val="18"/>
                          </w:rPr>
                          <w:t>服务器成本</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9,606,357.43</w:t>
                        </w:r>
                      </w:p>
                    </w:tc>
                    <w:tc>
                      <w:tcPr>
                        <w:tcW w:w="1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1.38%</w:t>
                        </w:r>
                      </w:p>
                    </w:tc>
                    <w:tc>
                      <w:tcPr>
                        <w:tcW w:w="1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9,942,505.41</w:t>
                        </w:r>
                      </w:p>
                    </w:tc>
                    <w:tc>
                      <w:tcPr>
                        <w:tcW w:w="1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1.66%</w:t>
                        </w:r>
                      </w:p>
                    </w:tc>
                    <w:tc>
                      <w:tcPr>
                        <w:tcW w:w="1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-3.38%</w:t>
                        </w:r>
                      </w:p>
                    </w:tc>
                  </w:tr>
                  <w:tr>
                    <w:trPr>
                      <w:trHeight w:val="336" w:hRule="exact"/>
                    </w:trPr>
                    <w:tc>
                      <w:tcPr>
                        <w:tcW w:w="15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9" w:right="0"/>
                          <w:jc w:val="left"/>
                          <w:rPr>
                            <w:rFonts w:ascii="宋体" w:hAnsi="宋体" w:cs="宋体" w:eastAsia="宋体" w:hint="default"/>
                            <w:sz w:val="18"/>
                            <w:szCs w:val="18"/>
                          </w:rPr>
                        </w:pPr>
                        <w:r>
                          <w:rPr>
                            <w:rFonts w:ascii="宋体" w:hAnsi="宋体" w:cs="宋体" w:eastAsia="宋体" w:hint="default"/>
                            <w:sz w:val="18"/>
                            <w:szCs w:val="18"/>
                          </w:rPr>
                          <w:t>授权金摊销成本</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53,579,174.90</w:t>
                        </w:r>
                      </w:p>
                    </w:tc>
                    <w:tc>
                      <w:tcPr>
                        <w:tcW w:w="1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7.67%</w:t>
                        </w:r>
                      </w:p>
                    </w:tc>
                    <w:tc>
                      <w:tcPr>
                        <w:tcW w:w="1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88,904,298.71</w:t>
                        </w:r>
                      </w:p>
                    </w:tc>
                    <w:tc>
                      <w:tcPr>
                        <w:tcW w:w="1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14.86%</w:t>
                        </w:r>
                      </w:p>
                    </w:tc>
                    <w:tc>
                      <w:tcPr>
                        <w:tcW w:w="1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-39.73%</w:t>
                        </w:r>
                      </w:p>
                    </w:tc>
                  </w:tr>
                  <w:tr>
                    <w:trPr>
                      <w:trHeight w:val="338" w:hRule="exact"/>
                    </w:trPr>
                    <w:tc>
                      <w:tcPr>
                        <w:tcW w:w="15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1"/>
                          <w:ind w:left="9"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pacing w:val="-1"/>
                            <w:sz w:val="18"/>
                          </w:rPr>
                          <w:t>58,630,034.10</w:t>
                        </w:r>
                      </w:p>
                    </w:tc>
                    <w:tc>
                      <w:tcPr>
                        <w:tcW w:w="1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8.39%</w:t>
                        </w:r>
                      </w:p>
                    </w:tc>
                    <w:tc>
                      <w:tcPr>
                        <w:tcW w:w="1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pacing w:val="-1"/>
                            <w:sz w:val="18"/>
                          </w:rPr>
                          <w:t>22,522,173.92</w:t>
                        </w:r>
                      </w:p>
                    </w:tc>
                    <w:tc>
                      <w:tcPr>
                        <w:tcW w:w="1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z w:val="18"/>
                          </w:rPr>
                          <w:t>3.77%</w:t>
                        </w:r>
                      </w:p>
                    </w:tc>
                    <w:tc>
                      <w:tcPr>
                        <w:tcW w:w="1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18"/>
                            <w:szCs w:val="18"/>
                          </w:rPr>
                        </w:pPr>
                        <w:r>
                          <w:rPr>
                            <w:rFonts w:ascii="Times New Roman"/>
                            <w:sz w:val="18"/>
                          </w:rPr>
                          <w:t>160.32%</w:t>
                        </w:r>
                      </w:p>
                    </w:tc>
                  </w:tr>
                </w:tbl>
                <w:p>
                  <w:pPr/>
                </w:p>
              </w:txbxContent>
            </v:textbox>
            <w10:wrap type="none"/>
          </v:shape>
        </w:pict>
      </w:r>
      <w:r>
        <w:rPr>
          <w:rFonts w:ascii="宋体" w:hAnsi="宋体" w:cs="宋体" w:eastAsia="宋体" w:hint="default"/>
          <w:sz w:val="18"/>
          <w:szCs w:val="18"/>
        </w:rPr>
        <w:t>说明 按项目内容构成：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）报告期内合并范围是否发生变动</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）公司报告期内业务、产品或服务发生重大变化或调整有关情况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）主要销售客户和主要供应商情况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1,141,485,624.85</w:t>
            </w:r>
          </w:p>
        </w:tc>
      </w:tr>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63.80%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802"/>
        <w:gridCol w:w="3302"/>
        <w:gridCol w:w="2322"/>
        <w:gridCol w:w="3143"/>
      </w:tblGrid>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482,330,141.25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26.96%</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408,704,494.48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22.84%</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102,379,232.62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5.72%</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4</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82,448,619.70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4.61%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65,623,136.80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3.67%</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1,141,485,624.85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63.80%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公司主要供应商情况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366,215,009.31</w:t>
            </w:r>
          </w:p>
        </w:tc>
      </w:tr>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52.42%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2"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139,535,311.42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19.97%</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126,840,615.91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18.16%</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40,761,168.54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5.83%</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32,403,867.86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4.64%</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26,674,045.58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3.82%</w:t>
            </w:r>
          </w:p>
        </w:tc>
      </w:tr>
      <w:tr>
        <w:trPr>
          <w:trHeight w:val="403"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366,215,009.31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52.42%</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、费用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6"/>
        <w:gridCol w:w="1637"/>
        <w:gridCol w:w="1637"/>
        <w:gridCol w:w="1462"/>
        <w:gridCol w:w="2918"/>
      </w:tblGrid>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682,282,412.25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0" w:right="0"/>
              <w:jc w:val="left"/>
              <w:rPr>
                <w:rFonts w:ascii="Times New Roman" w:hAnsi="Times New Roman" w:cs="Times New Roman" w:eastAsia="Times New Roman" w:hint="default"/>
                <w:sz w:val="18"/>
                <w:szCs w:val="18"/>
              </w:rPr>
            </w:pPr>
            <w:r>
              <w:rPr>
                <w:rFonts w:ascii="Times New Roman"/>
                <w:sz w:val="18"/>
              </w:rPr>
              <w:t>714,801,372.92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-4.55%</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5" w:right="0"/>
              <w:jc w:val="left"/>
              <w:rPr>
                <w:rFonts w:ascii="Times New Roman" w:hAnsi="Times New Roman" w:cs="Times New Roman" w:eastAsia="Times New Roman" w:hint="default"/>
                <w:sz w:val="18"/>
                <w:szCs w:val="18"/>
              </w:rPr>
            </w:pPr>
            <w:r>
              <w:rPr>
                <w:rFonts w:ascii="Times New Roman"/>
                <w:sz w:val="18"/>
              </w:rPr>
              <w:t>230,783,119.94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0" w:right="0"/>
              <w:jc w:val="left"/>
              <w:rPr>
                <w:rFonts w:ascii="Times New Roman" w:hAnsi="Times New Roman" w:cs="Times New Roman" w:eastAsia="Times New Roman" w:hint="default"/>
                <w:sz w:val="18"/>
                <w:szCs w:val="18"/>
              </w:rPr>
            </w:pPr>
            <w:r>
              <w:rPr>
                <w:rFonts w:ascii="Times New Roman"/>
                <w:sz w:val="18"/>
              </w:rPr>
              <w:t>264,233,279.61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-12.66%</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9" w:right="0"/>
              <w:jc w:val="left"/>
              <w:rPr>
                <w:rFonts w:ascii="Times New Roman" w:hAnsi="Times New Roman" w:cs="Times New Roman" w:eastAsia="Times New Roman" w:hint="default"/>
                <w:sz w:val="18"/>
                <w:szCs w:val="18"/>
              </w:rPr>
            </w:pPr>
            <w:r>
              <w:rPr>
                <w:rFonts w:ascii="Times New Roman"/>
                <w:sz w:val="18"/>
              </w:rPr>
              <w:t>-75,405,088.67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0" w:right="0"/>
              <w:jc w:val="left"/>
              <w:rPr>
                <w:rFonts w:ascii="Times New Roman" w:hAnsi="Times New Roman" w:cs="Times New Roman" w:eastAsia="Times New Roman" w:hint="default"/>
                <w:sz w:val="18"/>
                <w:szCs w:val="18"/>
              </w:rPr>
            </w:pPr>
            <w:r>
              <w:rPr>
                <w:rFonts w:ascii="Times New Roman"/>
                <w:sz w:val="18"/>
              </w:rPr>
              <w:t>10,713,969.85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-803.80%</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主要是受外币汇率变化影响所致</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、研发投入</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56"/>
        <w:ind w:left="154" w:right="0" w:firstLine="0"/>
        <w:jc w:val="left"/>
        <w:rPr>
          <w:rFonts w:ascii="宋体" w:hAnsi="宋体" w:cs="宋体" w:eastAsia="宋体" w:hint="default"/>
          <w:sz w:val="21"/>
          <w:szCs w:val="21"/>
        </w:rPr>
      </w:pPr>
      <w:r>
        <w:rPr>
          <w:rFonts w:ascii="宋体" w:hAnsi="宋体" w:cs="宋体" w:eastAsia="宋体" w:hint="default"/>
          <w:sz w:val="21"/>
          <w:szCs w:val="21"/>
        </w:rPr>
        <w:t>报告期内研发项目以及进度如下：</w:t>
      </w:r>
    </w:p>
    <w:p>
      <w:pPr>
        <w:spacing w:after="0"/>
        <w:jc w:val="left"/>
        <w:rPr>
          <w:rFonts w:ascii="宋体" w:hAnsi="宋体" w:cs="宋体" w:eastAsia="宋体" w:hint="default"/>
          <w:sz w:val="21"/>
          <w:szCs w:val="21"/>
        </w:rPr>
        <w:sectPr>
          <w:footerReference w:type="default" r:id="rId36"/>
          <w:pgSz w:w="11910" w:h="16840"/>
          <w:pgMar w:footer="979" w:header="747" w:top="1060" w:bottom="1160" w:left="980" w:right="980"/>
          <w:pgNumType w:start="38"/>
        </w:sectPr>
      </w:pPr>
    </w:p>
    <w:p>
      <w:pPr>
        <w:spacing w:line="240" w:lineRule="auto" w:before="9"/>
        <w:rPr>
          <w:rFonts w:ascii="宋体" w:hAnsi="宋体" w:cs="宋体" w:eastAsia="宋体" w:hint="default"/>
          <w:sz w:val="24"/>
          <w:szCs w:val="24"/>
        </w:rPr>
      </w:pPr>
    </w:p>
    <w:p>
      <w:pPr>
        <w:spacing w:before="35"/>
        <w:ind w:left="154" w:right="213" w:firstLine="0"/>
        <w:jc w:val="left"/>
        <w:rPr>
          <w:rFonts w:ascii="宋体" w:hAnsi="宋体" w:cs="宋体" w:eastAsia="宋体" w:hint="default"/>
          <w:sz w:val="21"/>
          <w:szCs w:val="21"/>
        </w:rPr>
      </w:pPr>
      <w:r>
        <w:rPr>
          <w:rFonts w:ascii="宋体" w:hAnsi="宋体" w:cs="宋体" w:eastAsia="宋体" w:hint="default"/>
          <w:sz w:val="21"/>
          <w:szCs w:val="21"/>
        </w:rPr>
        <w:t>《愤怒的小鸟</w:t>
      </w:r>
      <w:r>
        <w:rPr>
          <w:rFonts w:ascii="Times New Roman" w:hAnsi="Times New Roman" w:cs="Times New Roman" w:eastAsia="Times New Roman" w:hint="default"/>
          <w:sz w:val="21"/>
          <w:szCs w:val="21"/>
        </w:rPr>
        <w:t>-</w:t>
      </w:r>
      <w:r>
        <w:rPr>
          <w:rFonts w:ascii="宋体" w:hAnsi="宋体" w:cs="宋体" w:eastAsia="宋体" w:hint="default"/>
          <w:sz w:val="21"/>
          <w:szCs w:val="21"/>
        </w:rPr>
        <w:t>王牌战机》</w:t>
      </w:r>
    </w:p>
    <w:p>
      <w:pPr>
        <w:spacing w:line="256" w:lineRule="auto" w:before="141"/>
        <w:ind w:left="154" w:right="279" w:firstLine="336"/>
        <w:jc w:val="left"/>
        <w:rPr>
          <w:rFonts w:ascii="宋体" w:hAnsi="宋体" w:cs="宋体" w:eastAsia="宋体" w:hint="default"/>
          <w:sz w:val="21"/>
          <w:szCs w:val="21"/>
        </w:rPr>
      </w:pPr>
      <w:r>
        <w:rPr>
          <w:rFonts w:ascii="宋体" w:hAnsi="宋体" w:cs="宋体" w:eastAsia="宋体" w:hint="default"/>
          <w:sz w:val="21"/>
          <w:szCs w:val="21"/>
        </w:rPr>
        <w:t>本产品为采用愤怒的小鸟</w:t>
      </w:r>
      <w:r>
        <w:rPr>
          <w:rFonts w:ascii="Times New Roman" w:hAnsi="Times New Roman" w:cs="Times New Roman" w:eastAsia="Times New Roman" w:hint="default"/>
          <w:sz w:val="21"/>
          <w:szCs w:val="21"/>
        </w:rPr>
        <w:t>IP</w:t>
      </w:r>
      <w:r>
        <w:rPr>
          <w:rFonts w:ascii="宋体" w:hAnsi="宋体" w:cs="宋体" w:eastAsia="宋体" w:hint="default"/>
          <w:sz w:val="21"/>
          <w:szCs w:val="21"/>
        </w:rPr>
        <w:t>的竖版射击题材移动网络游戏，画风可爱，节奏明快，属于面向全球市场 的中度游戏，目前处于上线前的的完善和测试阶段，计划</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月进行封测。</w:t>
      </w:r>
    </w:p>
    <w:p>
      <w:pPr>
        <w:spacing w:line="432" w:lineRule="exact" w:before="25"/>
        <w:ind w:left="490" w:right="103" w:hanging="336"/>
        <w:jc w:val="left"/>
        <w:rPr>
          <w:rFonts w:ascii="宋体" w:hAnsi="宋体" w:cs="宋体" w:eastAsia="宋体" w:hint="default"/>
          <w:sz w:val="21"/>
          <w:szCs w:val="21"/>
        </w:rPr>
      </w:pPr>
      <w:r>
        <w:rPr>
          <w:rFonts w:ascii="宋体" w:hAnsi="宋体" w:cs="宋体" w:eastAsia="宋体" w:hint="default"/>
          <w:sz w:val="21"/>
          <w:szCs w:val="21"/>
        </w:rPr>
        <w:t>《神魔圣域》 </w:t>
      </w:r>
      <w:r>
        <w:rPr>
          <w:rFonts w:ascii="宋体" w:hAnsi="宋体" w:cs="宋体" w:eastAsia="宋体" w:hint="default"/>
          <w:spacing w:val="-1"/>
          <w:sz w:val="21"/>
          <w:szCs w:val="21"/>
        </w:rPr>
        <w:t>本产品为西方奇幻题材的</w:t>
      </w:r>
      <w:r>
        <w:rPr>
          <w:rFonts w:ascii="Times New Roman" w:hAnsi="Times New Roman" w:cs="Times New Roman" w:eastAsia="Times New Roman" w:hint="default"/>
          <w:spacing w:val="-1"/>
          <w:sz w:val="21"/>
          <w:szCs w:val="21"/>
        </w:rPr>
        <w:t>MMORPG</w:t>
      </w:r>
      <w:r>
        <w:rPr>
          <w:rFonts w:ascii="宋体" w:hAnsi="宋体" w:cs="宋体" w:eastAsia="宋体" w:hint="default"/>
          <w:spacing w:val="-1"/>
          <w:sz w:val="21"/>
          <w:szCs w:val="21"/>
        </w:rPr>
        <w:t>移动网络游戏，采用韩式唯美画风，属于重度</w:t>
      </w:r>
      <w:r>
        <w:rPr>
          <w:rFonts w:ascii="Times New Roman" w:hAnsi="Times New Roman" w:cs="Times New Roman" w:eastAsia="Times New Roman" w:hint="default"/>
          <w:spacing w:val="-1"/>
          <w:sz w:val="21"/>
          <w:szCs w:val="21"/>
        </w:rPr>
        <w:t>RPG</w:t>
      </w:r>
      <w:r>
        <w:rPr>
          <w:rFonts w:ascii="宋体" w:hAnsi="宋体" w:cs="宋体" w:eastAsia="宋体" w:hint="default"/>
          <w:spacing w:val="-1"/>
          <w:sz w:val="21"/>
          <w:szCs w:val="21"/>
        </w:rPr>
        <w:t>产品，主打挂机</w:t>
      </w:r>
    </w:p>
    <w:p>
      <w:pPr>
        <w:spacing w:line="271" w:lineRule="exact" w:before="0"/>
        <w:ind w:left="154" w:right="2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PK</w:t>
      </w:r>
      <w:r>
        <w:rPr>
          <w:rFonts w:ascii="宋体" w:hAnsi="宋体" w:cs="宋体" w:eastAsia="宋体" w:hint="default"/>
          <w:sz w:val="21"/>
          <w:szCs w:val="21"/>
        </w:rPr>
        <w:t>玩法，面向欧美重度移动游戏用户，目前处于测试阶段，计划于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月在海外正式上线。</w:t>
      </w:r>
    </w:p>
    <w:p>
      <w:pPr>
        <w:spacing w:line="430" w:lineRule="atLeast" w:before="2"/>
        <w:ind w:left="490" w:right="208" w:hanging="336"/>
        <w:jc w:val="left"/>
        <w:rPr>
          <w:rFonts w:ascii="宋体" w:hAnsi="宋体" w:cs="宋体" w:eastAsia="宋体" w:hint="default"/>
          <w:sz w:val="21"/>
          <w:szCs w:val="21"/>
        </w:rPr>
      </w:pPr>
      <w:r>
        <w:rPr>
          <w:rFonts w:ascii="宋体" w:hAnsi="宋体" w:cs="宋体" w:eastAsia="宋体" w:hint="default"/>
          <w:sz w:val="21"/>
          <w:szCs w:val="21"/>
        </w:rPr>
        <w:t>《轩辕剑</w:t>
      </w:r>
      <w:r>
        <w:rPr>
          <w:rFonts w:ascii="Times New Roman" w:hAnsi="Times New Roman" w:cs="Times New Roman" w:eastAsia="Times New Roman" w:hint="default"/>
          <w:sz w:val="21"/>
          <w:szCs w:val="21"/>
        </w:rPr>
        <w:t>-</w:t>
      </w:r>
      <w:r>
        <w:rPr>
          <w:rFonts w:ascii="宋体" w:hAnsi="宋体" w:cs="宋体" w:eastAsia="宋体" w:hint="default"/>
          <w:sz w:val="21"/>
          <w:szCs w:val="21"/>
        </w:rPr>
        <w:t>汉之云》 </w:t>
      </w:r>
      <w:r>
        <w:rPr>
          <w:rFonts w:ascii="宋体" w:hAnsi="宋体" w:cs="宋体" w:eastAsia="宋体" w:hint="default"/>
          <w:spacing w:val="-1"/>
          <w:sz w:val="21"/>
          <w:szCs w:val="21"/>
        </w:rPr>
        <w:t>本产品为大型中式仙侠</w:t>
      </w:r>
      <w:r>
        <w:rPr>
          <w:rFonts w:ascii="Times New Roman" w:hAnsi="Times New Roman" w:cs="Times New Roman" w:eastAsia="Times New Roman" w:hint="default"/>
          <w:spacing w:val="-1"/>
          <w:sz w:val="21"/>
          <w:szCs w:val="21"/>
        </w:rPr>
        <w:t>MMORPG</w:t>
      </w:r>
      <w:r>
        <w:rPr>
          <w:rFonts w:ascii="宋体" w:hAnsi="宋体" w:cs="宋体" w:eastAsia="宋体" w:hint="default"/>
          <w:spacing w:val="-1"/>
          <w:sz w:val="21"/>
          <w:szCs w:val="21"/>
        </w:rPr>
        <w:t>移动网络游戏，采用中式古典唯美画风，主打大地图国战玩法，面向</w:t>
      </w:r>
    </w:p>
    <w:p>
      <w:pPr>
        <w:spacing w:before="21"/>
        <w:ind w:left="154" w:right="213" w:firstLine="0"/>
        <w:jc w:val="left"/>
        <w:rPr>
          <w:rFonts w:ascii="宋体" w:hAnsi="宋体" w:cs="宋体" w:eastAsia="宋体" w:hint="default"/>
          <w:sz w:val="21"/>
          <w:szCs w:val="21"/>
        </w:rPr>
      </w:pPr>
      <w:r>
        <w:rPr>
          <w:rFonts w:ascii="宋体" w:hAnsi="宋体" w:cs="宋体" w:eastAsia="宋体" w:hint="default"/>
          <w:sz w:val="21"/>
          <w:szCs w:val="21"/>
        </w:rPr>
        <w:t>亚洲区域的重度移动游戏用户，目前处于项目立项和</w:t>
      </w:r>
      <w:r>
        <w:rPr>
          <w:rFonts w:ascii="Times New Roman" w:hAnsi="Times New Roman" w:cs="Times New Roman" w:eastAsia="Times New Roman" w:hint="default"/>
          <w:sz w:val="21"/>
          <w:szCs w:val="21"/>
        </w:rPr>
        <w:t>Demo</w:t>
      </w:r>
      <w:r>
        <w:rPr>
          <w:rFonts w:ascii="宋体" w:hAnsi="宋体" w:cs="宋体" w:eastAsia="宋体" w:hint="default"/>
          <w:sz w:val="21"/>
          <w:szCs w:val="21"/>
        </w:rPr>
        <w:t>制作阶段，计划于</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Q2</w:t>
      </w:r>
      <w:r>
        <w:rPr>
          <w:rFonts w:ascii="宋体" w:hAnsi="宋体" w:cs="宋体" w:eastAsia="宋体" w:hint="default"/>
          <w:sz w:val="21"/>
          <w:szCs w:val="21"/>
        </w:rPr>
        <w:t>进行封测。</w:t>
      </w:r>
    </w:p>
    <w:p>
      <w:pPr>
        <w:spacing w:before="141"/>
        <w:ind w:left="154" w:right="21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Project</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E</w:t>
      </w:r>
      <w:r>
        <w:rPr>
          <w:rFonts w:ascii="宋体" w:hAnsi="宋体" w:cs="宋体" w:eastAsia="宋体" w:hint="default"/>
          <w:sz w:val="21"/>
          <w:szCs w:val="21"/>
        </w:rPr>
        <w:t>》</w:t>
      </w:r>
    </w:p>
    <w:p>
      <w:pPr>
        <w:spacing w:line="256" w:lineRule="auto" w:before="141"/>
        <w:ind w:left="154" w:right="92" w:firstLine="336"/>
        <w:jc w:val="left"/>
        <w:rPr>
          <w:rFonts w:ascii="宋体" w:hAnsi="宋体" w:cs="宋体" w:eastAsia="宋体" w:hint="default"/>
          <w:sz w:val="21"/>
          <w:szCs w:val="21"/>
        </w:rPr>
      </w:pPr>
      <w:r>
        <w:rPr>
          <w:rFonts w:ascii="宋体" w:hAnsi="宋体" w:cs="宋体" w:eastAsia="宋体" w:hint="default"/>
          <w:sz w:val="21"/>
          <w:szCs w:val="21"/>
        </w:rPr>
        <w:t>本产品为首款国产动漫漫题材</w:t>
      </w:r>
      <w:r>
        <w:rPr>
          <w:rFonts w:ascii="Times New Roman" w:hAnsi="Times New Roman" w:cs="Times New Roman" w:eastAsia="Times New Roman" w:hint="default"/>
          <w:sz w:val="21"/>
          <w:szCs w:val="21"/>
        </w:rPr>
        <w:t>ARPG</w:t>
      </w:r>
      <w:r>
        <w:rPr>
          <w:rFonts w:ascii="宋体" w:hAnsi="宋体" w:cs="宋体" w:eastAsia="宋体" w:hint="default"/>
          <w:sz w:val="21"/>
          <w:szCs w:val="21"/>
        </w:rPr>
        <w:t>移动网络游戏</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46"/>
          <w:sz w:val="21"/>
          <w:szCs w:val="21"/>
        </w:rPr>
        <w:t> </w:t>
      </w:r>
      <w:r>
        <w:rPr>
          <w:rFonts w:ascii="宋体" w:hAnsi="宋体" w:cs="宋体" w:eastAsia="宋体" w:hint="default"/>
          <w:spacing w:val="-3"/>
          <w:sz w:val="21"/>
          <w:szCs w:val="21"/>
        </w:rPr>
        <w:t>采用轻松可爱的日式</w:t>
      </w:r>
      <w:r>
        <w:rPr>
          <w:rFonts w:ascii="Times New Roman" w:hAnsi="Times New Roman" w:cs="Times New Roman" w:eastAsia="Times New Roman" w:hint="default"/>
          <w:spacing w:val="-3"/>
          <w:sz w:val="21"/>
          <w:szCs w:val="21"/>
        </w:rPr>
        <w:t>Q</w:t>
      </w:r>
      <w:r>
        <w:rPr>
          <w:rFonts w:ascii="宋体" w:hAnsi="宋体" w:cs="宋体" w:eastAsia="宋体" w:hint="default"/>
          <w:spacing w:val="-3"/>
          <w:sz w:val="21"/>
          <w:szCs w:val="21"/>
        </w:rPr>
        <w:t>萌画风，主打社交互动玩法，</w:t>
      </w:r>
      <w:r>
        <w:rPr>
          <w:rFonts w:ascii="宋体" w:hAnsi="宋体" w:cs="宋体" w:eastAsia="宋体" w:hint="default"/>
          <w:sz w:val="21"/>
          <w:szCs w:val="21"/>
        </w:rPr>
        <w:t> 面向亚洲地区二次元用户，目前处于项目开发阶段，计划于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月进行封测。</w:t>
      </w:r>
    </w:p>
    <w:p>
      <w:pPr>
        <w:spacing w:line="432" w:lineRule="exact" w:before="24"/>
        <w:ind w:left="490" w:right="213" w:hanging="33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Project</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D</w:t>
      </w:r>
      <w:r>
        <w:rPr>
          <w:rFonts w:ascii="宋体" w:hAnsi="宋体" w:cs="宋体" w:eastAsia="宋体" w:hint="default"/>
          <w:sz w:val="21"/>
          <w:szCs w:val="21"/>
        </w:rPr>
        <w:t>》 本产品为欧美末日题材</w:t>
      </w:r>
      <w:r>
        <w:rPr>
          <w:rFonts w:ascii="Times New Roman" w:hAnsi="Times New Roman" w:cs="Times New Roman" w:eastAsia="Times New Roman" w:hint="default"/>
          <w:sz w:val="21"/>
          <w:szCs w:val="21"/>
        </w:rPr>
        <w:t>SLG</w:t>
      </w:r>
      <w:r>
        <w:rPr>
          <w:rFonts w:ascii="宋体" w:hAnsi="宋体" w:cs="宋体" w:eastAsia="宋体" w:hint="default"/>
          <w:sz w:val="21"/>
          <w:szCs w:val="21"/>
        </w:rPr>
        <w:t>移动网络游戏，聘用外籍画师制作纯正西式画风，主打面向全球策略类网</w:t>
      </w:r>
    </w:p>
    <w:p>
      <w:pPr>
        <w:spacing w:line="272" w:lineRule="exact" w:before="0"/>
        <w:ind w:left="154" w:right="213" w:firstLine="0"/>
        <w:jc w:val="left"/>
        <w:rPr>
          <w:rFonts w:ascii="宋体" w:hAnsi="宋体" w:cs="宋体" w:eastAsia="宋体" w:hint="default"/>
          <w:sz w:val="21"/>
          <w:szCs w:val="21"/>
        </w:rPr>
      </w:pPr>
      <w:r>
        <w:rPr>
          <w:rFonts w:ascii="宋体" w:hAnsi="宋体" w:cs="宋体" w:eastAsia="宋体" w:hint="default"/>
          <w:sz w:val="21"/>
          <w:szCs w:val="21"/>
        </w:rPr>
        <w:t>游市场，目前处于项目立项和</w:t>
      </w:r>
      <w:r>
        <w:rPr>
          <w:rFonts w:ascii="Times New Roman" w:hAnsi="Times New Roman" w:cs="Times New Roman" w:eastAsia="Times New Roman" w:hint="default"/>
          <w:sz w:val="21"/>
          <w:szCs w:val="21"/>
        </w:rPr>
        <w:t>Demo</w:t>
      </w:r>
      <w:r>
        <w:rPr>
          <w:rFonts w:ascii="宋体" w:hAnsi="宋体" w:cs="宋体" w:eastAsia="宋体" w:hint="default"/>
          <w:sz w:val="21"/>
          <w:szCs w:val="21"/>
        </w:rPr>
        <w:t>制作阶段，计划于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月封测。</w:t>
      </w:r>
    </w:p>
    <w:p>
      <w:pPr>
        <w:spacing w:before="86"/>
        <w:ind w:left="154" w:right="213" w:firstLine="0"/>
        <w:jc w:val="left"/>
        <w:rPr>
          <w:rFonts w:ascii="宋体" w:hAnsi="宋体" w:cs="宋体" w:eastAsia="宋体" w:hint="default"/>
          <w:sz w:val="18"/>
          <w:szCs w:val="18"/>
        </w:rPr>
      </w:pPr>
      <w:r>
        <w:rPr>
          <w:rFonts w:ascii="宋体" w:hAnsi="宋体" w:cs="宋体" w:eastAsia="宋体" w:hint="default"/>
          <w:sz w:val="18"/>
          <w:szCs w:val="18"/>
        </w:rPr>
        <w:t>近三年公司研发投入金额及占营业收入的比例</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46.81%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93,059,527.96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111,802,325.06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102,670,657.43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155,707.41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7,887,519.00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7.68%</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1.81%</w:t>
            </w:r>
          </w:p>
        </w:tc>
      </w:tr>
    </w:tbl>
    <w:p>
      <w:pPr>
        <w:spacing w:before="51"/>
        <w:ind w:left="154" w:right="213"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38" w:lineRule="auto" w:before="117"/>
        <w:ind w:left="154" w:right="58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研发投入资本化率大幅变动的原因及其合理性说明</w:t>
      </w:r>
    </w:p>
    <w:p>
      <w:pPr>
        <w:spacing w:before="42"/>
        <w:ind w:left="154" w:right="2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0"/>
          <w:szCs w:val="20"/>
        </w:rPr>
      </w:pPr>
    </w:p>
    <w:p>
      <w:pPr>
        <w:spacing w:before="0"/>
        <w:ind w:left="154" w:right="21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、现金流</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21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1,666,705,205.29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1,606,666,647.78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1,474,551,890.19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1,209,866,428.71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21.88%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2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192,153,315.10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396,800,219.07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-51.57%</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950,685,189.50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322,138.55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295,016.86%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2,595,011,973.01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190,693,479.85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1,260.83%</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-1,644,326,783.51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-190,371,341.30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763.75%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1,845,304,458.55</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125,908,940.98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166,640,010.20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-24.44%</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1,719,395,517.57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-166,640,010.20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1,131.80%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289,986,812.61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45,162,560.48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542.10%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1"/>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、经营活动产生的现金流量净额较上年同期减少</w:t>
      </w:r>
      <w:r>
        <w:rPr>
          <w:rFonts w:ascii="Times New Roman" w:hAnsi="Times New Roman" w:cs="Times New Roman" w:eastAsia="Times New Roman" w:hint="default"/>
          <w:sz w:val="18"/>
          <w:szCs w:val="18"/>
        </w:rPr>
        <w:t>51.57%</w:t>
      </w:r>
      <w:r>
        <w:rPr>
          <w:rFonts w:ascii="宋体" w:hAnsi="宋体" w:cs="宋体" w:eastAsia="宋体" w:hint="default"/>
          <w:sz w:val="18"/>
          <w:szCs w:val="18"/>
        </w:rPr>
        <w:t>，主要是由于游戏分成款及市场费增加所致；</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、投资活动现金流入小计较上年同期增加</w:t>
      </w:r>
      <w:r>
        <w:rPr>
          <w:rFonts w:ascii="Times New Roman" w:hAnsi="Times New Roman" w:cs="Times New Roman" w:eastAsia="Times New Roman" w:hint="default"/>
          <w:sz w:val="18"/>
          <w:szCs w:val="18"/>
        </w:rPr>
        <w:t>295,016.86%</w:t>
      </w:r>
      <w:r>
        <w:rPr>
          <w:rFonts w:ascii="宋体" w:hAnsi="宋体" w:cs="宋体" w:eastAsia="宋体" w:hint="default"/>
          <w:sz w:val="18"/>
          <w:szCs w:val="18"/>
        </w:rPr>
        <w:t>，主要是公司收回理财产品及股权转让收到的现金增加所致；</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、投资活动现金流出小计较上年同期增加</w:t>
      </w:r>
      <w:r>
        <w:rPr>
          <w:rFonts w:ascii="Times New Roman" w:hAnsi="Times New Roman" w:cs="Times New Roman" w:eastAsia="Times New Roman" w:hint="default"/>
          <w:sz w:val="18"/>
          <w:szCs w:val="18"/>
        </w:rPr>
        <w:t>1,260.83%</w:t>
      </w:r>
      <w:r>
        <w:rPr>
          <w:rFonts w:ascii="宋体" w:hAnsi="宋体" w:cs="宋体" w:eastAsia="宋体" w:hint="default"/>
          <w:sz w:val="18"/>
          <w:szCs w:val="18"/>
        </w:rPr>
        <w:t>，主要是由于公司对外投资增加所致；</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、投资活动产生的现金流量净流出</w:t>
      </w:r>
      <w:r>
        <w:rPr>
          <w:rFonts w:ascii="Times New Roman" w:hAnsi="Times New Roman" w:cs="Times New Roman" w:eastAsia="Times New Roman" w:hint="default"/>
          <w:sz w:val="18"/>
          <w:szCs w:val="18"/>
        </w:rPr>
        <w:t>164,432.68</w:t>
      </w:r>
      <w:r>
        <w:rPr>
          <w:rFonts w:ascii="宋体" w:hAnsi="宋体" w:cs="宋体" w:eastAsia="宋体" w:hint="default"/>
          <w:sz w:val="18"/>
          <w:szCs w:val="18"/>
        </w:rPr>
        <w:t>万元，主要是公司对外投资增加所致；</w:t>
      </w:r>
    </w:p>
    <w:p>
      <w:pPr>
        <w:spacing w:line="300" w:lineRule="auto" w:before="63"/>
        <w:ind w:left="154" w:right="1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、筹资活动现金流入小计及筹资活动产生的现金流量净额较上年同期增长较大的原因主要是因为</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年公司上市募集资金 增加所致；</w:t>
      </w:r>
    </w:p>
    <w:p>
      <w:pPr>
        <w:spacing w:before="72"/>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line="338" w:lineRule="auto" w:before="117"/>
        <w:ind w:left="154" w:right="9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报告期内公司经营活动产生的现金净流量同本年度净利润的差异主要是由于公司处置投资产生的投资收益造成。</w:t>
      </w:r>
    </w:p>
    <w:p>
      <w:pPr>
        <w:spacing w:line="240" w:lineRule="auto" w:before="9"/>
        <w:rPr>
          <w:rFonts w:ascii="宋体" w:hAnsi="宋体" w:cs="宋体" w:eastAsia="宋体" w:hint="default"/>
          <w:sz w:val="13"/>
          <w:szCs w:val="13"/>
        </w:rPr>
      </w:pPr>
    </w:p>
    <w:p>
      <w:pPr>
        <w:pStyle w:val="Heading2"/>
        <w:spacing w:line="240" w:lineRule="auto"/>
        <w:ind w:right="0"/>
        <w:jc w:val="left"/>
        <w:rPr>
          <w:b w:val="0"/>
          <w:bCs w:val="0"/>
        </w:rPr>
      </w:pPr>
      <w:r>
        <w:rPr/>
        <w:t>三、非主营业务情况</w:t>
      </w:r>
      <w:r>
        <w:rPr>
          <w:b w:val="0"/>
          <w:bCs w:val="0"/>
        </w:rPr>
      </w:r>
    </w:p>
    <w:p>
      <w:pPr>
        <w:spacing w:line="240" w:lineRule="auto" w:before="15"/>
        <w:rPr>
          <w:rFonts w:ascii="Microsoft JhengHei" w:hAnsi="Microsoft JhengHei" w:cs="Microsoft JhengHei" w:eastAsia="Microsoft JhengHei" w:hint="default"/>
          <w:b/>
          <w:bCs/>
          <w:sz w:val="15"/>
          <w:szCs w:val="15"/>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23"/>
        <w:gridCol w:w="1916"/>
        <w:gridCol w:w="1623"/>
        <w:gridCol w:w="2254"/>
        <w:gridCol w:w="2254"/>
      </w:tblGrid>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2"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196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158,792,517.68</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38.18%</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1"/>
              <w:jc w:val="left"/>
              <w:rPr>
                <w:rFonts w:ascii="宋体" w:hAnsi="宋体" w:cs="宋体" w:eastAsia="宋体" w:hint="default"/>
                <w:sz w:val="18"/>
                <w:szCs w:val="18"/>
              </w:rPr>
            </w:pPr>
            <w:r>
              <w:rPr>
                <w:rFonts w:ascii="宋体" w:hAnsi="宋体" w:cs="宋体" w:eastAsia="宋体" w:hint="default"/>
                <w:sz w:val="18"/>
                <w:szCs w:val="18"/>
              </w:rPr>
              <w:t>处置可供出售金融资产等取 得的投资收益</w:t>
            </w:r>
            <w:r>
              <w:rPr>
                <w:rFonts w:ascii="Times New Roman" w:hAnsi="Times New Roman" w:cs="Times New Roman" w:eastAsia="Times New Roman" w:hint="default"/>
                <w:sz w:val="18"/>
                <w:szCs w:val="18"/>
              </w:rPr>
              <w:t>”</w:t>
            </w:r>
            <w:r>
              <w:rPr>
                <w:rFonts w:ascii="宋体" w:hAnsi="宋体" w:cs="宋体" w:eastAsia="宋体" w:hint="default"/>
                <w:sz w:val="18"/>
                <w:szCs w:val="18"/>
              </w:rPr>
              <w:t>金额为 </w:t>
            </w:r>
            <w:r>
              <w:rPr>
                <w:rFonts w:ascii="Times New Roman" w:hAnsi="Times New Roman" w:cs="Times New Roman" w:eastAsia="Times New Roman" w:hint="default"/>
                <w:sz w:val="18"/>
                <w:szCs w:val="18"/>
              </w:rPr>
              <w:t>161,346,278.88</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元，购买理财</w:t>
            </w:r>
          </w:p>
          <w:p>
            <w:pPr>
              <w:pStyle w:val="TableParagraph"/>
              <w:spacing w:line="309" w:lineRule="auto" w:before="5"/>
              <w:ind w:left="23" w:right="58"/>
              <w:jc w:val="left"/>
              <w:rPr>
                <w:rFonts w:ascii="宋体" w:hAnsi="宋体" w:cs="宋体" w:eastAsia="宋体" w:hint="default"/>
                <w:sz w:val="18"/>
                <w:szCs w:val="18"/>
              </w:rPr>
            </w:pPr>
            <w:r>
              <w:rPr>
                <w:rFonts w:ascii="宋体" w:hAnsi="宋体" w:cs="宋体" w:eastAsia="宋体" w:hint="default"/>
                <w:sz w:val="18"/>
                <w:szCs w:val="18"/>
              </w:rPr>
              <w:t>产品投资收益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4,505,602.71 </w:t>
            </w:r>
            <w:r>
              <w:rPr>
                <w:rFonts w:ascii="宋体" w:hAnsi="宋体" w:cs="宋体" w:eastAsia="宋体" w:hint="default"/>
                <w:sz w:val="18"/>
                <w:szCs w:val="18"/>
              </w:rPr>
              <w:t>元，权益法核算的长期股权 投资收益</w:t>
            </w:r>
            <w:r>
              <w:rPr>
                <w:rFonts w:ascii="Times New Roman" w:hAnsi="Times New Roman" w:cs="Times New Roman" w:eastAsia="Times New Roman" w:hint="default"/>
                <w:sz w:val="18"/>
                <w:szCs w:val="18"/>
              </w:rPr>
              <w:t>-7,059,363.91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c>
          <w:tcPr>
            <w:tcW w:w="225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4,222,758.24</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1.02%</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计提坏账产生的资产减值</w:t>
            </w:r>
          </w:p>
          <w:p>
            <w:pPr>
              <w:pStyle w:val="TableParagraph"/>
              <w:spacing w:line="240" w:lineRule="auto" w:before="7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1,263,599.61</w:t>
            </w:r>
            <w:r>
              <w:rPr>
                <w:rFonts w:ascii="Times New Roman" w:hAnsi="Times New Roman" w:cs="Times New Roman" w:eastAsia="Times New Roman" w:hint="default"/>
                <w:spacing w:val="1"/>
                <w:sz w:val="18"/>
                <w:szCs w:val="18"/>
              </w:rPr>
              <w:t> </w:t>
            </w:r>
            <w:r>
              <w:rPr>
                <w:rFonts w:ascii="宋体" w:hAnsi="宋体" w:cs="宋体" w:eastAsia="宋体" w:hint="default"/>
                <w:spacing w:val="-8"/>
                <w:sz w:val="18"/>
                <w:szCs w:val="18"/>
              </w:rPr>
              <w:t>元，长期待摊费</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用减值损失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2,959,158.63 </w:t>
            </w:r>
            <w:r>
              <w:rPr>
                <w:rFonts w:ascii="宋体" w:hAnsi="宋体" w:cs="宋体" w:eastAsia="宋体" w:hint="default"/>
                <w:sz w:val="18"/>
                <w:szCs w:val="18"/>
              </w:rPr>
              <w:t>元</w:t>
            </w:r>
          </w:p>
        </w:tc>
        <w:tc>
          <w:tcPr>
            <w:tcW w:w="2254" w:type="dxa"/>
            <w:tcBorders>
              <w:top w:val="single" w:sz="4" w:space="0" w:color="000000"/>
              <w:left w:val="single" w:sz="4" w:space="0" w:color="000000"/>
              <w:bottom w:val="single" w:sz="4" w:space="0" w:color="000000"/>
              <w:right w:val="single" w:sz="4" w:space="0" w:color="000000"/>
            </w:tcBorders>
          </w:tcPr>
          <w:p>
            <w:pPr/>
          </w:p>
        </w:tc>
      </w:tr>
      <w:tr>
        <w:trPr>
          <w:trHeight w:val="986"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pacing w:val="-1"/>
                <w:sz w:val="18"/>
              </w:rPr>
              <w:t>14,451,787.09</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z w:val="18"/>
              </w:rPr>
              <w:t>3.47%</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主要包括：政府补助</w:t>
            </w:r>
          </w:p>
          <w:p>
            <w:pPr>
              <w:pStyle w:val="TableParagraph"/>
              <w:spacing w:line="240" w:lineRule="auto" w:before="7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11,889,531.29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元，处置固定</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资产利得</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56,165.19 </w:t>
            </w:r>
            <w:r>
              <w:rPr>
                <w:rFonts w:ascii="宋体" w:hAnsi="宋体" w:cs="宋体" w:eastAsia="宋体" w:hint="default"/>
                <w:spacing w:val="-14"/>
                <w:sz w:val="18"/>
                <w:szCs w:val="18"/>
              </w:rPr>
              <w:t>元，转让</w:t>
            </w:r>
          </w:p>
        </w:tc>
        <w:tc>
          <w:tcPr>
            <w:tcW w:w="22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23"/>
        <w:gridCol w:w="1916"/>
        <w:gridCol w:w="1623"/>
        <w:gridCol w:w="2254"/>
        <w:gridCol w:w="2254"/>
      </w:tblGrid>
      <w:tr>
        <w:trPr>
          <w:trHeight w:val="986"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623" w:type="dxa"/>
            <w:tcBorders>
              <w:top w:val="single" w:sz="4" w:space="0" w:color="000000"/>
              <w:left w:val="single" w:sz="4" w:space="0" w:color="000000"/>
              <w:bottom w:val="single" w:sz="4" w:space="0" w:color="000000"/>
              <w:right w:val="single" w:sz="4" w:space="0" w:color="000000"/>
            </w:tcBorders>
          </w:tcPr>
          <w:p>
            <w:pP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著作权收入</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1,886,792.40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收退回个税手续费</w:t>
            </w:r>
          </w:p>
          <w:p>
            <w:pPr>
              <w:pStyle w:val="TableParagraph"/>
              <w:spacing w:line="240" w:lineRule="auto" w:before="7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434,350.03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2254"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152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tcBorders>
              <w:top w:val="single" w:sz="4" w:space="0" w:color="000000"/>
              <w:left w:val="single" w:sz="4" w:space="0" w:color="000000"/>
              <w:bottom w:val="nil" w:sz="6" w:space="0" w:color="auto"/>
              <w:right w:val="single" w:sz="4" w:space="0" w:color="000000"/>
            </w:tcBorders>
          </w:tcPr>
          <w:p>
            <w:pPr/>
          </w:p>
        </w:tc>
        <w:tc>
          <w:tcPr>
            <w:tcW w:w="1623" w:type="dxa"/>
            <w:tcBorders>
              <w:top w:val="single" w:sz="4" w:space="0" w:color="000000"/>
              <w:left w:val="single" w:sz="4" w:space="0" w:color="000000"/>
              <w:bottom w:val="nil" w:sz="6" w:space="0" w:color="auto"/>
              <w:right w:val="single" w:sz="4" w:space="0" w:color="000000"/>
            </w:tcBorders>
          </w:tcPr>
          <w:p>
            <w:pPr/>
          </w:p>
        </w:tc>
        <w:tc>
          <w:tcPr>
            <w:tcW w:w="22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固定资产处置损失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94034.72</w:t>
            </w:r>
          </w:p>
        </w:tc>
        <w:tc>
          <w:tcPr>
            <w:tcW w:w="2254" w:type="dxa"/>
            <w:vMerge w:val="restart"/>
            <w:tcBorders>
              <w:top w:val="single" w:sz="4" w:space="0" w:color="000000"/>
              <w:left w:val="single" w:sz="4" w:space="0" w:color="000000"/>
              <w:right w:val="single" w:sz="4" w:space="0" w:color="000000"/>
            </w:tcBorders>
          </w:tcPr>
          <w:p>
            <w:pPr/>
          </w:p>
        </w:tc>
      </w:tr>
      <w:tr>
        <w:trPr>
          <w:trHeight w:val="312" w:hRule="exact"/>
        </w:trPr>
        <w:tc>
          <w:tcPr>
            <w:tcW w:w="15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938" w:right="0"/>
              <w:jc w:val="left"/>
              <w:rPr>
                <w:rFonts w:ascii="Times New Roman" w:hAnsi="Times New Roman" w:cs="Times New Roman" w:eastAsia="Times New Roman" w:hint="default"/>
                <w:sz w:val="18"/>
                <w:szCs w:val="18"/>
              </w:rPr>
            </w:pPr>
            <w:r>
              <w:rPr>
                <w:rFonts w:ascii="Times New Roman"/>
                <w:sz w:val="18"/>
              </w:rPr>
              <w:t>1,040,726.82</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z w:val="18"/>
              </w:rPr>
              <w:t>0.25%</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pacing w:val="-9"/>
                <w:sz w:val="18"/>
                <w:szCs w:val="18"/>
              </w:rPr>
              <w:t>元，对外捐赠</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200,000.00</w:t>
            </w:r>
          </w:p>
        </w:tc>
        <w:tc>
          <w:tcPr>
            <w:tcW w:w="2254" w:type="dxa"/>
            <w:vMerge/>
            <w:tcBorders>
              <w:left w:val="single" w:sz="4" w:space="0" w:color="000000"/>
              <w:right w:val="single" w:sz="4" w:space="0" w:color="000000"/>
            </w:tcBorders>
          </w:tcPr>
          <w:p>
            <w:pPr/>
          </w:p>
        </w:tc>
      </w:tr>
      <w:tr>
        <w:trPr>
          <w:trHeight w:val="352" w:hRule="exact"/>
        </w:trPr>
        <w:tc>
          <w:tcPr>
            <w:tcW w:w="152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tcBorders>
              <w:top w:val="nil" w:sz="6" w:space="0" w:color="auto"/>
              <w:left w:val="single" w:sz="4" w:space="0" w:color="000000"/>
              <w:bottom w:val="single" w:sz="4" w:space="0" w:color="000000"/>
              <w:right w:val="single" w:sz="4" w:space="0" w:color="000000"/>
            </w:tcBorders>
          </w:tcPr>
          <w:p>
            <w:pPr/>
          </w:p>
        </w:tc>
        <w:tc>
          <w:tcPr>
            <w:tcW w:w="1623" w:type="dxa"/>
            <w:tcBorders>
              <w:top w:val="nil" w:sz="6" w:space="0" w:color="auto"/>
              <w:left w:val="single" w:sz="4" w:space="0" w:color="000000"/>
              <w:bottom w:val="single" w:sz="4" w:space="0" w:color="000000"/>
              <w:right w:val="single" w:sz="4" w:space="0" w:color="000000"/>
            </w:tcBorders>
          </w:tcPr>
          <w:p>
            <w:pPr/>
          </w:p>
        </w:tc>
        <w:tc>
          <w:tcPr>
            <w:tcW w:w="22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746,692.1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2254"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8"/>
          <w:szCs w:val="18"/>
        </w:rPr>
      </w:pPr>
    </w:p>
    <w:p>
      <w:pPr>
        <w:pStyle w:val="Heading2"/>
        <w:spacing w:line="367" w:lineRule="exact"/>
        <w:ind w:right="0"/>
        <w:jc w:val="left"/>
        <w:rPr>
          <w:b w:val="0"/>
          <w:bCs w:val="0"/>
        </w:rPr>
      </w:pPr>
      <w:r>
        <w:rPr/>
        <w:pict>
          <v:shape style="position:absolute;margin-left:407.700012pt;margin-top:-112.5075pt;width:127.3pt;height:48.85pt;mso-position-horizontal-relative:page;mso-position-vertical-relative:paragraph;z-index:-966136" type="#_x0000_t202" filled="false" stroked="false">
            <v:textbox inset="0,0,0,0">
              <w:txbxContent>
                <w:p>
                  <w:pPr>
                    <w:spacing w:before="10"/>
                    <w:ind w:left="0" w:right="0" w:firstLine="0"/>
                    <w:jc w:val="left"/>
                    <w:rPr>
                      <w:rFonts w:ascii="宋体" w:hAnsi="宋体" w:cs="宋体" w:eastAsia="宋体" w:hint="default"/>
                      <w:sz w:val="18"/>
                      <w:szCs w:val="18"/>
                    </w:rPr>
                  </w:pPr>
                  <w:r>
                    <w:rPr>
                      <w:rFonts w:ascii="宋体" w:hAnsi="宋体" w:cs="宋体" w:eastAsia="宋体" w:hint="default"/>
                      <w:sz w:val="18"/>
                      <w:szCs w:val="18"/>
                    </w:rPr>
                    <w:t>元，</w:t>
                  </w:r>
                </w:p>
              </w:txbxContent>
            </v:textbox>
            <w10:wrap type="none"/>
          </v:shape>
        </w:pict>
      </w:r>
      <w:r>
        <w:rPr/>
        <w:pict>
          <v:shape style="position:absolute;margin-left:407.640015pt;margin-top:-63.1875pt;width:127.35pt;height:50.85pt;mso-position-horizontal-relative:page;mso-position-vertical-relative:paragraph;z-index:-966112" type="#_x0000_t202" filled="false" stroked="false">
            <v:textbox inset="0,0,0,0">
              <w:txbxContent>
                <w:p>
                  <w:pPr>
                    <w:spacing w:line="240" w:lineRule="auto" w:before="0"/>
                    <w:rPr>
                      <w:rFonts w:ascii="宋体" w:hAnsi="宋体" w:cs="宋体" w:eastAsia="宋体" w:hint="default"/>
                      <w:sz w:val="18"/>
                      <w:szCs w:val="18"/>
                    </w:rPr>
                  </w:pPr>
                </w:p>
                <w:p>
                  <w:pPr>
                    <w:spacing w:before="127"/>
                    <w:ind w:left="0" w:right="0" w:firstLine="0"/>
                    <w:jc w:val="left"/>
                    <w:rPr>
                      <w:rFonts w:ascii="宋体" w:hAnsi="宋体" w:cs="宋体" w:eastAsia="宋体" w:hint="default"/>
                      <w:sz w:val="18"/>
                      <w:szCs w:val="18"/>
                    </w:rPr>
                  </w:pPr>
                  <w:r>
                    <w:rPr>
                      <w:rFonts w:ascii="宋体" w:hAnsi="宋体" w:cs="宋体" w:eastAsia="宋体" w:hint="default"/>
                      <w:sz w:val="18"/>
                      <w:szCs w:val="18"/>
                    </w:rPr>
                    <w:t>元，</w:t>
                  </w:r>
                </w:p>
              </w:txbxContent>
            </v:textbox>
            <w10:wrap type="none"/>
          </v:shape>
        </w:pict>
      </w:r>
      <w:r>
        <w:rPr/>
        <w:pict>
          <v:group style="position:absolute;margin-left:422.76001pt;margin-top:-112.5075pt;width:112.2pt;height:100.2pt;mso-position-horizontal-relative:page;mso-position-vertical-relative:paragraph;z-index:-966088" coordorigin="8455,-2250" coordsize="2244,2004">
            <v:group style="position:absolute;left:8455;top:-2250;width:2244;height:977" coordorigin="8455,-2250" coordsize="2244,977">
              <v:shape style="position:absolute;left:8455;top:-2250;width:2244;height:977" coordorigin="8455,-2250" coordsize="2244,977" path="m8455,-1273l10699,-1273,10699,-2250,8455,-2250,8455,-1273xe" filled="true" fillcolor="#ffffff" stroked="false">
                <v:path arrowok="t"/>
                <v:fill type="solid"/>
              </v:shape>
            </v:group>
            <v:group style="position:absolute;left:8455;top:-1264;width:2244;height:1017" coordorigin="8455,-1264" coordsize="2244,1017">
              <v:shape style="position:absolute;left:8455;top:-1264;width:2244;height:1017" coordorigin="8455,-1264" coordsize="2244,1017" path="m8455,-247l10699,-247,10699,-1264,8455,-1264,8455,-247xe" filled="true" fillcolor="#ffffff" stroked="false">
                <v:path arrowok="t"/>
                <v:fill type="solid"/>
              </v:shape>
            </v:group>
            <v:group style="position:absolute;left:8478;top:-951;width:2199;height:393" coordorigin="8478,-951" coordsize="2199,393">
              <v:shape style="position:absolute;left:8478;top:-951;width:2199;height:393" coordorigin="8478,-951" coordsize="2199,393" path="m8478,-559l10676,-559,10676,-951,8478,-951,8478,-559xe" filled="true" fillcolor="#ffffff" stroked="false">
                <v:path arrowok="t"/>
                <v:fill type="solid"/>
              </v:shape>
            </v:group>
            <w10:wrap type="none"/>
          </v:group>
        </w:pict>
      </w:r>
      <w:r>
        <w:rPr/>
        <w:t>四、资产及负债状况</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、资产构成重大变动情况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164"/>
        <w:gridCol w:w="1063"/>
        <w:gridCol w:w="1196"/>
        <w:gridCol w:w="1063"/>
        <w:gridCol w:w="798"/>
        <w:gridCol w:w="2918"/>
      </w:tblGrid>
      <w:tr>
        <w:trPr>
          <w:trHeight w:val="383" w:hRule="exact"/>
        </w:trPr>
        <w:tc>
          <w:tcPr>
            <w:tcW w:w="1368" w:type="dxa"/>
            <w:vMerge w:val="restart"/>
            <w:tcBorders>
              <w:top w:val="single" w:sz="4" w:space="0" w:color="000000"/>
              <w:left w:val="single" w:sz="4" w:space="0" w:color="000000"/>
              <w:right w:val="single" w:sz="4" w:space="0" w:color="000000"/>
            </w:tcBorders>
            <w:shd w:val="clear" w:color="auto" w:fill="D2D2D2"/>
          </w:tcPr>
          <w:p>
            <w:pPr/>
          </w:p>
        </w:tc>
        <w:tc>
          <w:tcPr>
            <w:tcW w:w="22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72" w:hRule="exact"/>
        </w:trPr>
        <w:tc>
          <w:tcPr>
            <w:tcW w:w="1368" w:type="dxa"/>
            <w:vMerge/>
            <w:tcBorders>
              <w:left w:val="single" w:sz="4" w:space="0" w:color="000000"/>
              <w:right w:val="single" w:sz="4" w:space="0" w:color="000000"/>
            </w:tcBorders>
            <w:shd w:val="clear" w:color="auto" w:fill="D2D2D2"/>
          </w:tcPr>
          <w:p>
            <w:pPr/>
          </w:p>
        </w:tc>
        <w:tc>
          <w:tcPr>
            <w:tcW w:w="11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2"/>
              <w:ind w:left="435" w:right="7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2"/>
              <w:ind w:left="435" w:right="7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798" w:type="dxa"/>
            <w:vMerge/>
            <w:tcBorders>
              <w:left w:val="single" w:sz="4" w:space="0" w:color="000000"/>
              <w:right w:val="single" w:sz="4" w:space="0" w:color="000000"/>
            </w:tcBorders>
            <w:shd w:val="clear" w:color="auto" w:fill="D2D2D2"/>
          </w:tcPr>
          <w:p>
            <w:pPr/>
          </w:p>
        </w:tc>
        <w:tc>
          <w:tcPr>
            <w:tcW w:w="29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31"/>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6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164" w:type="dxa"/>
            <w:vMerge/>
            <w:tcBorders>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291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1,047,811,978.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26.95%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704,825,166.03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2"/>
                <w:sz w:val="18"/>
                <w:szCs w:val="18"/>
              </w:rPr>
              <w:t>货币资金比重下降，主要是公司首次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2"/>
                <w:sz w:val="18"/>
                <w:szCs w:val="18"/>
              </w:rPr>
              <w:t>公开发行新股，总资产大幅增加所致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288,512,695.5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254,302,444.16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17.32%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2"/>
                <w:sz w:val="18"/>
                <w:szCs w:val="18"/>
              </w:rPr>
              <w:t>应收账款比重下降，主要是公司首次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2"/>
                <w:sz w:val="18"/>
                <w:szCs w:val="18"/>
              </w:rPr>
              <w:t>公开发行新股，总资产大幅增加所致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581,554,981.1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14.96%</w:t>
            </w: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14.96%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20"/>
              <w:jc w:val="left"/>
              <w:rPr>
                <w:rFonts w:ascii="宋体" w:hAnsi="宋体" w:cs="宋体" w:eastAsia="宋体" w:hint="default"/>
                <w:sz w:val="18"/>
                <w:szCs w:val="18"/>
              </w:rPr>
            </w:pPr>
            <w:r>
              <w:rPr>
                <w:rFonts w:ascii="宋体" w:hAnsi="宋体" w:cs="宋体" w:eastAsia="宋体" w:hint="default"/>
                <w:spacing w:val="-2"/>
                <w:sz w:val="18"/>
                <w:szCs w:val="18"/>
              </w:rPr>
              <w:t>长期股权投资比重上升，主要是由于</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公司对外投资增加所致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25,271,425.57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0.65%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30,813,873.38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2"/>
                <w:sz w:val="18"/>
                <w:szCs w:val="18"/>
              </w:rPr>
              <w:t>固定资产比重下降，主要是公司首次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2"/>
                <w:sz w:val="18"/>
                <w:szCs w:val="18"/>
              </w:rPr>
              <w:t>公开发行新股，总资产大幅增加所致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247,823,862.1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6.37%</w:t>
            </w: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6.37%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2"/>
                <w:sz w:val="18"/>
                <w:szCs w:val="18"/>
              </w:rPr>
              <w:t>短期借款比重上升，主要是由于公司</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本期新增贷款所致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5"/>
              <w:jc w:val="left"/>
              <w:rPr>
                <w:rFonts w:ascii="宋体" w:hAnsi="宋体" w:cs="宋体" w:eastAsia="宋体" w:hint="default"/>
                <w:sz w:val="18"/>
                <w:szCs w:val="18"/>
              </w:rPr>
            </w:pPr>
            <w:r>
              <w:rPr>
                <w:rFonts w:ascii="宋体" w:hAnsi="宋体" w:cs="宋体" w:eastAsia="宋体" w:hint="default"/>
                <w:sz w:val="18"/>
                <w:szCs w:val="18"/>
              </w:rPr>
              <w:t>可供出售金融资 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1,128,458,691.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29.02%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160,580,373.69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10.94%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18.08%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2"/>
                <w:sz w:val="18"/>
                <w:szCs w:val="18"/>
              </w:rPr>
              <w:t>可供出售金融资产比重上升，主要是</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由于公司对外投资增加所致</w:t>
            </w:r>
          </w:p>
        </w:tc>
      </w:tr>
      <w:tr>
        <w:trPr>
          <w:trHeight w:val="1027"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374,944,337.5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9.64%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4,364,549.74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9.34%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both"/>
              <w:rPr>
                <w:rFonts w:ascii="宋体" w:hAnsi="宋体" w:cs="宋体" w:eastAsia="宋体" w:hint="default"/>
                <w:sz w:val="18"/>
                <w:szCs w:val="18"/>
              </w:rPr>
            </w:pPr>
            <w:r>
              <w:rPr>
                <w:rFonts w:ascii="宋体" w:hAnsi="宋体" w:cs="宋体" w:eastAsia="宋体" w:hint="default"/>
                <w:spacing w:val="-2"/>
                <w:sz w:val="18"/>
                <w:szCs w:val="18"/>
              </w:rPr>
              <w:t>其他应付款比重上升，主要是由于公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2"/>
                <w:sz w:val="18"/>
                <w:szCs w:val="18"/>
              </w:rPr>
              <w:t>司进行股权激励，产生限制性股票回</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购义务确认负债所致</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、以公允价值计量的资产和负债</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五、投资状况分析</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、总体情况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4"/>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5" w:right="0"/>
              <w:jc w:val="left"/>
              <w:rPr>
                <w:rFonts w:ascii="Times New Roman" w:hAnsi="Times New Roman" w:cs="Times New Roman" w:eastAsia="Times New Roman" w:hint="default"/>
                <w:sz w:val="18"/>
                <w:szCs w:val="18"/>
              </w:rPr>
            </w:pPr>
            <w:r>
              <w:rPr>
                <w:rFonts w:ascii="Times New Roman"/>
                <w:sz w:val="18"/>
              </w:rPr>
              <w:t>1,710,013,672.27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3" w:right="0"/>
              <w:jc w:val="left"/>
              <w:rPr>
                <w:rFonts w:ascii="Times New Roman" w:hAnsi="Times New Roman" w:cs="Times New Roman" w:eastAsia="Times New Roman" w:hint="default"/>
                <w:sz w:val="18"/>
                <w:szCs w:val="18"/>
              </w:rPr>
            </w:pPr>
            <w:r>
              <w:rPr>
                <w:rFonts w:ascii="Times New Roman"/>
                <w:sz w:val="18"/>
              </w:rPr>
              <w:t>160,580,373.69</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964.60%</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、报告期内获取的重大的股权投资情况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、报告期内正在进行的重大的非股权投资情况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、以公允价值计量的金融资产</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、募集资金使用情况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）募集资金总体使用情况</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5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7"/>
        <w:gridCol w:w="863"/>
        <w:gridCol w:w="877"/>
        <w:gridCol w:w="870"/>
        <w:gridCol w:w="870"/>
        <w:gridCol w:w="869"/>
        <w:gridCol w:w="870"/>
        <w:gridCol w:w="870"/>
        <w:gridCol w:w="870"/>
        <w:gridCol w:w="870"/>
        <w:gridCol w:w="869"/>
      </w:tblGrid>
      <w:tr>
        <w:trPr>
          <w:trHeight w:val="1337"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3" w:right="72"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9" w:right="69"/>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8" w:right="68"/>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9" w:right="69"/>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8" w:right="68"/>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4146" w:hRule="exact"/>
        </w:trPr>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2" w:right="108"/>
              <w:jc w:val="both"/>
              <w:rPr>
                <w:rFonts w:ascii="宋体" w:hAnsi="宋体" w:cs="宋体" w:eastAsia="宋体" w:hint="default"/>
                <w:sz w:val="18"/>
                <w:szCs w:val="18"/>
              </w:rPr>
            </w:pPr>
            <w:r>
              <w:rPr>
                <w:rFonts w:ascii="宋体" w:hAnsi="宋体" w:cs="宋体" w:eastAsia="宋体" w:hint="default"/>
                <w:sz w:val="18"/>
                <w:szCs w:val="18"/>
              </w:rPr>
              <w:t>网下向询 价对象询 价配售与 网上资金 申购发行 相结合</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133,037.96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40,518.25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108,035.38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31,314.44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31,314.44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23.54%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26,106.54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p>
            <w:pPr>
              <w:pStyle w:val="TableParagraph"/>
              <w:spacing w:line="309" w:lineRule="auto" w:before="61"/>
              <w:ind w:left="22" w:right="23"/>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31 </w:t>
            </w:r>
            <w:r>
              <w:rPr>
                <w:rFonts w:ascii="宋体" w:hAnsi="宋体" w:cs="宋体" w:eastAsia="宋体" w:hint="default"/>
                <w:spacing w:val="-18"/>
                <w:sz w:val="18"/>
                <w:szCs w:val="18"/>
              </w:rPr>
              <w:t>日，募集资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金余额为</w:t>
            </w:r>
          </w:p>
          <w:p>
            <w:pPr>
              <w:pStyle w:val="TableParagraph"/>
              <w:spacing w:line="240" w:lineRule="auto" w:before="64"/>
              <w:ind w:left="22" w:right="0"/>
              <w:jc w:val="left"/>
              <w:rPr>
                <w:rFonts w:ascii="Times New Roman" w:hAnsi="Times New Roman" w:cs="Times New Roman" w:eastAsia="Times New Roman" w:hint="default"/>
                <w:sz w:val="18"/>
                <w:szCs w:val="18"/>
              </w:rPr>
            </w:pPr>
            <w:r>
              <w:rPr>
                <w:rFonts w:ascii="Times New Roman"/>
                <w:sz w:val="18"/>
              </w:rPr>
              <w:t>26,106.54</w:t>
            </w:r>
          </w:p>
          <w:p>
            <w:pPr>
              <w:pStyle w:val="TableParagraph"/>
              <w:spacing w:line="316" w:lineRule="auto" w:before="65"/>
              <w:ind w:left="22" w:right="23"/>
              <w:jc w:val="left"/>
              <w:rPr>
                <w:rFonts w:ascii="宋体" w:hAnsi="宋体" w:cs="宋体" w:eastAsia="宋体" w:hint="default"/>
                <w:sz w:val="18"/>
                <w:szCs w:val="18"/>
              </w:rPr>
            </w:pPr>
            <w:r>
              <w:rPr>
                <w:rFonts w:ascii="宋体" w:hAnsi="宋体" w:cs="宋体" w:eastAsia="宋体" w:hint="default"/>
                <w:spacing w:val="-18"/>
                <w:sz w:val="18"/>
                <w:szCs w:val="18"/>
              </w:rPr>
              <w:t>万元，全部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为银行存 </w:t>
            </w:r>
            <w:r>
              <w:rPr>
                <w:rFonts w:ascii="宋体" w:hAnsi="宋体" w:cs="宋体" w:eastAsia="宋体" w:hint="default"/>
                <w:spacing w:val="-18"/>
                <w:sz w:val="18"/>
                <w:szCs w:val="18"/>
              </w:rPr>
              <w:t>款，其中以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现金宝方 式存放的 金额为</w:t>
            </w:r>
          </w:p>
          <w:p>
            <w:pPr>
              <w:pStyle w:val="TableParagraph"/>
              <w:spacing w:line="240" w:lineRule="auto" w:before="58"/>
              <w:ind w:left="22" w:right="0"/>
              <w:jc w:val="left"/>
              <w:rPr>
                <w:rFonts w:ascii="Times New Roman" w:hAnsi="Times New Roman" w:cs="Times New Roman" w:eastAsia="Times New Roman" w:hint="default"/>
                <w:sz w:val="18"/>
                <w:szCs w:val="18"/>
              </w:rPr>
            </w:pPr>
            <w:r>
              <w:rPr>
                <w:rFonts w:ascii="Times New Roman"/>
                <w:sz w:val="18"/>
              </w:rPr>
              <w:t>25,780.00</w:t>
            </w:r>
          </w:p>
          <w:p>
            <w:pPr>
              <w:pStyle w:val="TableParagraph"/>
              <w:spacing w:line="240" w:lineRule="auto" w:before="66"/>
              <w:ind w:left="2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 w:right="0"/>
              <w:jc w:val="left"/>
              <w:rPr>
                <w:rFonts w:ascii="Times New Roman" w:hAnsi="Times New Roman" w:cs="Times New Roman" w:eastAsia="Times New Roman" w:hint="default"/>
                <w:sz w:val="18"/>
                <w:szCs w:val="18"/>
              </w:rPr>
            </w:pPr>
            <w:r>
              <w:rPr>
                <w:rFonts w:ascii="Times New Roman"/>
                <w:sz w:val="18"/>
              </w:rPr>
              <w:t>133,037.96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3" w:right="0"/>
              <w:jc w:val="center"/>
              <w:rPr>
                <w:rFonts w:ascii="Times New Roman" w:hAnsi="Times New Roman" w:cs="Times New Roman" w:eastAsia="Times New Roman" w:hint="default"/>
                <w:sz w:val="18"/>
                <w:szCs w:val="18"/>
              </w:rPr>
            </w:pPr>
            <w:r>
              <w:rPr>
                <w:rFonts w:ascii="Times New Roman"/>
                <w:sz w:val="18"/>
              </w:rPr>
              <w:t>40,518.25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6" w:right="0"/>
              <w:jc w:val="left"/>
              <w:rPr>
                <w:rFonts w:ascii="Times New Roman" w:hAnsi="Times New Roman" w:cs="Times New Roman" w:eastAsia="Times New Roman" w:hint="default"/>
                <w:sz w:val="18"/>
                <w:szCs w:val="18"/>
              </w:rPr>
            </w:pPr>
            <w:r>
              <w:rPr>
                <w:rFonts w:ascii="Times New Roman"/>
                <w:sz w:val="18"/>
              </w:rPr>
              <w:t>108,035.38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31,314.44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31,314.44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23.54%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26,106.54</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9565"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674" w:hRule="exact"/>
        </w:trPr>
        <w:tc>
          <w:tcPr>
            <w:tcW w:w="9565"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3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经中国证券监督管理委员会证监许可（</w:t>
            </w:r>
            <w:r>
              <w:rPr>
                <w:rFonts w:ascii="Times New Roman" w:hAnsi="Times New Roman" w:cs="Times New Roman" w:eastAsia="Times New Roman" w:hint="default"/>
                <w:sz w:val="18"/>
                <w:szCs w:val="18"/>
              </w:rPr>
              <w:t>2015</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号文《关于核准北京昆仑万维科技股份有限公司首次公开发行股票的批 复》核准，公司向社会公开发行人民币普通股股票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万股，发行方式为采用网下向询价对象询价配售与网上资金申购</w:t>
            </w:r>
          </w:p>
        </w:tc>
      </w:tr>
    </w:tbl>
    <w:p>
      <w:pPr>
        <w:spacing w:after="0" w:line="30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1"/>
        <w:rPr>
          <w:rFonts w:ascii="宋体" w:hAnsi="宋体" w:cs="宋体" w:eastAsia="宋体" w:hint="default"/>
          <w:sz w:val="28"/>
          <w:szCs w:val="28"/>
        </w:rPr>
      </w:pPr>
    </w:p>
    <w:p>
      <w:pPr>
        <w:spacing w:line="2234" w:lineRule="exact"/>
        <w:ind w:left="154" w:right="0" w:firstLine="0"/>
        <w:rPr>
          <w:rFonts w:ascii="宋体" w:hAnsi="宋体" w:cs="宋体" w:eastAsia="宋体" w:hint="default"/>
          <w:sz w:val="20"/>
          <w:szCs w:val="20"/>
        </w:rPr>
      </w:pPr>
      <w:r>
        <w:rPr>
          <w:rFonts w:ascii="宋体" w:hAnsi="宋体" w:cs="宋体" w:eastAsia="宋体" w:hint="default"/>
          <w:position w:val="-44"/>
          <w:sz w:val="20"/>
          <w:szCs w:val="20"/>
        </w:rPr>
        <w:pict>
          <v:shape style="width:478.3pt;height:111.75pt;mso-position-horizontal-relative:char;mso-position-vertical-relative:line" type="#_x0000_t202" filled="false" stroked="true" strokeweight=".48004pt" strokecolor="#000000">
            <w10:anchorlock/>
            <v:textbox inset="0,0,0,0">
              <w:txbxContent>
                <w:p>
                  <w:pPr>
                    <w:spacing w:before="10"/>
                    <w:ind w:left="2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发行相结合的方式</w:t>
                  </w:r>
                  <w:r>
                    <w:rPr>
                      <w:rFonts w:ascii="宋体" w:hAnsi="宋体" w:cs="宋体" w:eastAsia="宋体" w:hint="default"/>
                      <w:spacing w:val="-90"/>
                      <w:sz w:val="18"/>
                      <w:szCs w:val="18"/>
                    </w:rPr>
                    <w:t>，</w:t>
                  </w:r>
                  <w:r>
                    <w:rPr>
                      <w:rFonts w:ascii="宋体" w:hAnsi="宋体" w:cs="宋体" w:eastAsia="宋体" w:hint="default"/>
                      <w:sz w:val="18"/>
                      <w:szCs w:val="18"/>
                    </w:rPr>
                    <w:t>每股发行价格为人民币</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20.30</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截至</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4"/>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止</w:t>
                  </w:r>
                  <w:r>
                    <w:rPr>
                      <w:rFonts w:ascii="宋体" w:hAnsi="宋体" w:cs="宋体" w:eastAsia="宋体" w:hint="default"/>
                      <w:spacing w:val="-90"/>
                      <w:sz w:val="18"/>
                      <w:szCs w:val="18"/>
                    </w:rPr>
                    <w:t>，</w:t>
                  </w:r>
                  <w:r>
                    <w:rPr>
                      <w:rFonts w:ascii="宋体" w:hAnsi="宋体" w:cs="宋体" w:eastAsia="宋体" w:hint="default"/>
                      <w:sz w:val="18"/>
                      <w:szCs w:val="18"/>
                    </w:rPr>
                    <w:t>公司募集资金总额为人民币</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1,421,000,0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0.00</w:t>
                  </w:r>
                </w:p>
                <w:p>
                  <w:pPr>
                    <w:spacing w:before="63"/>
                    <w:ind w:left="22" w:right="0" w:firstLine="0"/>
                    <w:jc w:val="left"/>
                    <w:rPr>
                      <w:rFonts w:ascii="宋体" w:hAnsi="宋体" w:cs="宋体" w:eastAsia="宋体" w:hint="default"/>
                      <w:sz w:val="18"/>
                      <w:szCs w:val="18"/>
                    </w:rPr>
                  </w:pPr>
                  <w:r>
                    <w:rPr>
                      <w:rFonts w:ascii="宋体" w:hAnsi="宋体" w:cs="宋体" w:eastAsia="宋体" w:hint="default"/>
                      <w:sz w:val="18"/>
                      <w:szCs w:val="18"/>
                    </w:rPr>
                    <w:t>元，扣除承销费用人民币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80,500,000.00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元后，已缴入募集的股款为人民币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1,340,500,000.00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元。同时扣除公司为本次股票</w:t>
                  </w:r>
                </w:p>
                <w:p>
                  <w:pPr>
                    <w:spacing w:before="63"/>
                    <w:ind w:left="22" w:right="0" w:firstLine="0"/>
                    <w:jc w:val="left"/>
                    <w:rPr>
                      <w:rFonts w:ascii="宋体" w:hAnsi="宋体" w:cs="宋体" w:eastAsia="宋体" w:hint="default"/>
                      <w:sz w:val="18"/>
                      <w:szCs w:val="18"/>
                    </w:rPr>
                  </w:pPr>
                  <w:r>
                    <w:rPr>
                      <w:rFonts w:ascii="宋体" w:hAnsi="宋体" w:cs="宋体" w:eastAsia="宋体" w:hint="default"/>
                      <w:spacing w:val="-2"/>
                      <w:sz w:val="18"/>
                      <w:szCs w:val="18"/>
                    </w:rPr>
                    <w:t>发行所支付的预付保荐费、发行手续费、审计评估费、律师费等费用合计人民币</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10,120,400.00</w:t>
                  </w:r>
                  <w:r>
                    <w:rPr>
                      <w:rFonts w:ascii="Times New Roman" w:hAnsi="Times New Roman" w:cs="Times New Roman" w:eastAsia="Times New Roman" w:hint="default"/>
                      <w:spacing w:val="6"/>
                      <w:sz w:val="18"/>
                      <w:szCs w:val="18"/>
                    </w:rPr>
                    <w:t> </w:t>
                  </w:r>
                  <w:r>
                    <w:rPr>
                      <w:rFonts w:ascii="宋体" w:hAnsi="宋体" w:cs="宋体" w:eastAsia="宋体" w:hint="default"/>
                      <w:spacing w:val="-2"/>
                      <w:sz w:val="18"/>
                      <w:szCs w:val="18"/>
                    </w:rPr>
                    <w:t>元，实际募集股款为人民币</w:t>
                  </w:r>
                </w:p>
                <w:p>
                  <w:pPr>
                    <w:spacing w:before="63"/>
                    <w:ind w:left="2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1,330,379,600.00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元。上述资金到位情况业经立信会计师事务所进行审计，并出具了信会师报字</w:t>
                  </w:r>
                  <w:r>
                    <w:rPr>
                      <w:rFonts w:ascii="Times New Roman" w:hAnsi="Times New Roman" w:cs="Times New Roman" w:eastAsia="Times New Roman" w:hint="default"/>
                      <w:sz w:val="18"/>
                      <w:szCs w:val="18"/>
                    </w:rPr>
                    <w:t>(2015)</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210007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号的验资</w:t>
                  </w:r>
                </w:p>
                <w:p>
                  <w:pPr>
                    <w:spacing w:before="63"/>
                    <w:ind w:left="22" w:right="-9" w:firstLine="0"/>
                    <w:jc w:val="left"/>
                    <w:rPr>
                      <w:rFonts w:ascii="宋体" w:hAnsi="宋体" w:cs="宋体" w:eastAsia="宋体" w:hint="default"/>
                      <w:sz w:val="18"/>
                      <w:szCs w:val="18"/>
                    </w:rPr>
                  </w:pPr>
                  <w:r>
                    <w:rPr>
                      <w:rFonts w:ascii="宋体" w:hAnsi="宋体" w:cs="宋体" w:eastAsia="宋体" w:hint="default"/>
                      <w:sz w:val="18"/>
                      <w:szCs w:val="18"/>
                    </w:rPr>
                    <w:t>报告。昆仑万维公司以前年度已使用资金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67,517.13</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年度使用资金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40,518.25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万元，截至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before="63"/>
                    <w:ind w:left="2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募集资金已累计使用</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108,035.38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万元，利息收入</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1,113.50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万元，余额为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26,116.08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xbxContent>
            </v:textbox>
          </v:shape>
        </w:pict>
      </w:r>
      <w:r>
        <w:rPr>
          <w:rFonts w:ascii="宋体" w:hAnsi="宋体" w:cs="宋体" w:eastAsia="宋体" w:hint="default"/>
          <w:position w:val="-44"/>
          <w:sz w:val="20"/>
          <w:szCs w:val="20"/>
        </w:rPr>
      </w:r>
    </w:p>
    <w:p>
      <w:pPr>
        <w:spacing w:line="240" w:lineRule="auto" w:before="8"/>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）募集资金承诺项目情况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50"/>
        <w:gridCol w:w="738"/>
        <w:gridCol w:w="722"/>
        <w:gridCol w:w="718"/>
        <w:gridCol w:w="716"/>
        <w:gridCol w:w="703"/>
        <w:gridCol w:w="735"/>
        <w:gridCol w:w="716"/>
        <w:gridCol w:w="719"/>
        <w:gridCol w:w="718"/>
        <w:gridCol w:w="718"/>
        <w:gridCol w:w="711"/>
      </w:tblGrid>
      <w:tr>
        <w:trPr>
          <w:trHeight w:val="1650"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369" w:right="99" w:hanging="270"/>
              <w:jc w:val="left"/>
              <w:rPr>
                <w:rFonts w:ascii="宋体" w:hAnsi="宋体" w:cs="宋体" w:eastAsia="宋体" w:hint="default"/>
                <w:sz w:val="18"/>
                <w:szCs w:val="18"/>
              </w:rPr>
            </w:pPr>
            <w:r>
              <w:rPr>
                <w:rFonts w:ascii="宋体" w:hAnsi="宋体" w:cs="宋体" w:eastAsia="宋体" w:hint="default"/>
                <w:sz w:val="18"/>
                <w:szCs w:val="18"/>
              </w:rPr>
              <w:t>承诺投资项目和超 募资金投向</w:t>
            </w:r>
          </w:p>
        </w:tc>
        <w:tc>
          <w:tcPr>
            <w:tcW w:w="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2" w:lineRule="auto"/>
              <w:ind w:left="63" w:right="62" w:firstLine="3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 分变更</w:t>
            </w:r>
            <w:r>
              <w:rPr>
                <w:rFonts w:ascii="Times New Roman" w:hAnsi="Times New Roman" w:cs="Times New Roman" w:eastAsia="Times New Roman" w:hint="default"/>
                <w:sz w:val="18"/>
                <w:szCs w:val="18"/>
              </w:rPr>
              <w:t>)</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3" w:right="86"/>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79" w:right="87"/>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 投资总 额</w:t>
            </w:r>
            <w:r>
              <w:rPr>
                <w:rFonts w:ascii="Times New Roman" w:hAnsi="Times New Roman" w:cs="Times New Roman" w:eastAsia="Times New Roman" w:hint="default"/>
                <w:sz w:val="18"/>
                <w:szCs w:val="18"/>
              </w:rPr>
              <w:t>(1)</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0" w:right="83"/>
              <w:jc w:val="both"/>
              <w:rPr>
                <w:rFonts w:ascii="宋体" w:hAnsi="宋体" w:cs="宋体" w:eastAsia="宋体" w:hint="default"/>
                <w:sz w:val="18"/>
                <w:szCs w:val="18"/>
              </w:rPr>
            </w:pPr>
            <w:r>
              <w:rPr>
                <w:rFonts w:ascii="宋体" w:hAnsi="宋体" w:cs="宋体" w:eastAsia="宋体" w:hint="default"/>
                <w:sz w:val="18"/>
                <w:szCs w:val="18"/>
              </w:rPr>
              <w:t>本报告 期投入 金额</w:t>
            </w:r>
          </w:p>
        </w:tc>
        <w:tc>
          <w:tcPr>
            <w:tcW w:w="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2" w:right="68"/>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2" w:right="70" w:firstLine="1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w:t>
            </w:r>
            <w:r>
              <w:rPr>
                <w:rFonts w:ascii="Times New Roman" w:hAnsi="Times New Roman" w:cs="Times New Roman" w:eastAsia="Times New Roman" w:hint="default"/>
                <w:sz w:val="18"/>
                <w:szCs w:val="18"/>
              </w:rPr>
              <w:t>(3)</w:t>
            </w:r>
          </w:p>
          <w:p>
            <w:pPr>
              <w:pStyle w:val="TableParagraph"/>
              <w:spacing w:line="240" w:lineRule="auto"/>
              <w:ind w:left="43"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9" w:right="84"/>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2" w:right="84"/>
              <w:jc w:val="both"/>
              <w:rPr>
                <w:rFonts w:ascii="宋体" w:hAnsi="宋体" w:cs="宋体" w:eastAsia="宋体" w:hint="default"/>
                <w:sz w:val="18"/>
                <w:szCs w:val="18"/>
              </w:rPr>
            </w:pPr>
            <w:r>
              <w:rPr>
                <w:rFonts w:ascii="宋体" w:hAnsi="宋体" w:cs="宋体" w:eastAsia="宋体" w:hint="default"/>
                <w:sz w:val="18"/>
                <w:szCs w:val="18"/>
              </w:rPr>
              <w:t>本报告 期实现 的效益</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1" w:right="84"/>
              <w:jc w:val="center"/>
              <w:rPr>
                <w:rFonts w:ascii="宋体" w:hAnsi="宋体" w:cs="宋体" w:eastAsia="宋体" w:hint="default"/>
                <w:sz w:val="18"/>
                <w:szCs w:val="18"/>
              </w:rPr>
            </w:pPr>
            <w:r>
              <w:rPr>
                <w:rFonts w:ascii="宋体" w:hAnsi="宋体" w:cs="宋体" w:eastAsia="宋体" w:hint="default"/>
                <w:sz w:val="18"/>
                <w:szCs w:val="18"/>
              </w:rPr>
              <w:t>截止报 告期末 累计实 现的效 益</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1" w:right="84"/>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0" w:right="79"/>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2" w:hRule="exact"/>
        </w:trPr>
        <w:tc>
          <w:tcPr>
            <w:tcW w:w="956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26" w:hRule="exact"/>
        </w:trPr>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8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．移动网络新游戏 研发项目</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40,816</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40,816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8,604.64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20,641.5</w:t>
            </w:r>
          </w:p>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z w:val="18"/>
              </w:rPr>
              <w:t>8</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50.57%</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8"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2,499.94</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2,499.94</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8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．网页游戏新产品 研发项目</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19,445</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19,445</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19,445</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100.00%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8"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2"/>
                <w:sz w:val="18"/>
              </w:rPr>
              <w:t>858.11</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2"/>
                <w:sz w:val="18"/>
              </w:rPr>
              <w:t>858.11</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8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．客户端网络代理 项目</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17,903</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17,903</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1,762.4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14,676.4</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81.98%</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8"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1,712.73</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1,712.73</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85"/>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．移动网络游戏代 理项目</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50,903</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19,588.5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438.34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19,588.5</w:t>
            </w:r>
          </w:p>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z w:val="18"/>
              </w:rPr>
              <w:t>6</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100.00%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8"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8,404.5</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8,404.5</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87"/>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．网页游戏代理项 目</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3,970.96</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3,970.96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3,970.96</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100.00%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28"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-0.21</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-0.21</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85"/>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．互联网金融领域 资产收购项目</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0</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31,314.4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29,712.8</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right"/>
              <w:rPr>
                <w:rFonts w:ascii="Times New Roman" w:hAnsi="Times New Roman" w:cs="Times New Roman" w:eastAsia="Times New Roman" w:hint="default"/>
                <w:sz w:val="18"/>
                <w:szCs w:val="18"/>
              </w:rPr>
            </w:pPr>
            <w:r>
              <w:rPr>
                <w:rFonts w:ascii="Times New Roman"/>
                <w:sz w:val="18"/>
              </w:rPr>
              <w:t>29,712.8</w:t>
            </w:r>
          </w:p>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z w:val="18"/>
              </w:rPr>
              <w:t>7</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94.89%</w:t>
            </w:r>
          </w:p>
        </w:tc>
        <w:tc>
          <w:tcPr>
            <w:tcW w:w="716" w:type="dxa"/>
            <w:tcBorders>
              <w:top w:val="single" w:sz="4" w:space="0" w:color="000000"/>
              <w:left w:val="single" w:sz="4" w:space="0" w:color="000000"/>
              <w:bottom w:val="single" w:sz="4" w:space="0" w:color="000000"/>
              <w:right w:val="single" w:sz="4" w:space="0" w:color="000000"/>
            </w:tcBorders>
          </w:tcPr>
          <w:p>
            <w:pP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405.01</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405.01</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02"/>
              <w:jc w:val="right"/>
              <w:rPr>
                <w:rFonts w:ascii="Times New Roman" w:hAnsi="Times New Roman" w:cs="Times New Roman" w:eastAsia="Times New Roman" w:hint="default"/>
                <w:sz w:val="18"/>
                <w:szCs w:val="18"/>
              </w:rPr>
            </w:pPr>
            <w:r>
              <w:rPr>
                <w:rFonts w:ascii="Times New Roman"/>
                <w:sz w:val="18"/>
              </w:rPr>
              <w:t>--</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133,037.</w:t>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sz w:val="18"/>
              </w:rPr>
              <w:t>96</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133,037.</w:t>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sz w:val="18"/>
              </w:rPr>
              <w:t>96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40,518.2</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right"/>
              <w:rPr>
                <w:rFonts w:ascii="Times New Roman" w:hAnsi="Times New Roman" w:cs="Times New Roman" w:eastAsia="Times New Roman" w:hint="default"/>
                <w:sz w:val="18"/>
                <w:szCs w:val="18"/>
              </w:rPr>
            </w:pPr>
            <w:r>
              <w:rPr>
                <w:rFonts w:ascii="Times New Roman"/>
                <w:sz w:val="18"/>
              </w:rPr>
              <w:t>108,035.</w:t>
            </w:r>
          </w:p>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z w:val="18"/>
              </w:rPr>
              <w:t>37</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w:t>
            </w: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13,880.0</w:t>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sz w:val="18"/>
              </w:rPr>
              <w:t>8</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13,880.0</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8</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86"/>
              <w:jc w:val="right"/>
              <w:rPr>
                <w:rFonts w:ascii="Times New Roman" w:hAnsi="Times New Roman" w:cs="Times New Roman" w:eastAsia="Times New Roman" w:hint="default"/>
                <w:sz w:val="18"/>
                <w:szCs w:val="18"/>
              </w:rPr>
            </w:pPr>
            <w:r>
              <w:rPr>
                <w:rFonts w:ascii="Times New Roman"/>
                <w:sz w:val="18"/>
              </w:rPr>
              <w:t>--</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87"/>
              <w:jc w:val="right"/>
              <w:rPr>
                <w:rFonts w:ascii="Times New Roman" w:hAnsi="Times New Roman" w:cs="Times New Roman" w:eastAsia="Times New Roman" w:hint="default"/>
                <w:sz w:val="18"/>
                <w:szCs w:val="18"/>
              </w:rPr>
            </w:pPr>
            <w:r>
              <w:rPr>
                <w:rFonts w:ascii="Times New Roman"/>
                <w:sz w:val="18"/>
              </w:rPr>
              <w:t>--</w:t>
            </w:r>
          </w:p>
        </w:tc>
      </w:tr>
      <w:tr>
        <w:trPr>
          <w:trHeight w:val="397" w:hRule="exact"/>
        </w:trPr>
        <w:tc>
          <w:tcPr>
            <w:tcW w:w="956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738"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9"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02"/>
              <w:jc w:val="right"/>
              <w:rPr>
                <w:rFonts w:ascii="Times New Roman" w:hAnsi="Times New Roman" w:cs="Times New Roman" w:eastAsia="Times New Roman" w:hint="default"/>
                <w:sz w:val="18"/>
                <w:szCs w:val="18"/>
              </w:rPr>
            </w:pPr>
            <w:r>
              <w:rPr>
                <w:rFonts w:ascii="Times New Roman"/>
                <w:sz w:val="18"/>
              </w:rPr>
              <w:t>--</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4"/>
              <w:jc w:val="right"/>
              <w:rPr>
                <w:rFonts w:ascii="Times New Roman" w:hAnsi="Times New Roman" w:cs="Times New Roman" w:eastAsia="Times New Roman" w:hint="default"/>
                <w:sz w:val="18"/>
                <w:szCs w:val="18"/>
              </w:rPr>
            </w:pPr>
            <w:r>
              <w:rPr>
                <w:rFonts w:ascii="Times New Roman"/>
                <w:sz w:val="18"/>
              </w:rPr>
              <w:t>133,037.</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4"/>
              <w:jc w:val="right"/>
              <w:rPr>
                <w:rFonts w:ascii="Times New Roman" w:hAnsi="Times New Roman" w:cs="Times New Roman" w:eastAsia="Times New Roman" w:hint="default"/>
                <w:sz w:val="18"/>
                <w:szCs w:val="18"/>
              </w:rPr>
            </w:pPr>
            <w:r>
              <w:rPr>
                <w:rFonts w:ascii="Times New Roman"/>
                <w:sz w:val="18"/>
              </w:rPr>
              <w:t>133,037.</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40,518.2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9" w:right="0"/>
              <w:jc w:val="left"/>
              <w:rPr>
                <w:rFonts w:ascii="Times New Roman" w:hAnsi="Times New Roman" w:cs="Times New Roman" w:eastAsia="Times New Roman" w:hint="default"/>
                <w:sz w:val="18"/>
                <w:szCs w:val="18"/>
              </w:rPr>
            </w:pPr>
            <w:r>
              <w:rPr>
                <w:rFonts w:ascii="Times New Roman"/>
                <w:sz w:val="18"/>
              </w:rPr>
              <w:t>108,035</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9"/>
              <w:jc w:val="center"/>
              <w:rPr>
                <w:rFonts w:ascii="Times New Roman" w:hAnsi="Times New Roman" w:cs="Times New Roman" w:eastAsia="Times New Roman" w:hint="default"/>
                <w:sz w:val="18"/>
                <w:szCs w:val="18"/>
              </w:rPr>
            </w:pPr>
            <w:r>
              <w:rPr>
                <w:rFonts w:ascii="Times New Roman"/>
                <w:sz w:val="18"/>
              </w:rPr>
              <w:t>--</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4"/>
              <w:jc w:val="center"/>
              <w:rPr>
                <w:rFonts w:ascii="Times New Roman" w:hAnsi="Times New Roman" w:cs="Times New Roman" w:eastAsia="Times New Roman" w:hint="default"/>
                <w:sz w:val="18"/>
                <w:szCs w:val="18"/>
              </w:rPr>
            </w:pPr>
            <w:r>
              <w:rPr>
                <w:rFonts w:ascii="Times New Roman"/>
                <w:sz w:val="18"/>
              </w:rPr>
              <w:t>--</w:t>
            </w: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13,880.0</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13,880.0</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94"/>
              <w:jc w:val="right"/>
              <w:rPr>
                <w:rFonts w:ascii="Times New Roman" w:hAnsi="Times New Roman" w:cs="Times New Roman" w:eastAsia="Times New Roman" w:hint="default"/>
                <w:sz w:val="18"/>
                <w:szCs w:val="18"/>
              </w:rPr>
            </w:pPr>
            <w:r>
              <w:rPr>
                <w:rFonts w:ascii="Times New Roman"/>
                <w:sz w:val="18"/>
              </w:rPr>
              <w:t>--</w:t>
            </w:r>
          </w:p>
        </w:tc>
        <w:tc>
          <w:tcPr>
            <w:tcW w:w="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89"/>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50"/>
        <w:gridCol w:w="738"/>
        <w:gridCol w:w="719"/>
        <w:gridCol w:w="718"/>
        <w:gridCol w:w="715"/>
        <w:gridCol w:w="670"/>
        <w:gridCol w:w="768"/>
        <w:gridCol w:w="716"/>
        <w:gridCol w:w="719"/>
        <w:gridCol w:w="718"/>
        <w:gridCol w:w="718"/>
        <w:gridCol w:w="714"/>
      </w:tblGrid>
      <w:tr>
        <w:trPr>
          <w:trHeight w:val="362"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3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96</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96</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5</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12" w:right="0"/>
              <w:jc w:val="left"/>
              <w:rPr>
                <w:rFonts w:ascii="Times New Roman" w:hAnsi="Times New Roman" w:cs="Times New Roman" w:eastAsia="Times New Roman" w:hint="default"/>
                <w:sz w:val="18"/>
                <w:szCs w:val="18"/>
              </w:rPr>
            </w:pPr>
            <w:r>
              <w:rPr>
                <w:rFonts w:ascii="Times New Roman"/>
                <w:sz w:val="18"/>
              </w:rPr>
              <w:t>.37</w:t>
            </w:r>
          </w:p>
        </w:tc>
        <w:tc>
          <w:tcPr>
            <w:tcW w:w="7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8</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8</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1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3"/>
              <w:jc w:val="left"/>
              <w:rPr>
                <w:rFonts w:ascii="宋体" w:hAnsi="宋体" w:cs="宋体" w:eastAsia="宋体" w:hint="default"/>
                <w:sz w:val="18"/>
                <w:szCs w:val="18"/>
              </w:rPr>
            </w:pPr>
            <w:r>
              <w:rPr>
                <w:rFonts w:ascii="宋体" w:hAnsi="宋体" w:cs="宋体" w:eastAsia="宋体" w:hint="default"/>
                <w:sz w:val="18"/>
                <w:szCs w:val="18"/>
              </w:rPr>
              <w:t>未达到计划进度或 预计收益的情况和 原因（分具体项目）</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未披露募集资金的效益指标，不适用</w:t>
            </w:r>
          </w:p>
        </w:tc>
      </w:tr>
      <w:tr>
        <w:trPr>
          <w:trHeight w:val="714"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77"/>
              <w:jc w:val="left"/>
              <w:rPr>
                <w:rFonts w:ascii="宋体" w:hAnsi="宋体" w:cs="宋体" w:eastAsia="宋体" w:hint="default"/>
                <w:sz w:val="18"/>
                <w:szCs w:val="18"/>
              </w:rPr>
            </w:pPr>
            <w:r>
              <w:rPr>
                <w:rFonts w:ascii="宋体" w:hAnsi="宋体" w:cs="宋体" w:eastAsia="宋体" w:hint="default"/>
                <w:sz w:val="18"/>
                <w:szCs w:val="18"/>
              </w:rPr>
              <w:t>项目可行性发生重 大变化的情况说明</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165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5"/>
              <w:ind w:left="22" w:right="22"/>
              <w:jc w:val="left"/>
              <w:rPr>
                <w:rFonts w:ascii="宋体" w:hAnsi="宋体" w:cs="宋体" w:eastAsia="宋体" w:hint="default"/>
                <w:sz w:val="18"/>
                <w:szCs w:val="18"/>
              </w:rPr>
            </w:pPr>
            <w:r>
              <w:rPr>
                <w:rFonts w:ascii="宋体" w:hAnsi="宋体" w:cs="宋体" w:eastAsia="宋体" w:hint="default"/>
                <w:spacing w:val="-3"/>
                <w:sz w:val="18"/>
                <w:szCs w:val="18"/>
              </w:rPr>
              <w:t>超募资金的金额、用</w:t>
            </w:r>
            <w:r>
              <w:rPr>
                <w:rFonts w:ascii="宋体" w:hAnsi="宋体" w:cs="宋体" w:eastAsia="宋体" w:hint="default"/>
                <w:sz w:val="18"/>
                <w:szCs w:val="18"/>
              </w:rPr>
              <w:t> 途及使用进展情况</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50" w:type="dxa"/>
            <w:vMerge/>
            <w:tcBorders>
              <w:left w:val="single" w:sz="4" w:space="0" w:color="000000"/>
              <w:bottom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2"/>
                <w:szCs w:val="22"/>
              </w:rPr>
            </w:pPr>
          </w:p>
          <w:p>
            <w:pPr>
              <w:pStyle w:val="TableParagraph"/>
              <w:spacing w:line="316" w:lineRule="auto"/>
              <w:ind w:left="22" w:right="177"/>
              <w:jc w:val="left"/>
              <w:rPr>
                <w:rFonts w:ascii="宋体" w:hAnsi="宋体" w:cs="宋体" w:eastAsia="宋体" w:hint="default"/>
                <w:sz w:val="18"/>
                <w:szCs w:val="18"/>
              </w:rPr>
            </w:pPr>
            <w:r>
              <w:rPr>
                <w:rFonts w:ascii="宋体" w:hAnsi="宋体" w:cs="宋体" w:eastAsia="宋体" w:hint="default"/>
                <w:sz w:val="18"/>
                <w:szCs w:val="18"/>
              </w:rPr>
              <w:t>募集资金投资项目 实施地点变更情况</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50" w:type="dxa"/>
            <w:vMerge/>
            <w:tcBorders>
              <w:left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50" w:type="dxa"/>
            <w:vMerge/>
            <w:tcBorders>
              <w:left w:val="single" w:sz="4" w:space="0" w:color="000000"/>
              <w:bottom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2"/>
                <w:szCs w:val="22"/>
              </w:rPr>
            </w:pPr>
          </w:p>
          <w:p>
            <w:pPr>
              <w:pStyle w:val="TableParagraph"/>
              <w:spacing w:line="316" w:lineRule="auto"/>
              <w:ind w:left="22" w:right="177"/>
              <w:jc w:val="left"/>
              <w:rPr>
                <w:rFonts w:ascii="宋体" w:hAnsi="宋体" w:cs="宋体" w:eastAsia="宋体" w:hint="default"/>
                <w:sz w:val="18"/>
                <w:szCs w:val="18"/>
              </w:rPr>
            </w:pPr>
            <w:r>
              <w:rPr>
                <w:rFonts w:ascii="宋体" w:hAnsi="宋体" w:cs="宋体" w:eastAsia="宋体" w:hint="default"/>
                <w:sz w:val="18"/>
                <w:szCs w:val="18"/>
              </w:rPr>
              <w:t>募集资金投资项目 实施方式调整情况</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50" w:type="dxa"/>
            <w:vMerge/>
            <w:tcBorders>
              <w:left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50" w:type="dxa"/>
            <w:vMerge/>
            <w:tcBorders>
              <w:left w:val="single" w:sz="4" w:space="0" w:color="000000"/>
              <w:bottom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9" w:lineRule="auto"/>
              <w:ind w:left="22" w:right="177"/>
              <w:jc w:val="both"/>
              <w:rPr>
                <w:rFonts w:ascii="宋体" w:hAnsi="宋体" w:cs="宋体" w:eastAsia="宋体" w:hint="default"/>
                <w:sz w:val="18"/>
                <w:szCs w:val="18"/>
              </w:rPr>
            </w:pPr>
            <w:r>
              <w:rPr>
                <w:rFonts w:ascii="宋体" w:hAnsi="宋体" w:cs="宋体" w:eastAsia="宋体" w:hint="default"/>
                <w:sz w:val="18"/>
                <w:szCs w:val="18"/>
              </w:rPr>
              <w:t>募集资金投资项目 先期投入及置换情 况</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026" w:hRule="exact"/>
        </w:trPr>
        <w:tc>
          <w:tcPr>
            <w:tcW w:w="1650" w:type="dxa"/>
            <w:vMerge/>
            <w:tcBorders>
              <w:left w:val="single" w:sz="4" w:space="0" w:color="000000"/>
              <w:bottom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公司五个募投项目在履行内部程序后，自实际实施之日起至</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日，实际资金预先投入金</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额合计为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702,836,729.29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元，公司募集资金到位后对其进行了置换，置换金额为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678,804,400.78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402" w:hRule="exact"/>
        </w:trPr>
        <w:tc>
          <w:tcPr>
            <w:tcW w:w="165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2" w:right="177"/>
              <w:jc w:val="both"/>
              <w:rPr>
                <w:rFonts w:ascii="宋体" w:hAnsi="宋体" w:cs="宋体" w:eastAsia="宋体" w:hint="default"/>
                <w:sz w:val="18"/>
                <w:szCs w:val="18"/>
              </w:rPr>
            </w:pPr>
            <w:r>
              <w:rPr>
                <w:rFonts w:ascii="宋体" w:hAnsi="宋体" w:cs="宋体" w:eastAsia="宋体" w:hint="default"/>
                <w:sz w:val="18"/>
                <w:szCs w:val="18"/>
              </w:rPr>
              <w:t>用闲置募集资金暂 时补充流动资金情 况</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50" w:type="dxa"/>
            <w:vMerge/>
            <w:tcBorders>
              <w:left w:val="single" w:sz="4" w:space="0" w:color="000000"/>
              <w:bottom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5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2" w:right="177"/>
              <w:jc w:val="both"/>
              <w:rPr>
                <w:rFonts w:ascii="宋体" w:hAnsi="宋体" w:cs="宋体" w:eastAsia="宋体" w:hint="default"/>
                <w:sz w:val="18"/>
                <w:szCs w:val="18"/>
              </w:rPr>
            </w:pPr>
            <w:r>
              <w:rPr>
                <w:rFonts w:ascii="宋体" w:hAnsi="宋体" w:cs="宋体" w:eastAsia="宋体" w:hint="default"/>
                <w:sz w:val="18"/>
                <w:szCs w:val="18"/>
              </w:rPr>
              <w:t>项目实施出现募集 资金结余的金额及 原因</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50" w:type="dxa"/>
            <w:vMerge/>
            <w:tcBorders>
              <w:left w:val="single" w:sz="4" w:space="0" w:color="000000"/>
              <w:bottom w:val="single" w:sz="4" w:space="0" w:color="000000"/>
              <w:right w:val="single" w:sz="4" w:space="0" w:color="000000"/>
            </w:tcBorders>
            <w:shd w:val="clear" w:color="auto" w:fill="D2D2D2"/>
          </w:tcPr>
          <w:p>
            <w:pPr/>
          </w:p>
        </w:tc>
        <w:tc>
          <w:tcPr>
            <w:tcW w:w="7912" w:type="dxa"/>
            <w:gridSpan w:val="11"/>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77"/>
              <w:jc w:val="left"/>
              <w:rPr>
                <w:rFonts w:ascii="宋体" w:hAnsi="宋体" w:cs="宋体" w:eastAsia="宋体" w:hint="default"/>
                <w:sz w:val="18"/>
                <w:szCs w:val="18"/>
              </w:rPr>
            </w:pPr>
            <w:r>
              <w:rPr>
                <w:rFonts w:ascii="宋体" w:hAnsi="宋体" w:cs="宋体" w:eastAsia="宋体" w:hint="default"/>
                <w:sz w:val="18"/>
                <w:szCs w:val="18"/>
              </w:rPr>
              <w:t>尚未使用的募集资 金用途及去向</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日，募集资金余额为</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26,106.54</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万元，全部为银行存款，其中以现金宝方式存放</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的金额为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25,780.00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1026" w:hRule="exact"/>
        </w:trPr>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75"/>
              <w:jc w:val="both"/>
              <w:rPr>
                <w:rFonts w:ascii="宋体" w:hAnsi="宋体" w:cs="宋体" w:eastAsia="宋体" w:hint="default"/>
                <w:sz w:val="18"/>
                <w:szCs w:val="18"/>
              </w:rPr>
            </w:pPr>
            <w:r>
              <w:rPr>
                <w:rFonts w:ascii="宋体" w:hAnsi="宋体" w:cs="宋体" w:eastAsia="宋体" w:hint="default"/>
                <w:sz w:val="18"/>
                <w:szCs w:val="18"/>
              </w:rPr>
              <w:t>募集资金使用及披 露中存在的问题或 其他情况</w:t>
            </w:r>
          </w:p>
        </w:tc>
        <w:tc>
          <w:tcPr>
            <w:tcW w:w="791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）募集资金变更项目情况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958"/>
        <w:gridCol w:w="958"/>
        <w:gridCol w:w="956"/>
        <w:gridCol w:w="959"/>
        <w:gridCol w:w="956"/>
        <w:gridCol w:w="956"/>
        <w:gridCol w:w="956"/>
        <w:gridCol w:w="957"/>
        <w:gridCol w:w="958"/>
        <w:gridCol w:w="956"/>
      </w:tblGrid>
      <w:tr>
        <w:trPr>
          <w:trHeight w:val="1338" w:hRule="exact"/>
        </w:trPr>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82" w:right="23" w:hanging="360"/>
              <w:jc w:val="left"/>
              <w:rPr>
                <w:rFonts w:ascii="宋体" w:hAnsi="宋体" w:cs="宋体" w:eastAsia="宋体" w:hint="default"/>
                <w:sz w:val="18"/>
                <w:szCs w:val="18"/>
              </w:rPr>
            </w:pPr>
            <w:r>
              <w:rPr>
                <w:rFonts w:ascii="宋体" w:hAnsi="宋体" w:cs="宋体" w:eastAsia="宋体" w:hint="default"/>
                <w:sz w:val="18"/>
                <w:szCs w:val="18"/>
              </w:rPr>
              <w:t>变更后的项 目</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04" w:right="23" w:hanging="180"/>
              <w:jc w:val="left"/>
              <w:rPr>
                <w:rFonts w:ascii="宋体" w:hAnsi="宋体" w:cs="宋体" w:eastAsia="宋体" w:hint="default"/>
                <w:sz w:val="18"/>
                <w:szCs w:val="18"/>
              </w:rPr>
            </w:pPr>
            <w:r>
              <w:rPr>
                <w:rFonts w:ascii="宋体" w:hAnsi="宋体" w:cs="宋体" w:eastAsia="宋体" w:hint="default"/>
                <w:sz w:val="18"/>
                <w:szCs w:val="18"/>
              </w:rPr>
              <w:t>对应的原承 诺项目</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3"/>
              <w:jc w:val="center"/>
              <w:rPr>
                <w:rFonts w:ascii="宋体" w:hAnsi="宋体" w:cs="宋体" w:eastAsia="宋体" w:hint="default"/>
                <w:sz w:val="18"/>
                <w:szCs w:val="18"/>
              </w:rPr>
            </w:pPr>
            <w:r>
              <w:rPr>
                <w:rFonts w:ascii="宋体" w:hAnsi="宋体" w:cs="宋体" w:eastAsia="宋体" w:hint="default"/>
                <w:sz w:val="18"/>
                <w:szCs w:val="18"/>
              </w:rPr>
              <w:t>变更后项目 拟投入募集 资金总额</w:t>
            </w:r>
          </w:p>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w:t>
            </w:r>
          </w:p>
        </w:tc>
        <w:tc>
          <w:tcPr>
            <w:tcW w:w="9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 w:right="22"/>
              <w:jc w:val="left"/>
              <w:rPr>
                <w:rFonts w:ascii="宋体" w:hAnsi="宋体" w:cs="宋体" w:eastAsia="宋体" w:hint="default"/>
                <w:sz w:val="18"/>
                <w:szCs w:val="18"/>
              </w:rPr>
            </w:pPr>
            <w:r>
              <w:rPr>
                <w:rFonts w:ascii="宋体" w:hAnsi="宋体" w:cs="宋体" w:eastAsia="宋体" w:hint="default"/>
                <w:sz w:val="18"/>
                <w:szCs w:val="18"/>
              </w:rPr>
              <w:t>本报告期实 际投入金额</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截至期末实 际累计投入 金额</w:t>
            </w:r>
            <w:r>
              <w:rPr>
                <w:rFonts w:ascii="Times New Roman" w:hAnsi="Times New Roman" w:cs="Times New Roman" w:eastAsia="Times New Roman" w:hint="default"/>
                <w:sz w:val="18"/>
                <w:szCs w:val="18"/>
              </w:rPr>
              <w:t>(2)</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38" w:lineRule="auto"/>
              <w:ind w:left="22"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资进度 </w:t>
            </w:r>
            <w:r>
              <w:rPr>
                <w:rFonts w:ascii="Times New Roman" w:hAnsi="Times New Roman" w:cs="Times New Roman" w:eastAsia="Times New Roman" w:hint="default"/>
                <w:sz w:val="18"/>
                <w:szCs w:val="18"/>
              </w:rPr>
              <w:t>(3)=(2)/(1)</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23"/>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3" w:right="21" w:hanging="90"/>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02" w:right="23" w:hanging="180"/>
              <w:jc w:val="left"/>
              <w:rPr>
                <w:rFonts w:ascii="宋体" w:hAnsi="宋体" w:cs="宋体" w:eastAsia="宋体" w:hint="default"/>
                <w:sz w:val="18"/>
                <w:szCs w:val="18"/>
              </w:rPr>
            </w:pPr>
            <w:r>
              <w:rPr>
                <w:rFonts w:ascii="宋体" w:hAnsi="宋体" w:cs="宋体" w:eastAsia="宋体" w:hint="default"/>
                <w:sz w:val="18"/>
                <w:szCs w:val="18"/>
              </w:rPr>
              <w:t>是否达到预 计效益</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3"/>
              <w:jc w:val="center"/>
              <w:rPr>
                <w:rFonts w:ascii="宋体" w:hAnsi="宋体" w:cs="宋体" w:eastAsia="宋体" w:hint="default"/>
                <w:sz w:val="18"/>
                <w:szCs w:val="18"/>
              </w:rPr>
            </w:pPr>
            <w:r>
              <w:rPr>
                <w:rFonts w:ascii="宋体" w:hAnsi="宋体" w:cs="宋体" w:eastAsia="宋体" w:hint="default"/>
                <w:sz w:val="18"/>
                <w:szCs w:val="18"/>
              </w:rPr>
              <w:t>变更后的项 目可行性是 否发生重大 变化</w:t>
            </w:r>
          </w:p>
        </w:tc>
      </w:tr>
      <w:tr>
        <w:trPr>
          <w:trHeight w:val="402"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互联网金融</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移动网络游</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 w:right="0"/>
              <w:jc w:val="left"/>
              <w:rPr>
                <w:rFonts w:ascii="Times New Roman" w:hAnsi="Times New Roman" w:cs="Times New Roman" w:eastAsia="Times New Roman" w:hint="default"/>
                <w:sz w:val="18"/>
                <w:szCs w:val="18"/>
              </w:rPr>
            </w:pPr>
            <w:r>
              <w:rPr>
                <w:rFonts w:ascii="Times New Roman"/>
                <w:sz w:val="18"/>
              </w:rPr>
              <w:t>31,314.44</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 w:right="0"/>
              <w:jc w:val="left"/>
              <w:rPr>
                <w:rFonts w:ascii="Times New Roman" w:hAnsi="Times New Roman" w:cs="Times New Roman" w:eastAsia="Times New Roman" w:hint="default"/>
                <w:sz w:val="18"/>
                <w:szCs w:val="18"/>
              </w:rPr>
            </w:pPr>
            <w:r>
              <w:rPr>
                <w:rFonts w:ascii="Times New Roman"/>
                <w:sz w:val="18"/>
              </w:rPr>
              <w:t>29,170.95</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 w:right="0"/>
              <w:jc w:val="left"/>
              <w:rPr>
                <w:rFonts w:ascii="Times New Roman" w:hAnsi="Times New Roman" w:cs="Times New Roman" w:eastAsia="Times New Roman" w:hint="default"/>
                <w:sz w:val="18"/>
                <w:szCs w:val="18"/>
              </w:rPr>
            </w:pPr>
            <w:r>
              <w:rPr>
                <w:rFonts w:ascii="Times New Roman"/>
                <w:sz w:val="18"/>
              </w:rPr>
              <w:t>29,170.95</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8" w:right="0"/>
              <w:jc w:val="left"/>
              <w:rPr>
                <w:rFonts w:ascii="Times New Roman" w:hAnsi="Times New Roman" w:cs="Times New Roman" w:eastAsia="Times New Roman" w:hint="default"/>
                <w:sz w:val="18"/>
                <w:szCs w:val="18"/>
              </w:rPr>
            </w:pPr>
            <w:r>
              <w:rPr>
                <w:rFonts w:ascii="Times New Roman"/>
                <w:sz w:val="18"/>
              </w:rPr>
              <w:t>94.89%</w:t>
            </w:r>
          </w:p>
        </w:tc>
        <w:tc>
          <w:tcPr>
            <w:tcW w:w="956" w:type="dxa"/>
            <w:tcBorders>
              <w:top w:val="single" w:sz="4" w:space="0" w:color="000000"/>
              <w:left w:val="single" w:sz="4" w:space="0" w:color="000000"/>
              <w:bottom w:val="single" w:sz="4" w:space="0" w:color="000000"/>
              <w:right w:val="single" w:sz="4" w:space="0" w:color="000000"/>
            </w:tcBorders>
          </w:tcPr>
          <w:p>
            <w:pP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9" w:right="0"/>
              <w:jc w:val="left"/>
              <w:rPr>
                <w:rFonts w:ascii="Times New Roman" w:hAnsi="Times New Roman" w:cs="Times New Roman" w:eastAsia="Times New Roman" w:hint="default"/>
                <w:sz w:val="18"/>
                <w:szCs w:val="18"/>
              </w:rPr>
            </w:pPr>
            <w:r>
              <w:rPr>
                <w:rFonts w:ascii="Times New Roman"/>
                <w:sz w:val="18"/>
              </w:rPr>
              <w:t>405.01</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958"/>
        <w:gridCol w:w="958"/>
        <w:gridCol w:w="956"/>
        <w:gridCol w:w="959"/>
        <w:gridCol w:w="956"/>
        <w:gridCol w:w="956"/>
        <w:gridCol w:w="956"/>
        <w:gridCol w:w="957"/>
        <w:gridCol w:w="958"/>
        <w:gridCol w:w="956"/>
      </w:tblGrid>
      <w:tr>
        <w:trPr>
          <w:trHeight w:val="674"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领域资产收 购项目</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戏代理项目</w:t>
            </w:r>
          </w:p>
        </w:tc>
        <w:tc>
          <w:tcPr>
            <w:tcW w:w="95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957"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 w:right="0"/>
              <w:jc w:val="left"/>
              <w:rPr>
                <w:rFonts w:ascii="Times New Roman" w:hAnsi="Times New Roman" w:cs="Times New Roman" w:eastAsia="Times New Roman" w:hint="default"/>
                <w:sz w:val="18"/>
                <w:szCs w:val="18"/>
              </w:rPr>
            </w:pPr>
            <w:r>
              <w:rPr>
                <w:rFonts w:ascii="Times New Roman"/>
                <w:sz w:val="18"/>
              </w:rPr>
              <w:t>31,314.44</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 w:right="0"/>
              <w:jc w:val="left"/>
              <w:rPr>
                <w:rFonts w:ascii="Times New Roman" w:hAnsi="Times New Roman" w:cs="Times New Roman" w:eastAsia="Times New Roman" w:hint="default"/>
                <w:sz w:val="18"/>
                <w:szCs w:val="18"/>
              </w:rPr>
            </w:pPr>
            <w:r>
              <w:rPr>
                <w:rFonts w:ascii="Times New Roman"/>
                <w:sz w:val="18"/>
              </w:rPr>
              <w:t>29,170.95</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 w:right="0"/>
              <w:jc w:val="left"/>
              <w:rPr>
                <w:rFonts w:ascii="Times New Roman" w:hAnsi="Times New Roman" w:cs="Times New Roman" w:eastAsia="Times New Roman" w:hint="default"/>
                <w:sz w:val="18"/>
                <w:szCs w:val="18"/>
              </w:rPr>
            </w:pPr>
            <w:r>
              <w:rPr>
                <w:rFonts w:ascii="Times New Roman"/>
                <w:sz w:val="18"/>
              </w:rPr>
              <w:t>29,170.95</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9" w:right="0"/>
              <w:jc w:val="left"/>
              <w:rPr>
                <w:rFonts w:ascii="Times New Roman" w:hAnsi="Times New Roman" w:cs="Times New Roman" w:eastAsia="Times New Roman" w:hint="default"/>
                <w:sz w:val="18"/>
                <w:szCs w:val="18"/>
              </w:rPr>
            </w:pPr>
            <w:r>
              <w:rPr>
                <w:rFonts w:ascii="Times New Roman"/>
                <w:sz w:val="18"/>
              </w:rPr>
              <w:t>405.01</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1962" w:hRule="exact"/>
        </w:trPr>
        <w:tc>
          <w:tcPr>
            <w:tcW w:w="287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2" w:right="21"/>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变更原因、决策程序及信息披露情况</w:t>
            </w:r>
            <w:r>
              <w:rPr>
                <w:rFonts w:ascii="宋体" w:hAnsi="宋体" w:cs="宋体" w:eastAsia="宋体" w:hint="default"/>
                <w:sz w:val="18"/>
                <w:szCs w:val="18"/>
              </w:rPr>
              <w:t> 说明</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21"/>
              <w:jc w:val="both"/>
              <w:rPr>
                <w:rFonts w:ascii="宋体" w:hAnsi="宋体" w:cs="宋体" w:eastAsia="宋体" w:hint="default"/>
                <w:sz w:val="18"/>
                <w:szCs w:val="18"/>
              </w:rPr>
            </w:pPr>
            <w:r>
              <w:rPr>
                <w:rFonts w:ascii="宋体" w:hAnsi="宋体" w:cs="宋体" w:eastAsia="宋体" w:hint="default"/>
                <w:sz w:val="18"/>
                <w:szCs w:val="18"/>
              </w:rPr>
              <w:t>根据公司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日，公司第二届第十一次董事会决议，决定将变更公司首次 公开发行部分募集资金投向，即终止实施</w:t>
            </w:r>
            <w:r>
              <w:rPr>
                <w:rFonts w:ascii="Times New Roman" w:hAnsi="Times New Roman" w:cs="Times New Roman" w:eastAsia="Times New Roman" w:hint="default"/>
                <w:sz w:val="18"/>
                <w:szCs w:val="18"/>
              </w:rPr>
              <w:t>“</w:t>
            </w:r>
            <w:r>
              <w:rPr>
                <w:rFonts w:ascii="宋体" w:hAnsi="宋体" w:cs="宋体" w:eastAsia="宋体" w:hint="default"/>
                <w:sz w:val="18"/>
                <w:szCs w:val="18"/>
              </w:rPr>
              <w:t>移动网络游戏代理项目</w:t>
            </w:r>
            <w:r>
              <w:rPr>
                <w:rFonts w:ascii="Times New Roman" w:hAnsi="Times New Roman" w:cs="Times New Roman" w:eastAsia="Times New Roman" w:hint="default"/>
                <w:sz w:val="18"/>
                <w:szCs w:val="18"/>
              </w:rPr>
              <w:t>”</w:t>
            </w:r>
            <w:r>
              <w:rPr>
                <w:rFonts w:ascii="宋体" w:hAnsi="宋体" w:cs="宋体" w:eastAsia="宋体" w:hint="default"/>
                <w:sz w:val="18"/>
                <w:szCs w:val="18"/>
              </w:rPr>
              <w:t>，该项目剩余募集 资金原投资移动网络游戏代理项目变更为投资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Lendinvest</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Limited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Yinker</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年第二次临时股东大会决议公告通过了《关于变更部分募集资</w:t>
            </w:r>
          </w:p>
          <w:p>
            <w:pPr>
              <w:pStyle w:val="TableParagraph"/>
              <w:spacing w:line="240" w:lineRule="auto" w:before="13"/>
              <w:ind w:left="23" w:right="0"/>
              <w:jc w:val="both"/>
              <w:rPr>
                <w:rFonts w:ascii="宋体" w:hAnsi="宋体" w:cs="宋体" w:eastAsia="宋体" w:hint="default"/>
                <w:sz w:val="18"/>
                <w:szCs w:val="18"/>
              </w:rPr>
            </w:pPr>
            <w:r>
              <w:rPr>
                <w:rFonts w:ascii="宋体" w:hAnsi="宋体" w:cs="宋体" w:eastAsia="宋体" w:hint="default"/>
                <w:sz w:val="18"/>
                <w:szCs w:val="18"/>
              </w:rPr>
              <w:t>金投向的议案</w:t>
            </w:r>
            <w:r>
              <w:rPr>
                <w:rFonts w:ascii="宋体" w:hAnsi="宋体" w:cs="宋体" w:eastAsia="宋体" w:hint="default"/>
                <w:spacing w:val="-90"/>
                <w:sz w:val="18"/>
                <w:szCs w:val="18"/>
              </w:rPr>
              <w:t>》</w: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移</w:t>
            </w:r>
            <w:r>
              <w:rPr>
                <w:rFonts w:ascii="宋体" w:hAnsi="宋体" w:cs="宋体" w:eastAsia="宋体" w:hint="default"/>
                <w:sz w:val="18"/>
                <w:szCs w:val="18"/>
              </w:rPr>
              <w:t>动网络游戏代理项目已投入募集资金</w:t>
            </w:r>
          </w:p>
          <w:p>
            <w:pPr>
              <w:pStyle w:val="TableParagraph"/>
              <w:spacing w:line="240" w:lineRule="auto" w:before="64"/>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19,588.56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r>
      <w:tr>
        <w:trPr>
          <w:trHeight w:val="714" w:hRule="exact"/>
        </w:trPr>
        <w:tc>
          <w:tcPr>
            <w:tcW w:w="287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37"/>
              <w:jc w:val="left"/>
              <w:rPr>
                <w:rFonts w:ascii="Times New Roman" w:hAnsi="Times New Roman" w:cs="Times New Roman" w:eastAsia="Times New Roman" w:hint="default"/>
                <w:sz w:val="18"/>
                <w:szCs w:val="18"/>
              </w:rPr>
            </w:pPr>
            <w:r>
              <w:rPr>
                <w:rFonts w:ascii="宋体" w:hAnsi="宋体" w:cs="宋体" w:eastAsia="宋体" w:hint="default"/>
                <w:sz w:val="18"/>
                <w:szCs w:val="18"/>
              </w:rPr>
              <w:t>未达到计划进度或预计收益的情况 和原因</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未披露募集资金的效益指标，不适用</w:t>
            </w:r>
          </w:p>
        </w:tc>
      </w:tr>
      <w:tr>
        <w:trPr>
          <w:trHeight w:val="714" w:hRule="exact"/>
        </w:trPr>
        <w:tc>
          <w:tcPr>
            <w:tcW w:w="287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37"/>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变更后的项目可行性发生重大变化 的情况说明</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8"/>
          <w:szCs w:val="18"/>
        </w:rPr>
      </w:pPr>
    </w:p>
    <w:p>
      <w:pPr>
        <w:pStyle w:val="Heading2"/>
        <w:spacing w:line="367" w:lineRule="exact"/>
        <w:ind w:right="0"/>
        <w:jc w:val="left"/>
        <w:rPr>
          <w:b w:val="0"/>
          <w:bCs w:val="0"/>
        </w:rPr>
      </w:pPr>
      <w:r>
        <w:rPr/>
        <w:t>六、重大资产和股权出售</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、出售重大资产情况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38" w:lineRule="auto" w:before="0"/>
        <w:ind w:left="154" w:right="74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公司报告期未出售重大资产。</w:t>
      </w:r>
    </w:p>
    <w:p>
      <w:pPr>
        <w:spacing w:line="240" w:lineRule="auto" w:before="1"/>
        <w:rPr>
          <w:rFonts w:ascii="宋体" w:hAnsi="宋体" w:cs="宋体" w:eastAsia="宋体" w:hint="default"/>
          <w:sz w:val="16"/>
          <w:szCs w:val="16"/>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、出售重大股权情况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686"/>
        <w:gridCol w:w="683"/>
        <w:gridCol w:w="683"/>
        <w:gridCol w:w="683"/>
        <w:gridCol w:w="684"/>
        <w:gridCol w:w="683"/>
        <w:gridCol w:w="683"/>
        <w:gridCol w:w="683"/>
        <w:gridCol w:w="683"/>
        <w:gridCol w:w="683"/>
        <w:gridCol w:w="684"/>
        <w:gridCol w:w="683"/>
        <w:gridCol w:w="683"/>
        <w:gridCol w:w="683"/>
      </w:tblGrid>
      <w:tr>
        <w:trPr>
          <w:trHeight w:val="3834" w:hRule="exact"/>
        </w:trPr>
        <w:tc>
          <w:tcPr>
            <w:tcW w:w="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247" w:right="66" w:hanging="180"/>
              <w:jc w:val="left"/>
              <w:rPr>
                <w:rFonts w:ascii="宋体" w:hAnsi="宋体" w:cs="宋体" w:eastAsia="宋体" w:hint="default"/>
                <w:sz w:val="18"/>
                <w:szCs w:val="18"/>
              </w:rPr>
            </w:pPr>
            <w:r>
              <w:rPr>
                <w:rFonts w:ascii="宋体" w:hAnsi="宋体" w:cs="宋体" w:eastAsia="宋体" w:hint="default"/>
                <w:sz w:val="18"/>
                <w:szCs w:val="18"/>
              </w:rPr>
              <w:t>交易对 方</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155" w:right="65" w:hanging="90"/>
              <w:jc w:val="left"/>
              <w:rPr>
                <w:rFonts w:ascii="宋体" w:hAnsi="宋体" w:cs="宋体" w:eastAsia="宋体" w:hint="default"/>
                <w:sz w:val="18"/>
                <w:szCs w:val="18"/>
              </w:rPr>
            </w:pPr>
            <w:r>
              <w:rPr>
                <w:rFonts w:ascii="宋体" w:hAnsi="宋体" w:cs="宋体" w:eastAsia="宋体" w:hint="default"/>
                <w:sz w:val="18"/>
                <w:szCs w:val="18"/>
              </w:rPr>
              <w:t>被出售 股权</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65" w:right="0"/>
              <w:jc w:val="left"/>
              <w:rPr>
                <w:rFonts w:ascii="宋体" w:hAnsi="宋体" w:cs="宋体" w:eastAsia="宋体" w:hint="default"/>
                <w:sz w:val="18"/>
                <w:szCs w:val="18"/>
              </w:rPr>
            </w:pPr>
            <w:r>
              <w:rPr>
                <w:rFonts w:ascii="宋体" w:hAnsi="宋体" w:cs="宋体" w:eastAsia="宋体" w:hint="default"/>
                <w:sz w:val="18"/>
                <w:szCs w:val="18"/>
              </w:rPr>
              <w:t>出售日</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65" w:right="65"/>
              <w:jc w:val="both"/>
              <w:rPr>
                <w:rFonts w:ascii="宋体" w:hAnsi="宋体" w:cs="宋体" w:eastAsia="宋体" w:hint="default"/>
                <w:sz w:val="18"/>
                <w:szCs w:val="18"/>
              </w:rPr>
            </w:pPr>
            <w:r>
              <w:rPr>
                <w:rFonts w:ascii="宋体" w:hAnsi="宋体" w:cs="宋体" w:eastAsia="宋体" w:hint="default"/>
                <w:sz w:val="18"/>
                <w:szCs w:val="18"/>
              </w:rPr>
              <w:t>交易价 格（万 元）</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67" w:right="65"/>
              <w:jc w:val="both"/>
              <w:rPr>
                <w:rFonts w:ascii="宋体" w:hAnsi="宋体" w:cs="宋体" w:eastAsia="宋体" w:hint="default"/>
                <w:sz w:val="18"/>
                <w:szCs w:val="18"/>
              </w:rPr>
            </w:pPr>
            <w:r>
              <w:rPr>
                <w:rFonts w:ascii="宋体" w:hAnsi="宋体" w:cs="宋体" w:eastAsia="宋体" w:hint="default"/>
                <w:sz w:val="18"/>
                <w:szCs w:val="18"/>
              </w:rPr>
              <w:t>本期初 起至出 售日该 股权为 上市公 司贡献 的净利 润（万 元）</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65" w:right="65"/>
              <w:jc w:val="both"/>
              <w:rPr>
                <w:rFonts w:ascii="宋体" w:hAnsi="宋体" w:cs="宋体" w:eastAsia="宋体" w:hint="default"/>
                <w:sz w:val="18"/>
                <w:szCs w:val="18"/>
              </w:rPr>
            </w:pPr>
            <w:r>
              <w:rPr>
                <w:rFonts w:ascii="宋体" w:hAnsi="宋体" w:cs="宋体" w:eastAsia="宋体" w:hint="default"/>
                <w:sz w:val="18"/>
                <w:szCs w:val="18"/>
              </w:rPr>
              <w:t>出售对 公司的 影响</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65" w:right="65"/>
              <w:jc w:val="both"/>
              <w:rPr>
                <w:rFonts w:ascii="宋体" w:hAnsi="宋体" w:cs="宋体" w:eastAsia="宋体" w:hint="default"/>
                <w:sz w:val="18"/>
                <w:szCs w:val="18"/>
              </w:rPr>
            </w:pPr>
            <w:r>
              <w:rPr>
                <w:rFonts w:ascii="宋体" w:hAnsi="宋体" w:cs="宋体" w:eastAsia="宋体" w:hint="default"/>
                <w:sz w:val="18"/>
                <w:szCs w:val="18"/>
              </w:rPr>
              <w:t>股权出 售为上 市公司 贡献的 净利润 占净利 润总额 的比例</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66" w:right="65"/>
              <w:jc w:val="both"/>
              <w:rPr>
                <w:rFonts w:ascii="宋体" w:hAnsi="宋体" w:cs="宋体" w:eastAsia="宋体" w:hint="default"/>
                <w:sz w:val="18"/>
                <w:szCs w:val="18"/>
              </w:rPr>
            </w:pPr>
            <w:r>
              <w:rPr>
                <w:rFonts w:ascii="宋体" w:hAnsi="宋体" w:cs="宋体" w:eastAsia="宋体" w:hint="default"/>
                <w:sz w:val="18"/>
                <w:szCs w:val="18"/>
              </w:rPr>
              <w:t>股权出 售定价 原则</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65" w:right="65"/>
              <w:jc w:val="center"/>
              <w:rPr>
                <w:rFonts w:ascii="宋体" w:hAnsi="宋体" w:cs="宋体" w:eastAsia="宋体" w:hint="default"/>
                <w:sz w:val="18"/>
                <w:szCs w:val="18"/>
              </w:rPr>
            </w:pPr>
            <w:r>
              <w:rPr>
                <w:rFonts w:ascii="宋体" w:hAnsi="宋体" w:cs="宋体" w:eastAsia="宋体" w:hint="default"/>
                <w:sz w:val="18"/>
                <w:szCs w:val="18"/>
              </w:rPr>
              <w:t>是否为 关联交 易</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1"/>
              <w:ind w:left="66" w:right="65"/>
              <w:jc w:val="center"/>
              <w:rPr>
                <w:rFonts w:ascii="宋体" w:hAnsi="宋体" w:cs="宋体" w:eastAsia="宋体" w:hint="default"/>
                <w:sz w:val="18"/>
                <w:szCs w:val="18"/>
              </w:rPr>
            </w:pPr>
            <w:r>
              <w:rPr>
                <w:rFonts w:ascii="宋体" w:hAnsi="宋体" w:cs="宋体" w:eastAsia="宋体" w:hint="default"/>
                <w:sz w:val="18"/>
                <w:szCs w:val="18"/>
              </w:rPr>
              <w:t>与交易 对方的 关联关 系</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9" w:lineRule="auto"/>
              <w:ind w:left="67" w:right="65"/>
              <w:jc w:val="center"/>
              <w:rPr>
                <w:rFonts w:ascii="宋体" w:hAnsi="宋体" w:cs="宋体" w:eastAsia="宋体" w:hint="default"/>
                <w:sz w:val="18"/>
                <w:szCs w:val="18"/>
              </w:rPr>
            </w:pPr>
            <w:r>
              <w:rPr>
                <w:rFonts w:ascii="宋体" w:hAnsi="宋体" w:cs="宋体" w:eastAsia="宋体" w:hint="default"/>
                <w:sz w:val="18"/>
                <w:szCs w:val="18"/>
              </w:rPr>
              <w:t>所涉及 的股权 是否已 全部过 户</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5" w:right="65"/>
              <w:jc w:val="center"/>
              <w:rPr>
                <w:rFonts w:ascii="宋体" w:hAnsi="宋体" w:cs="宋体" w:eastAsia="宋体" w:hint="default"/>
                <w:sz w:val="18"/>
                <w:szCs w:val="18"/>
              </w:rPr>
            </w:pPr>
            <w:r>
              <w:rPr>
                <w:rFonts w:ascii="宋体" w:hAnsi="宋体" w:cs="宋体" w:eastAsia="宋体" w:hint="default"/>
                <w:sz w:val="18"/>
                <w:szCs w:val="18"/>
              </w:rPr>
              <w:t>是否按 计划如 期实 施，如 未按计 划实 施，应 当说明 原因及 公司已 采取的 措施</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246" w:right="65"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245" w:right="65" w:hanging="180"/>
              <w:jc w:val="left"/>
              <w:rPr>
                <w:rFonts w:ascii="宋体" w:hAnsi="宋体" w:cs="宋体" w:eastAsia="宋体" w:hint="default"/>
                <w:sz w:val="18"/>
                <w:szCs w:val="18"/>
              </w:rPr>
            </w:pPr>
            <w:r>
              <w:rPr>
                <w:rFonts w:ascii="宋体" w:hAnsi="宋体" w:cs="宋体" w:eastAsia="宋体" w:hint="default"/>
                <w:sz w:val="18"/>
                <w:szCs w:val="18"/>
              </w:rPr>
              <w:t>披露索 引</w:t>
            </w:r>
          </w:p>
        </w:tc>
      </w:tr>
      <w:tr>
        <w:trPr>
          <w:trHeight w:val="1962"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1"/>
              <w:jc w:val="both"/>
              <w:rPr>
                <w:rFonts w:ascii="宋体" w:hAnsi="宋体" w:cs="宋体" w:eastAsia="宋体" w:hint="default"/>
                <w:sz w:val="18"/>
                <w:szCs w:val="18"/>
              </w:rPr>
            </w:pPr>
            <w:r>
              <w:rPr>
                <w:rFonts w:ascii="宋体" w:hAnsi="宋体" w:cs="宋体" w:eastAsia="宋体" w:hint="default"/>
                <w:sz w:val="18"/>
                <w:szCs w:val="18"/>
              </w:rPr>
              <w:t>广州偶 玩信息 科技合 伙企业</w:t>
            </w:r>
          </w:p>
          <w:p>
            <w:pPr>
              <w:pStyle w:val="TableParagraph"/>
              <w:spacing w:line="319" w:lineRule="auto" w:before="19"/>
              <w:ind w:left="22" w:right="111"/>
              <w:jc w:val="both"/>
              <w:rPr>
                <w:rFonts w:ascii="宋体" w:hAnsi="宋体" w:cs="宋体" w:eastAsia="宋体" w:hint="default"/>
                <w:sz w:val="18"/>
                <w:szCs w:val="18"/>
              </w:rPr>
            </w:pPr>
            <w:r>
              <w:rPr>
                <w:rFonts w:ascii="宋体" w:hAnsi="宋体" w:cs="宋体" w:eastAsia="宋体" w:hint="default"/>
                <w:sz w:val="18"/>
                <w:szCs w:val="18"/>
              </w:rPr>
              <w:t>（有限 合伙）</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108"/>
              <w:jc w:val="both"/>
              <w:rPr>
                <w:rFonts w:ascii="宋体" w:hAnsi="宋体" w:cs="宋体" w:eastAsia="宋体" w:hint="default"/>
                <w:sz w:val="18"/>
                <w:szCs w:val="18"/>
              </w:rPr>
            </w:pPr>
            <w:r>
              <w:rPr>
                <w:rFonts w:ascii="宋体" w:hAnsi="宋体" w:cs="宋体" w:eastAsia="宋体" w:hint="default"/>
                <w:sz w:val="18"/>
                <w:szCs w:val="18"/>
              </w:rPr>
              <w:t>东方富 海（上 海）创 业投资 企业</w:t>
            </w:r>
          </w:p>
          <w:p>
            <w:pPr>
              <w:pStyle w:val="TableParagraph"/>
              <w:spacing w:line="240" w:lineRule="auto" w:before="19"/>
              <w:ind w:left="22" w:right="0"/>
              <w:jc w:val="both"/>
              <w:rPr>
                <w:rFonts w:ascii="宋体" w:hAnsi="宋体" w:cs="宋体" w:eastAsia="宋体" w:hint="default"/>
                <w:sz w:val="18"/>
                <w:szCs w:val="18"/>
              </w:rPr>
            </w:pPr>
            <w:r>
              <w:rPr>
                <w:rFonts w:ascii="宋体" w:hAnsi="宋体" w:cs="宋体" w:eastAsia="宋体" w:hint="default"/>
                <w:sz w:val="18"/>
                <w:szCs w:val="18"/>
              </w:rPr>
              <w:t>（有限</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3,800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2,075.6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增加净 利润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85" w:right="0"/>
              <w:jc w:val="left"/>
              <w:rPr>
                <w:rFonts w:ascii="Times New Roman" w:hAnsi="Times New Roman" w:cs="Times New Roman" w:eastAsia="Times New Roman" w:hint="default"/>
                <w:sz w:val="18"/>
                <w:szCs w:val="18"/>
              </w:rPr>
            </w:pPr>
            <w:r>
              <w:rPr>
                <w:rFonts w:ascii="Times New Roman"/>
                <w:sz w:val="18"/>
              </w:rPr>
              <w:t>0.51%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71"/>
              <w:ind w:left="22"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合同约 定协议 生效后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天付 款，截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2015-10</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2</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686"/>
        <w:gridCol w:w="683"/>
        <w:gridCol w:w="683"/>
        <w:gridCol w:w="683"/>
        <w:gridCol w:w="684"/>
        <w:gridCol w:w="683"/>
        <w:gridCol w:w="683"/>
        <w:gridCol w:w="683"/>
        <w:gridCol w:w="683"/>
        <w:gridCol w:w="683"/>
        <w:gridCol w:w="684"/>
        <w:gridCol w:w="683"/>
        <w:gridCol w:w="683"/>
        <w:gridCol w:w="683"/>
      </w:tblGrid>
      <w:tr>
        <w:trPr>
          <w:trHeight w:val="1299" w:hRule="exact"/>
        </w:trPr>
        <w:tc>
          <w:tcPr>
            <w:tcW w:w="686"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08"/>
              <w:jc w:val="both"/>
              <w:rPr>
                <w:rFonts w:ascii="宋体" w:hAnsi="宋体" w:cs="宋体" w:eastAsia="宋体" w:hint="default"/>
                <w:sz w:val="18"/>
                <w:szCs w:val="18"/>
              </w:rPr>
            </w:pPr>
            <w:r>
              <w:rPr>
                <w:rFonts w:ascii="宋体" w:hAnsi="宋体" w:cs="宋体" w:eastAsia="宋体" w:hint="default"/>
                <w:sz w:val="18"/>
                <w:szCs w:val="18"/>
              </w:rPr>
              <w:t>合伙） 投资份 额</w:t>
            </w: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日已收 股权转 让款。</w:t>
            </w: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r>
      <w:tr>
        <w:trPr>
          <w:trHeight w:val="3210"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11"/>
              <w:jc w:val="left"/>
              <w:rPr>
                <w:rFonts w:ascii="宋体" w:hAnsi="宋体" w:cs="宋体" w:eastAsia="宋体" w:hint="default"/>
                <w:sz w:val="18"/>
                <w:szCs w:val="18"/>
              </w:rPr>
            </w:pPr>
            <w:r>
              <w:rPr>
                <w:rFonts w:ascii="宋体" w:hAnsi="宋体" w:cs="宋体" w:eastAsia="宋体" w:hint="default"/>
                <w:sz w:val="18"/>
                <w:szCs w:val="18"/>
              </w:rPr>
              <w:t>珠海富 海铧创 信息技 术创业 投资基 金（有 限合 伙）</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08"/>
              <w:jc w:val="both"/>
              <w:rPr>
                <w:rFonts w:ascii="宋体" w:hAnsi="宋体" w:cs="宋体" w:eastAsia="宋体" w:hint="default"/>
                <w:sz w:val="18"/>
                <w:szCs w:val="18"/>
              </w:rPr>
            </w:pPr>
            <w:r>
              <w:rPr>
                <w:rFonts w:ascii="宋体" w:hAnsi="宋体" w:cs="宋体" w:eastAsia="宋体" w:hint="default"/>
                <w:sz w:val="18"/>
                <w:szCs w:val="18"/>
              </w:rPr>
              <w:t>东方富 海（上 海）创 业投资 企业</w:t>
            </w:r>
          </w:p>
          <w:p>
            <w:pPr>
              <w:pStyle w:val="TableParagraph"/>
              <w:spacing w:line="319" w:lineRule="auto" w:before="19"/>
              <w:ind w:left="22" w:right="108"/>
              <w:jc w:val="both"/>
              <w:rPr>
                <w:rFonts w:ascii="宋体" w:hAnsi="宋体" w:cs="宋体" w:eastAsia="宋体" w:hint="default"/>
                <w:sz w:val="18"/>
                <w:szCs w:val="18"/>
              </w:rPr>
            </w:pPr>
            <w:r>
              <w:rPr>
                <w:rFonts w:ascii="宋体" w:hAnsi="宋体" w:cs="宋体" w:eastAsia="宋体" w:hint="default"/>
                <w:sz w:val="18"/>
                <w:szCs w:val="18"/>
              </w:rPr>
              <w:t>（有限 合伙） 投资份 额</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927.92</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增加净 利润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0.23%</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08"/>
              <w:jc w:val="both"/>
              <w:rPr>
                <w:rFonts w:ascii="宋体" w:hAnsi="宋体" w:cs="宋体" w:eastAsia="宋体" w:hint="default"/>
                <w:sz w:val="18"/>
                <w:szCs w:val="18"/>
              </w:rPr>
            </w:pPr>
            <w:r>
              <w:rPr>
                <w:rFonts w:ascii="宋体" w:hAnsi="宋体" w:cs="宋体" w:eastAsia="宋体" w:hint="default"/>
                <w:sz w:val="18"/>
                <w:szCs w:val="18"/>
              </w:rPr>
              <w:t>交易对 方执行 事务合 伙人陈 玮是本 公司董 事</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合同约 定协议 生效后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天付 款，截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p>
            <w:pPr>
              <w:pStyle w:val="TableParagraph"/>
              <w:spacing w:line="312" w:lineRule="auto" w:before="1"/>
              <w:ind w:left="22" w:right="23"/>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日已收 股权转 让款。</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2015-10</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2</w:t>
            </w:r>
          </w:p>
        </w:tc>
      </w:tr>
      <w:tr>
        <w:trPr>
          <w:trHeight w:val="3210"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11"/>
              <w:jc w:val="left"/>
              <w:rPr>
                <w:rFonts w:ascii="宋体" w:hAnsi="宋体" w:cs="宋体" w:eastAsia="宋体" w:hint="default"/>
                <w:sz w:val="18"/>
                <w:szCs w:val="18"/>
              </w:rPr>
            </w:pPr>
            <w:r>
              <w:rPr>
                <w:rFonts w:ascii="宋体" w:hAnsi="宋体" w:cs="宋体" w:eastAsia="宋体" w:hint="default"/>
                <w:sz w:val="18"/>
                <w:szCs w:val="18"/>
              </w:rPr>
              <w:t>珠海富 海铧创 信息技 术创业 投资基 金（有 限合 伙）</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08"/>
              <w:jc w:val="both"/>
              <w:rPr>
                <w:rFonts w:ascii="宋体" w:hAnsi="宋体" w:cs="宋体" w:eastAsia="宋体" w:hint="default"/>
                <w:sz w:val="18"/>
                <w:szCs w:val="18"/>
              </w:rPr>
            </w:pPr>
            <w:r>
              <w:rPr>
                <w:rFonts w:ascii="宋体" w:hAnsi="宋体" w:cs="宋体" w:eastAsia="宋体" w:hint="default"/>
                <w:sz w:val="18"/>
                <w:szCs w:val="18"/>
              </w:rPr>
              <w:t>和力辰 光国际 文化传 媒（北 京）有 限公司 的股权</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923.08</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增加净 利润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0.23%</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08"/>
              <w:jc w:val="both"/>
              <w:rPr>
                <w:rFonts w:ascii="宋体" w:hAnsi="宋体" w:cs="宋体" w:eastAsia="宋体" w:hint="default"/>
                <w:sz w:val="18"/>
                <w:szCs w:val="18"/>
              </w:rPr>
            </w:pPr>
            <w:r>
              <w:rPr>
                <w:rFonts w:ascii="宋体" w:hAnsi="宋体" w:cs="宋体" w:eastAsia="宋体" w:hint="default"/>
                <w:sz w:val="18"/>
                <w:szCs w:val="18"/>
              </w:rPr>
              <w:t>交易对 方执行 事务合 伙人陈 玮是本 公司董 事</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合同约 定协议 生效后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天付 款，截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p>
            <w:pPr>
              <w:pStyle w:val="TableParagraph"/>
              <w:spacing w:line="312" w:lineRule="auto" w:before="1"/>
              <w:ind w:left="22" w:right="23"/>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日已收 股权转 让款。</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2015-08</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2</w:t>
            </w:r>
          </w:p>
        </w:tc>
      </w:tr>
      <w:tr>
        <w:trPr>
          <w:trHeight w:val="3210"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11"/>
              <w:jc w:val="both"/>
              <w:rPr>
                <w:rFonts w:ascii="宋体" w:hAnsi="宋体" w:cs="宋体" w:eastAsia="宋体" w:hint="default"/>
                <w:sz w:val="18"/>
                <w:szCs w:val="18"/>
              </w:rPr>
            </w:pPr>
            <w:r>
              <w:rPr>
                <w:rFonts w:ascii="宋体" w:hAnsi="宋体" w:cs="宋体" w:eastAsia="宋体" w:hint="default"/>
                <w:sz w:val="18"/>
                <w:szCs w:val="18"/>
              </w:rPr>
              <w:t>扬州市 富海永 成股权 投资合 伙企业</w:t>
            </w:r>
          </w:p>
          <w:p>
            <w:pPr>
              <w:pStyle w:val="TableParagraph"/>
              <w:spacing w:line="319" w:lineRule="auto" w:before="19"/>
              <w:ind w:left="22" w:right="111"/>
              <w:jc w:val="both"/>
              <w:rPr>
                <w:rFonts w:ascii="宋体" w:hAnsi="宋体" w:cs="宋体" w:eastAsia="宋体" w:hint="default"/>
                <w:sz w:val="18"/>
                <w:szCs w:val="18"/>
              </w:rPr>
            </w:pPr>
            <w:r>
              <w:rPr>
                <w:rFonts w:ascii="宋体" w:hAnsi="宋体" w:cs="宋体" w:eastAsia="宋体" w:hint="default"/>
                <w:sz w:val="18"/>
                <w:szCs w:val="18"/>
              </w:rPr>
              <w:t>（有限 合伙）</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08"/>
              <w:jc w:val="both"/>
              <w:rPr>
                <w:rFonts w:ascii="宋体" w:hAnsi="宋体" w:cs="宋体" w:eastAsia="宋体" w:hint="default"/>
                <w:sz w:val="18"/>
                <w:szCs w:val="18"/>
              </w:rPr>
            </w:pPr>
            <w:r>
              <w:rPr>
                <w:rFonts w:ascii="宋体" w:hAnsi="宋体" w:cs="宋体" w:eastAsia="宋体" w:hint="default"/>
                <w:sz w:val="18"/>
                <w:szCs w:val="18"/>
              </w:rPr>
              <w:t>和力辰 光国际 文化传 媒（北 京）有 限公司 的股权</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415.38</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增加净 利润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0.10%</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08"/>
              <w:jc w:val="both"/>
              <w:rPr>
                <w:rFonts w:ascii="宋体" w:hAnsi="宋体" w:cs="宋体" w:eastAsia="宋体" w:hint="default"/>
                <w:sz w:val="18"/>
                <w:szCs w:val="18"/>
              </w:rPr>
            </w:pPr>
            <w:r>
              <w:rPr>
                <w:rFonts w:ascii="宋体" w:hAnsi="宋体" w:cs="宋体" w:eastAsia="宋体" w:hint="default"/>
                <w:sz w:val="18"/>
                <w:szCs w:val="18"/>
              </w:rPr>
              <w:t>交易对 方执行 事务合 伙人陈 玮是本 公司董 事</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合同约 定协议 生效后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天付 款，截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p>
            <w:pPr>
              <w:pStyle w:val="TableParagraph"/>
              <w:spacing w:line="312" w:lineRule="auto" w:before="1"/>
              <w:ind w:left="22" w:right="23"/>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日已收 股权转 让款。</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2015-08</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2</w:t>
            </w:r>
          </w:p>
        </w:tc>
      </w:tr>
      <w:tr>
        <w:trPr>
          <w:trHeight w:val="2859"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319" w:lineRule="auto"/>
              <w:ind w:left="22" w:right="111"/>
              <w:jc w:val="both"/>
              <w:rPr>
                <w:rFonts w:ascii="宋体" w:hAnsi="宋体" w:cs="宋体" w:eastAsia="宋体" w:hint="default"/>
                <w:sz w:val="18"/>
                <w:szCs w:val="18"/>
              </w:rPr>
            </w:pPr>
            <w:r>
              <w:rPr>
                <w:rFonts w:ascii="宋体" w:hAnsi="宋体" w:cs="宋体" w:eastAsia="宋体" w:hint="default"/>
                <w:sz w:val="18"/>
                <w:szCs w:val="18"/>
              </w:rPr>
              <w:t>上海万 盛投资 管理有 限公司</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36"/>
              <w:ind w:left="22" w:right="108"/>
              <w:jc w:val="both"/>
              <w:rPr>
                <w:rFonts w:ascii="宋体" w:hAnsi="宋体" w:cs="宋体" w:eastAsia="宋体" w:hint="default"/>
                <w:sz w:val="18"/>
                <w:szCs w:val="18"/>
              </w:rPr>
            </w:pPr>
            <w:r>
              <w:rPr>
                <w:rFonts w:ascii="宋体" w:hAnsi="宋体" w:cs="宋体" w:eastAsia="宋体" w:hint="default"/>
                <w:sz w:val="18"/>
                <w:szCs w:val="18"/>
              </w:rPr>
              <w:t>和力辰 光国际 文化传 媒（北 京）有 限公司 的股权</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46.15</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19" w:lineRule="auto"/>
              <w:ind w:left="22" w:right="108"/>
              <w:jc w:val="left"/>
              <w:rPr>
                <w:rFonts w:ascii="宋体" w:hAnsi="宋体" w:cs="宋体" w:eastAsia="宋体" w:hint="default"/>
                <w:sz w:val="18"/>
                <w:szCs w:val="18"/>
              </w:rPr>
            </w:pPr>
            <w:r>
              <w:rPr>
                <w:rFonts w:ascii="宋体" w:hAnsi="宋体" w:cs="宋体" w:eastAsia="宋体" w:hint="default"/>
                <w:sz w:val="18"/>
                <w:szCs w:val="18"/>
              </w:rPr>
              <w:t>增加净 利润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合同约 定协议 生效后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天付 款，截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p>
            <w:pPr>
              <w:pStyle w:val="TableParagraph"/>
              <w:spacing w:line="309" w:lineRule="auto" w:before="1"/>
              <w:ind w:left="22" w:right="23"/>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日已收 股权转</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8"/>
              <w:ind w:left="22" w:right="0"/>
              <w:jc w:val="left"/>
              <w:rPr>
                <w:rFonts w:ascii="Times New Roman" w:hAnsi="Times New Roman" w:cs="Times New Roman" w:eastAsia="Times New Roman" w:hint="default"/>
                <w:sz w:val="18"/>
                <w:szCs w:val="18"/>
              </w:rPr>
            </w:pPr>
            <w:r>
              <w:rPr>
                <w:rFonts w:ascii="Times New Roman"/>
                <w:sz w:val="18"/>
              </w:rPr>
              <w:t>2015-08</w:t>
            </w:r>
          </w:p>
          <w:p>
            <w:pPr>
              <w:pStyle w:val="TableParagraph"/>
              <w:spacing w:line="240" w:lineRule="auto" w:before="106"/>
              <w:ind w:left="22" w:right="0"/>
              <w:jc w:val="left"/>
              <w:rPr>
                <w:rFonts w:ascii="Times New Roman" w:hAnsi="Times New Roman" w:cs="Times New Roman" w:eastAsia="Times New Roman" w:hint="default"/>
                <w:sz w:val="18"/>
                <w:szCs w:val="18"/>
              </w:rPr>
            </w:pPr>
            <w:r>
              <w:rPr>
                <w:rFonts w:ascii="Times New Roman"/>
                <w:sz w:val="18"/>
              </w:rPr>
              <w:t>2</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686"/>
        <w:gridCol w:w="683"/>
        <w:gridCol w:w="683"/>
        <w:gridCol w:w="683"/>
        <w:gridCol w:w="684"/>
        <w:gridCol w:w="683"/>
        <w:gridCol w:w="683"/>
        <w:gridCol w:w="683"/>
        <w:gridCol w:w="683"/>
        <w:gridCol w:w="683"/>
        <w:gridCol w:w="684"/>
        <w:gridCol w:w="683"/>
        <w:gridCol w:w="683"/>
        <w:gridCol w:w="683"/>
      </w:tblGrid>
      <w:tr>
        <w:trPr>
          <w:trHeight w:val="362" w:hRule="exact"/>
        </w:trPr>
        <w:tc>
          <w:tcPr>
            <w:tcW w:w="686"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让款。</w:t>
            </w: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
        </w:tc>
      </w:tr>
      <w:tr>
        <w:trPr>
          <w:trHeight w:val="3210"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22" w:right="111"/>
              <w:jc w:val="both"/>
              <w:rPr>
                <w:rFonts w:ascii="宋体" w:hAnsi="宋体" w:cs="宋体" w:eastAsia="宋体" w:hint="default"/>
                <w:sz w:val="18"/>
                <w:szCs w:val="18"/>
              </w:rPr>
            </w:pPr>
            <w:r>
              <w:rPr>
                <w:rFonts w:ascii="宋体" w:hAnsi="宋体" w:cs="宋体" w:eastAsia="宋体" w:hint="default"/>
                <w:sz w:val="18"/>
                <w:szCs w:val="18"/>
              </w:rPr>
              <w:t>珠海铧 盈投资 有限公 司</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08"/>
              <w:jc w:val="both"/>
              <w:rPr>
                <w:rFonts w:ascii="宋体" w:hAnsi="宋体" w:cs="宋体" w:eastAsia="宋体" w:hint="default"/>
                <w:sz w:val="18"/>
                <w:szCs w:val="18"/>
              </w:rPr>
            </w:pPr>
            <w:r>
              <w:rPr>
                <w:rFonts w:ascii="宋体" w:hAnsi="宋体" w:cs="宋体" w:eastAsia="宋体" w:hint="default"/>
                <w:sz w:val="18"/>
                <w:szCs w:val="18"/>
              </w:rPr>
              <w:t>和力辰 光国际 文化传 媒（北 京）有 限公司 的股权</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1,800</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157" w:right="0"/>
              <w:jc w:val="left"/>
              <w:rPr>
                <w:rFonts w:ascii="Times New Roman" w:hAnsi="Times New Roman" w:cs="Times New Roman" w:eastAsia="Times New Roman" w:hint="default"/>
                <w:sz w:val="18"/>
                <w:szCs w:val="18"/>
              </w:rPr>
            </w:pPr>
            <w:r>
              <w:rPr>
                <w:rFonts w:ascii="Times New Roman"/>
                <w:sz w:val="18"/>
              </w:rPr>
              <w:t>415.38</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增加净 利润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0.10%</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合同约 定协议 生效后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天付 款，截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p>
            <w:pPr>
              <w:pStyle w:val="TableParagraph"/>
              <w:spacing w:line="312" w:lineRule="auto" w:before="1"/>
              <w:ind w:left="22" w:right="23"/>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日已收 股权转 让款。</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2015-08</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2</w:t>
            </w:r>
          </w:p>
        </w:tc>
      </w:tr>
      <w:tr>
        <w:trPr>
          <w:trHeight w:val="3522"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362" w:lineRule="auto"/>
              <w:ind w:left="22" w:right="61"/>
              <w:jc w:val="left"/>
              <w:rPr>
                <w:rFonts w:ascii="Times New Roman" w:hAnsi="Times New Roman" w:cs="Times New Roman" w:eastAsia="Times New Roman" w:hint="default"/>
                <w:sz w:val="18"/>
                <w:szCs w:val="18"/>
              </w:rPr>
            </w:pPr>
            <w:r>
              <w:rPr>
                <w:rFonts w:ascii="Times New Roman"/>
                <w:sz w:val="18"/>
              </w:rPr>
              <w:t>kunlunk emi limited</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360" w:lineRule="auto"/>
              <w:ind w:left="22" w:right="148"/>
              <w:jc w:val="left"/>
              <w:rPr>
                <w:rFonts w:ascii="Times New Roman" w:hAnsi="Times New Roman" w:cs="Times New Roman" w:eastAsia="Times New Roman" w:hint="default"/>
                <w:sz w:val="18"/>
                <w:szCs w:val="18"/>
              </w:rPr>
            </w:pPr>
            <w:r>
              <w:rPr>
                <w:rFonts w:ascii="Times New Roman"/>
                <w:sz w:val="18"/>
              </w:rPr>
              <w:t>Source</w:t>
            </w:r>
            <w:r>
              <w:rPr>
                <w:rFonts w:ascii="Times New Roman"/>
                <w:w w:val="99"/>
                <w:sz w:val="18"/>
              </w:rPr>
              <w:t> </w:t>
            </w:r>
            <w:r>
              <w:rPr>
                <w:rFonts w:ascii="Times New Roman"/>
                <w:sz w:val="18"/>
              </w:rPr>
              <w:t>Code</w:t>
            </w:r>
            <w:r>
              <w:rPr>
                <w:rFonts w:ascii="Times New Roman"/>
                <w:w w:val="99"/>
                <w:sz w:val="18"/>
              </w:rPr>
              <w:t> </w:t>
            </w:r>
            <w:r>
              <w:rPr>
                <w:rFonts w:ascii="Times New Roman"/>
                <w:sz w:val="18"/>
              </w:rPr>
              <w:t>QFQ</w:t>
            </w:r>
          </w:p>
          <w:p>
            <w:pPr>
              <w:pStyle w:val="TableParagraph"/>
              <w:spacing w:line="316" w:lineRule="auto" w:before="5"/>
              <w:ind w:left="22" w:right="58"/>
              <w:jc w:val="left"/>
              <w:rPr>
                <w:rFonts w:ascii="宋体" w:hAnsi="宋体" w:cs="宋体" w:eastAsia="宋体" w:hint="default"/>
                <w:sz w:val="18"/>
                <w:szCs w:val="18"/>
              </w:rPr>
            </w:pPr>
            <w:r>
              <w:rPr>
                <w:rFonts w:ascii="Times New Roman" w:hAnsi="Times New Roman" w:cs="Times New Roman" w:eastAsia="Times New Roman" w:hint="default"/>
                <w:sz w:val="18"/>
                <w:szCs w:val="18"/>
              </w:rPr>
              <w:t>Linkage </w:t>
            </w:r>
            <w:r>
              <w:rPr>
                <w:rFonts w:ascii="Times New Roman" w:hAnsi="Times New Roman" w:cs="Times New Roman" w:eastAsia="Times New Roman" w:hint="default"/>
                <w:spacing w:val="-5"/>
                <w:sz w:val="18"/>
                <w:szCs w:val="18"/>
              </w:rPr>
              <w:t>L.P.</w:t>
            </w:r>
            <w:r>
              <w:rPr>
                <w:rFonts w:ascii="宋体" w:hAnsi="宋体" w:cs="宋体" w:eastAsia="宋体" w:hint="default"/>
                <w:spacing w:val="-5"/>
                <w:sz w:val="18"/>
                <w:szCs w:val="18"/>
              </w:rPr>
              <w:t>公</w:t>
            </w:r>
          </w:p>
          <w:p>
            <w:pPr>
              <w:pStyle w:val="TableParagraph"/>
              <w:spacing w:line="319" w:lineRule="auto"/>
              <w:ind w:left="22" w:right="108"/>
              <w:jc w:val="left"/>
              <w:rPr>
                <w:rFonts w:ascii="宋体" w:hAnsi="宋体" w:cs="宋体" w:eastAsia="宋体" w:hint="default"/>
                <w:sz w:val="18"/>
                <w:szCs w:val="18"/>
              </w:rPr>
            </w:pPr>
            <w:r>
              <w:rPr>
                <w:rFonts w:ascii="宋体" w:hAnsi="宋体" w:cs="宋体" w:eastAsia="宋体" w:hint="default"/>
                <w:sz w:val="18"/>
                <w:szCs w:val="18"/>
              </w:rPr>
              <w:t>司的股 权</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19,602.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w w:val="95"/>
                <w:sz w:val="18"/>
              </w:rPr>
              <w:t>11,331.0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22" w:right="108"/>
              <w:jc w:val="both"/>
              <w:rPr>
                <w:rFonts w:ascii="宋体" w:hAnsi="宋体" w:cs="宋体" w:eastAsia="宋体" w:hint="default"/>
                <w:sz w:val="18"/>
                <w:szCs w:val="18"/>
              </w:rPr>
            </w:pPr>
            <w:r>
              <w:rPr>
                <w:rFonts w:ascii="宋体" w:hAnsi="宋体" w:cs="宋体" w:eastAsia="宋体" w:hint="default"/>
                <w:sz w:val="18"/>
                <w:szCs w:val="18"/>
              </w:rPr>
              <w:t>增加净 利润， 计入非 经常性 损益</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27.96%</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合同约 定协议 生效后 </w:t>
            </w:r>
            <w:r>
              <w:rPr>
                <w:rFonts w:ascii="Times New Roman" w:hAnsi="Times New Roman" w:cs="Times New Roman" w:eastAsia="Times New Roman" w:hint="default"/>
                <w:sz w:val="18"/>
                <w:szCs w:val="18"/>
              </w:rPr>
              <w:t>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天付 款，截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p>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12" w:lineRule="auto" w:before="63"/>
              <w:ind w:left="22" w:right="65"/>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日已 收股权 转让 款。</w:t>
            </w:r>
          </w:p>
        </w:tc>
        <w:tc>
          <w:tcPr>
            <w:tcW w:w="683"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随本期 报告</w:t>
            </w:r>
          </w:p>
        </w:tc>
      </w:tr>
    </w:tbl>
    <w:p>
      <w:pPr>
        <w:spacing w:line="240" w:lineRule="auto" w:before="7"/>
        <w:rPr>
          <w:rFonts w:ascii="Times New Roman" w:hAnsi="Times New Roman" w:cs="Times New Roman" w:eastAsia="Times New Roman" w:hint="default"/>
          <w:sz w:val="20"/>
          <w:szCs w:val="20"/>
        </w:rPr>
      </w:pPr>
    </w:p>
    <w:p>
      <w:pPr>
        <w:pStyle w:val="Heading2"/>
        <w:spacing w:line="367" w:lineRule="exact"/>
        <w:ind w:right="0"/>
        <w:jc w:val="left"/>
        <w:rPr>
          <w:b w:val="0"/>
          <w:bCs w:val="0"/>
        </w:rPr>
      </w:pPr>
      <w:r>
        <w:rPr/>
        <w:t>七、主要控股参股公司分析</w:t>
      </w:r>
      <w:r>
        <w:rPr>
          <w:b w:val="0"/>
          <w:bCs w:val="0"/>
        </w:rPr>
      </w:r>
    </w:p>
    <w:p>
      <w:pPr>
        <w:spacing w:line="240" w:lineRule="auto" w:before="15"/>
        <w:rPr>
          <w:rFonts w:ascii="Microsoft JhengHei" w:hAnsi="Microsoft JhengHei" w:cs="Microsoft JhengHei" w:eastAsia="Microsoft JhengHei" w:hint="default"/>
          <w:b/>
          <w:bCs/>
          <w:sz w:val="15"/>
          <w:szCs w:val="15"/>
        </w:rPr>
      </w:pPr>
    </w:p>
    <w:p>
      <w:pPr>
        <w:spacing w:after="0" w:line="240" w:lineRule="auto"/>
        <w:rPr>
          <w:rFonts w:ascii="Microsoft JhengHei" w:hAnsi="Microsoft JhengHei" w:cs="Microsoft JhengHei" w:eastAsia="Microsoft JhengHei" w:hint="default"/>
          <w:sz w:val="15"/>
          <w:szCs w:val="15"/>
        </w:rPr>
        <w:sectPr>
          <w:pgSz w:w="11910" w:h="16840"/>
          <w:pgMar w:header="747" w:footer="979" w:top="1060" w:bottom="1160" w:left="980" w:right="980"/>
        </w:sectPr>
      </w:pPr>
    </w:p>
    <w:p>
      <w:pPr>
        <w:spacing w:before="44"/>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154" w:right="-20"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849" w:space="4070"/>
            <w:col w:w="1031"/>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402"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8"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65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19"/>
              <w:jc w:val="left"/>
              <w:rPr>
                <w:rFonts w:ascii="宋体" w:hAnsi="宋体" w:cs="宋体" w:eastAsia="宋体" w:hint="default"/>
                <w:sz w:val="18"/>
                <w:szCs w:val="18"/>
              </w:rPr>
            </w:pPr>
            <w:r>
              <w:rPr>
                <w:rFonts w:ascii="宋体" w:hAnsi="宋体" w:cs="宋体" w:eastAsia="宋体" w:hint="default"/>
                <w:sz w:val="18"/>
                <w:szCs w:val="18"/>
              </w:rPr>
              <w:t>昆仑集团有 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0"/>
              <w:jc w:val="both"/>
              <w:rPr>
                <w:rFonts w:ascii="宋体" w:hAnsi="宋体" w:cs="宋体" w:eastAsia="宋体" w:hint="default"/>
                <w:sz w:val="18"/>
                <w:szCs w:val="18"/>
              </w:rPr>
            </w:pPr>
            <w:r>
              <w:rPr>
                <w:rFonts w:ascii="宋体" w:hAnsi="宋体" w:cs="宋体" w:eastAsia="宋体" w:hint="default"/>
                <w:sz w:val="18"/>
                <w:szCs w:val="18"/>
              </w:rPr>
              <w:t>主营业务为 研发、发行 及运营互联 网游戏及互 联网软件</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195,279,403.</w:t>
            </w:r>
          </w:p>
          <w:p>
            <w:pPr>
              <w:pStyle w:val="TableParagraph"/>
              <w:spacing w:line="240" w:lineRule="auto" w:before="106"/>
              <w:ind w:left="22" w:right="0"/>
              <w:jc w:val="left"/>
              <w:rPr>
                <w:rFonts w:ascii="Times New Roman" w:hAnsi="Times New Roman" w:cs="Times New Roman" w:eastAsia="Times New Roman" w:hint="default"/>
                <w:sz w:val="18"/>
                <w:szCs w:val="18"/>
              </w:rPr>
            </w:pPr>
            <w:r>
              <w:rPr>
                <w:rFonts w:ascii="Times New Roman"/>
                <w:sz w:val="18"/>
              </w:rPr>
              <w:t>04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2,569,723,13</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0.43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450,310,596.</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972,995,431.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100,510,971.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100,366,989.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line="338" w:lineRule="auto" w:before="117"/>
        <w:ind w:left="154" w:right="76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主要控股参股公司情况说明</w:t>
      </w:r>
    </w:p>
    <w:p>
      <w:pPr>
        <w:spacing w:line="316" w:lineRule="auto" w:before="42"/>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报告期内，昆仑集团有限公司收入主要来自于以下游戏的代理发行：手机游戏繁体版《全民奇迹》、《太极熊猫》、《放开</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那三国》、《啪啪三国》、《三国之刃》、《武侠</w:t>
      </w:r>
      <w:r>
        <w:rPr>
          <w:rFonts w:ascii="Times New Roman" w:hAnsi="Times New Roman" w:cs="Times New Roman" w:eastAsia="Times New Roman" w:hint="default"/>
          <w:sz w:val="18"/>
          <w:szCs w:val="18"/>
        </w:rPr>
        <w:t>Q</w:t>
      </w:r>
      <w:r>
        <w:rPr>
          <w:rFonts w:ascii="宋体" w:hAnsi="宋体" w:cs="宋体" w:eastAsia="宋体" w:hint="default"/>
          <w:sz w:val="18"/>
          <w:szCs w:val="18"/>
        </w:rPr>
        <w:t>传》等，网页游戏德文版、意文版《神曲》等。</w:t>
      </w:r>
    </w:p>
    <w:p>
      <w:pPr>
        <w:spacing w:after="0" w:line="316" w:lineRule="auto"/>
        <w:jc w:val="left"/>
        <w:rPr>
          <w:rFonts w:ascii="宋体" w:hAnsi="宋体" w:cs="宋体" w:eastAsia="宋体" w:hint="default"/>
          <w:sz w:val="18"/>
          <w:szCs w:val="18"/>
        </w:rPr>
        <w:sectPr>
          <w:type w:val="continuous"/>
          <w:pgSz w:w="11910" w:h="16840"/>
          <w:pgMar w:top="1060" w:bottom="1160" w:left="980" w:right="980"/>
        </w:sectPr>
      </w:pPr>
    </w:p>
    <w:p>
      <w:pPr>
        <w:spacing w:line="240" w:lineRule="auto" w:before="9"/>
        <w:rPr>
          <w:rFonts w:ascii="宋体" w:hAnsi="宋体" w:cs="宋体" w:eastAsia="宋体" w:hint="default"/>
          <w:sz w:val="23"/>
          <w:szCs w:val="23"/>
        </w:rPr>
      </w:pPr>
    </w:p>
    <w:p>
      <w:pPr>
        <w:pStyle w:val="Heading2"/>
        <w:spacing w:line="367" w:lineRule="exact"/>
        <w:ind w:right="213"/>
        <w:jc w:val="left"/>
        <w:rPr>
          <w:b w:val="0"/>
          <w:bCs w:val="0"/>
        </w:rPr>
      </w:pPr>
      <w:r>
        <w:rPr/>
        <w:t>八、公司控制的结构化主体情况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2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8"/>
          <w:szCs w:val="18"/>
        </w:rPr>
      </w:pPr>
    </w:p>
    <w:p>
      <w:pPr>
        <w:pStyle w:val="Heading2"/>
        <w:spacing w:line="240" w:lineRule="auto"/>
        <w:ind w:right="213"/>
        <w:jc w:val="left"/>
        <w:rPr>
          <w:b w:val="0"/>
          <w:bCs w:val="0"/>
        </w:rPr>
      </w:pPr>
      <w:r>
        <w:rPr/>
        <w:t>九、公司未来发展的展望</w:t>
      </w:r>
      <w:r>
        <w:rPr>
          <w:b w:val="0"/>
          <w:bCs w:val="0"/>
        </w:rPr>
      </w:r>
    </w:p>
    <w:p>
      <w:pPr>
        <w:spacing w:line="440" w:lineRule="atLeast" w:before="129"/>
        <w:ind w:left="574" w:right="103" w:hanging="421"/>
        <w:jc w:val="left"/>
        <w:rPr>
          <w:rFonts w:ascii="宋体" w:hAnsi="宋体" w:cs="宋体" w:eastAsia="宋体" w:hint="default"/>
          <w:sz w:val="21"/>
          <w:szCs w:val="21"/>
        </w:rPr>
      </w:pPr>
      <w:r>
        <w:rPr>
          <w:rFonts w:ascii="宋体" w:hAnsi="宋体" w:cs="宋体" w:eastAsia="宋体" w:hint="default"/>
          <w:sz w:val="21"/>
          <w:szCs w:val="21"/>
        </w:rPr>
        <w:t>行业前景及空间 </w:t>
      </w:r>
      <w:r>
        <w:rPr>
          <w:rFonts w:ascii="宋体" w:hAnsi="宋体" w:cs="宋体" w:eastAsia="宋体" w:hint="default"/>
          <w:spacing w:val="-1"/>
          <w:sz w:val="21"/>
          <w:szCs w:val="21"/>
        </w:rPr>
        <w:t>公司所处互联网服务业，是国际公认最具发展前景的行业之一。</w:t>
      </w:r>
      <w:r>
        <w:rPr>
          <w:rFonts w:ascii="Times New Roman" w:hAnsi="Times New Roman" w:cs="Times New Roman" w:eastAsia="Times New Roman" w:hint="default"/>
          <w:spacing w:val="-1"/>
          <w:sz w:val="21"/>
          <w:szCs w:val="21"/>
        </w:rPr>
        <w:t>2014</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11</w:t>
      </w:r>
      <w:r>
        <w:rPr>
          <w:rFonts w:ascii="宋体" w:hAnsi="宋体" w:cs="宋体" w:eastAsia="宋体" w:hint="default"/>
          <w:spacing w:val="-1"/>
          <w:sz w:val="21"/>
          <w:szCs w:val="21"/>
        </w:rPr>
        <w:t>月，国务院总理李克强出席</w:t>
      </w:r>
    </w:p>
    <w:p>
      <w:pPr>
        <w:spacing w:line="256" w:lineRule="auto" w:before="21"/>
        <w:ind w:left="154" w:right="196" w:firstLine="0"/>
        <w:jc w:val="left"/>
        <w:rPr>
          <w:rFonts w:ascii="宋体" w:hAnsi="宋体" w:cs="宋体" w:eastAsia="宋体" w:hint="default"/>
          <w:sz w:val="21"/>
          <w:szCs w:val="21"/>
        </w:rPr>
      </w:pPr>
      <w:r>
        <w:rPr>
          <w:rFonts w:ascii="宋体" w:hAnsi="宋体" w:cs="宋体" w:eastAsia="宋体" w:hint="default"/>
          <w:sz w:val="21"/>
          <w:szCs w:val="21"/>
        </w:rPr>
        <w:t>首届世界互联网大会时指出，互联网是大众创业、万众创新的新工具。其中</w:t>
      </w:r>
      <w:r>
        <w:rPr>
          <w:rFonts w:ascii="Times New Roman" w:hAnsi="Times New Roman" w:cs="Times New Roman" w:eastAsia="Times New Roman" w:hint="default"/>
          <w:sz w:val="21"/>
          <w:szCs w:val="21"/>
        </w:rPr>
        <w:t>“</w:t>
      </w:r>
      <w:r>
        <w:rPr>
          <w:rFonts w:ascii="宋体" w:hAnsi="宋体" w:cs="宋体" w:eastAsia="宋体" w:hint="default"/>
          <w:sz w:val="21"/>
          <w:szCs w:val="21"/>
        </w:rPr>
        <w:t>大众创业、万众创新</w:t>
      </w:r>
      <w:r>
        <w:rPr>
          <w:rFonts w:ascii="Times New Roman" w:hAnsi="Times New Roman" w:cs="Times New Roman" w:eastAsia="Times New Roman" w:hint="default"/>
          <w:sz w:val="21"/>
          <w:szCs w:val="21"/>
        </w:rPr>
        <w:t>”</w:t>
      </w:r>
      <w:r>
        <w:rPr>
          <w:rFonts w:ascii="宋体" w:hAnsi="宋体" w:cs="宋体" w:eastAsia="宋体" w:hint="default"/>
          <w:sz w:val="21"/>
          <w:szCs w:val="21"/>
        </w:rPr>
        <w:t>正是此 次政府工作报告中的重要主题，被称作中国经济提质增效升级的</w:t>
      </w:r>
      <w:r>
        <w:rPr>
          <w:rFonts w:ascii="Times New Roman" w:hAnsi="Times New Roman" w:cs="Times New Roman" w:eastAsia="Times New Roman" w:hint="default"/>
          <w:sz w:val="21"/>
          <w:szCs w:val="21"/>
        </w:rPr>
        <w:t>“</w:t>
      </w:r>
      <w:r>
        <w:rPr>
          <w:rFonts w:ascii="宋体" w:hAnsi="宋体" w:cs="宋体" w:eastAsia="宋体" w:hint="default"/>
          <w:sz w:val="21"/>
          <w:szCs w:val="21"/>
        </w:rPr>
        <w:t>新引擎</w:t>
      </w:r>
      <w:r>
        <w:rPr>
          <w:rFonts w:ascii="Times New Roman" w:hAnsi="Times New Roman" w:cs="Times New Roman" w:eastAsia="Times New Roman" w:hint="default"/>
          <w:sz w:val="21"/>
          <w:szCs w:val="21"/>
        </w:rPr>
        <w:t>”</w:t>
      </w:r>
      <w:r>
        <w:rPr>
          <w:rFonts w:ascii="宋体" w:hAnsi="宋体" w:cs="宋体" w:eastAsia="宋体" w:hint="default"/>
          <w:sz w:val="21"/>
          <w:szCs w:val="21"/>
        </w:rPr>
        <w:t>，可见其重要作用。</w:t>
      </w:r>
    </w:p>
    <w:p>
      <w:pPr>
        <w:spacing w:before="125"/>
        <w:ind w:left="574" w:right="103" w:firstLine="0"/>
        <w:jc w:val="left"/>
        <w:rPr>
          <w:rFonts w:ascii="宋体" w:hAnsi="宋体" w:cs="宋体" w:eastAsia="宋体" w:hint="default"/>
          <w:sz w:val="21"/>
          <w:szCs w:val="21"/>
        </w:rPr>
      </w:pPr>
      <w:r>
        <w:rPr>
          <w:rFonts w:ascii="宋体" w:hAnsi="宋体" w:cs="宋体" w:eastAsia="宋体" w:hint="default"/>
          <w:sz w:val="21"/>
          <w:szCs w:val="21"/>
        </w:rPr>
        <w:t>根据研究咨询机构</w:t>
      </w:r>
      <w:r>
        <w:rPr>
          <w:rFonts w:ascii="Times New Roman" w:hAnsi="Times New Roman" w:cs="Times New Roman" w:eastAsia="Times New Roman" w:hint="default"/>
          <w:sz w:val="21"/>
          <w:szCs w:val="21"/>
        </w:rPr>
        <w:t>IDC</w:t>
      </w:r>
      <w:r>
        <w:rPr>
          <w:rFonts w:ascii="宋体" w:hAnsi="宋体" w:cs="宋体" w:eastAsia="宋体" w:hint="default"/>
          <w:sz w:val="21"/>
          <w:szCs w:val="21"/>
        </w:rPr>
        <w:t>研究报告显示，</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年全球互联网用户数将达到</w:t>
      </w:r>
      <w:r>
        <w:rPr>
          <w:rFonts w:ascii="Times New Roman" w:hAnsi="Times New Roman" w:cs="Times New Roman" w:eastAsia="Times New Roman" w:hint="default"/>
          <w:sz w:val="21"/>
          <w:szCs w:val="21"/>
        </w:rPr>
        <w:t>32</w:t>
      </w:r>
      <w:r>
        <w:rPr>
          <w:rFonts w:ascii="宋体" w:hAnsi="宋体" w:cs="宋体" w:eastAsia="宋体" w:hint="default"/>
          <w:sz w:val="21"/>
          <w:szCs w:val="21"/>
        </w:rPr>
        <w:t>亿人，约占全球总人口数的</w:t>
      </w:r>
    </w:p>
    <w:p>
      <w:pPr>
        <w:spacing w:before="21"/>
        <w:ind w:left="154" w:right="2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44%</w:t>
      </w:r>
      <w:r>
        <w:rPr>
          <w:rFonts w:ascii="宋体" w:hAnsi="宋体" w:cs="宋体" w:eastAsia="宋体" w:hint="default"/>
          <w:sz w:val="21"/>
          <w:szCs w:val="21"/>
        </w:rPr>
        <w:t>；其中，移动互联网用户总数将达到</w:t>
      </w:r>
      <w:r>
        <w:rPr>
          <w:rFonts w:ascii="Times New Roman" w:hAnsi="Times New Roman" w:cs="Times New Roman" w:eastAsia="Times New Roman" w:hint="default"/>
          <w:sz w:val="21"/>
          <w:szCs w:val="21"/>
        </w:rPr>
        <w:t>20</w:t>
      </w:r>
      <w:r>
        <w:rPr>
          <w:rFonts w:ascii="宋体" w:hAnsi="宋体" w:cs="宋体" w:eastAsia="宋体" w:hint="default"/>
          <w:sz w:val="21"/>
          <w:szCs w:val="21"/>
        </w:rPr>
        <w:t>亿。</w:t>
      </w:r>
    </w:p>
    <w:p>
      <w:pPr>
        <w:spacing w:line="264" w:lineRule="auto" w:before="141"/>
        <w:ind w:left="154" w:right="103" w:firstLine="420"/>
        <w:jc w:val="left"/>
        <w:rPr>
          <w:rFonts w:ascii="宋体" w:hAnsi="宋体" w:cs="宋体" w:eastAsia="宋体" w:hint="default"/>
          <w:sz w:val="21"/>
          <w:szCs w:val="21"/>
        </w:rPr>
      </w:pPr>
      <w:r>
        <w:rPr>
          <w:rFonts w:ascii="宋体" w:hAnsi="宋体" w:cs="宋体" w:eastAsia="宋体" w:hint="default"/>
          <w:sz w:val="21"/>
          <w:szCs w:val="21"/>
        </w:rPr>
        <w:t>另据易观智库</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月发布的《中国移动互联网用户分析</w:t>
      </w:r>
      <w:r>
        <w:rPr>
          <w:rFonts w:ascii="Times New Roman" w:hAnsi="Times New Roman" w:cs="Times New Roman" w:eastAsia="Times New Roman" w:hint="default"/>
          <w:sz w:val="21"/>
          <w:szCs w:val="21"/>
        </w:rPr>
        <w:t>2016</w:t>
      </w:r>
      <w:r>
        <w:rPr>
          <w:rFonts w:ascii="宋体" w:hAnsi="宋体" w:cs="宋体" w:eastAsia="宋体" w:hint="default"/>
          <w:sz w:val="21"/>
          <w:szCs w:val="21"/>
        </w:rPr>
        <w:t>》显示，沟通、娱乐、生活工具是移 动互联网用户高频使用的</w:t>
      </w:r>
      <w:r>
        <w:rPr>
          <w:rFonts w:ascii="Times New Roman" w:hAnsi="Times New Roman" w:cs="Times New Roman" w:eastAsia="Times New Roman" w:hint="default"/>
          <w:sz w:val="21"/>
          <w:szCs w:val="21"/>
        </w:rPr>
        <w:t>APP</w:t>
      </w:r>
      <w:r>
        <w:rPr>
          <w:rFonts w:ascii="宋体" w:hAnsi="宋体" w:cs="宋体" w:eastAsia="宋体" w:hint="default"/>
          <w:sz w:val="21"/>
          <w:szCs w:val="21"/>
        </w:rPr>
        <w:t>分类。下图为</w:t>
      </w:r>
      <w:r>
        <w:rPr>
          <w:rFonts w:ascii="Times New Roman" w:hAnsi="Times New Roman" w:cs="Times New Roman" w:eastAsia="Times New Roman" w:hint="default"/>
          <w:sz w:val="21"/>
          <w:szCs w:val="21"/>
        </w:rPr>
        <w:t>2015</w:t>
      </w:r>
      <w:r>
        <w:rPr>
          <w:rFonts w:ascii="宋体" w:hAnsi="宋体" w:cs="宋体" w:eastAsia="宋体" w:hint="default"/>
          <w:sz w:val="21"/>
          <w:szCs w:val="21"/>
        </w:rPr>
        <w:t>年移动互联网用户</w:t>
      </w:r>
      <w:r>
        <w:rPr>
          <w:rFonts w:ascii="Times New Roman" w:hAnsi="Times New Roman" w:cs="Times New Roman" w:eastAsia="Times New Roman" w:hint="default"/>
          <w:sz w:val="21"/>
          <w:szCs w:val="21"/>
        </w:rPr>
        <w:t>APP</w:t>
      </w:r>
      <w:r>
        <w:rPr>
          <w:rFonts w:ascii="宋体" w:hAnsi="宋体" w:cs="宋体" w:eastAsia="宋体" w:hint="default"/>
          <w:sz w:val="21"/>
          <w:szCs w:val="21"/>
        </w:rPr>
        <w:t>分类月均活跃用户规模</w:t>
      </w:r>
      <w:r>
        <w:rPr>
          <w:rFonts w:ascii="Times New Roman" w:hAnsi="Times New Roman" w:cs="Times New Roman" w:eastAsia="Times New Roman" w:hint="default"/>
          <w:sz w:val="21"/>
          <w:szCs w:val="21"/>
        </w:rPr>
        <w:t>TOP20</w:t>
      </w:r>
      <w:r>
        <w:rPr>
          <w:rFonts w:ascii="宋体" w:hAnsi="宋体" w:cs="宋体" w:eastAsia="宋体" w:hint="default"/>
          <w:sz w:val="21"/>
          <w:szCs w:val="21"/>
        </w:rPr>
        <w:t>，其</w:t>
      </w:r>
      <w:r>
        <w:rPr>
          <w:rFonts w:ascii="宋体" w:hAnsi="宋体" w:cs="宋体" w:eastAsia="宋体" w:hint="default"/>
          <w:spacing w:val="-41"/>
          <w:sz w:val="21"/>
          <w:szCs w:val="21"/>
        </w:rPr>
        <w:t> </w:t>
      </w:r>
      <w:r>
        <w:rPr>
          <w:rFonts w:ascii="宋体" w:hAnsi="宋体" w:cs="宋体" w:eastAsia="宋体" w:hint="default"/>
          <w:spacing w:val="-3"/>
          <w:sz w:val="21"/>
          <w:szCs w:val="21"/>
        </w:rPr>
        <w:t>中排名靠前的社交网络、游戏、浏览器、安全管理、应用商店、综合视频等内容，公司均有所涉及。同时，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公司所面向的是更加广阔的国际市场，可根据全球网民与中国网民数量推算，国际月活跃用户约为中国的</w:t>
      </w:r>
      <w:r>
        <w:rPr>
          <w:rFonts w:ascii="宋体" w:hAnsi="宋体" w:cs="宋体" w:eastAsia="宋体" w:hint="default"/>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倍。</w:t>
      </w:r>
    </w:p>
    <w:p>
      <w:pPr>
        <w:spacing w:after="0" w:line="264" w:lineRule="auto"/>
        <w:jc w:val="left"/>
        <w:rPr>
          <w:rFonts w:ascii="宋体" w:hAnsi="宋体" w:cs="宋体" w:eastAsia="宋体" w:hint="default"/>
          <w:sz w:val="21"/>
          <w:szCs w:val="21"/>
        </w:rPr>
        <w:sectPr>
          <w:pgSz w:w="11910" w:h="16840"/>
          <w:pgMar w:header="747" w:footer="979" w:top="1060" w:bottom="1160" w:left="980" w:right="9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8250" w:lineRule="exact"/>
        <w:ind w:left="1156" w:right="0" w:firstLine="0"/>
        <w:rPr>
          <w:rFonts w:ascii="宋体" w:hAnsi="宋体" w:cs="宋体" w:eastAsia="宋体" w:hint="default"/>
          <w:sz w:val="20"/>
          <w:szCs w:val="20"/>
        </w:rPr>
      </w:pPr>
      <w:r>
        <w:rPr>
          <w:rFonts w:ascii="宋体" w:hAnsi="宋体" w:cs="宋体" w:eastAsia="宋体" w:hint="default"/>
          <w:position w:val="-164"/>
          <w:sz w:val="20"/>
          <w:szCs w:val="20"/>
        </w:rPr>
        <w:drawing>
          <wp:inline distT="0" distB="0" distL="0" distR="0">
            <wp:extent cx="4848765" cy="5238750"/>
            <wp:effectExtent l="0" t="0" r="0" b="0"/>
            <wp:docPr id="49" name="image26.jpeg" descr=""/>
            <wp:cNvGraphicFramePr>
              <a:graphicFrameLocks noChangeAspect="1"/>
            </wp:cNvGraphicFramePr>
            <a:graphic>
              <a:graphicData uri="http://schemas.openxmlformats.org/drawingml/2006/picture">
                <pic:pic>
                  <pic:nvPicPr>
                    <pic:cNvPr id="50" name="image26.jpeg"/>
                    <pic:cNvPicPr/>
                  </pic:nvPicPr>
                  <pic:blipFill>
                    <a:blip r:embed="rId37" cstate="print"/>
                    <a:stretch>
                      <a:fillRect/>
                    </a:stretch>
                  </pic:blipFill>
                  <pic:spPr>
                    <a:xfrm>
                      <a:off x="0" y="0"/>
                      <a:ext cx="4848765" cy="5238750"/>
                    </a:xfrm>
                    <a:prstGeom prst="rect">
                      <a:avLst/>
                    </a:prstGeom>
                  </pic:spPr>
                </pic:pic>
              </a:graphicData>
            </a:graphic>
          </wp:inline>
        </w:drawing>
      </w:r>
      <w:r>
        <w:rPr>
          <w:rFonts w:ascii="宋体" w:hAnsi="宋体" w:cs="宋体" w:eastAsia="宋体" w:hint="default"/>
          <w:position w:val="-164"/>
          <w:sz w:val="20"/>
          <w:szCs w:val="20"/>
        </w:rPr>
      </w:r>
    </w:p>
    <w:p>
      <w:pPr>
        <w:spacing w:line="240" w:lineRule="auto" w:before="13"/>
        <w:rPr>
          <w:rFonts w:ascii="宋体" w:hAnsi="宋体" w:cs="宋体" w:eastAsia="宋体" w:hint="default"/>
          <w:sz w:val="11"/>
          <w:szCs w:val="11"/>
        </w:rPr>
      </w:pPr>
    </w:p>
    <w:p>
      <w:pPr>
        <w:spacing w:before="35"/>
        <w:ind w:left="574" w:right="82" w:firstLine="1488"/>
        <w:jc w:val="left"/>
        <w:rPr>
          <w:rFonts w:ascii="Times New Roman" w:hAnsi="Times New Roman" w:cs="Times New Roman" w:eastAsia="Times New Roman" w:hint="default"/>
          <w:sz w:val="21"/>
          <w:szCs w:val="21"/>
        </w:rPr>
      </w:pPr>
      <w:r>
        <w:rPr>
          <w:rFonts w:ascii="宋体" w:hAnsi="宋体" w:cs="宋体" w:eastAsia="宋体" w:hint="default"/>
          <w:sz w:val="21"/>
          <w:szCs w:val="21"/>
        </w:rPr>
        <w:t>易观智库：</w:t>
      </w:r>
      <w:r>
        <w:rPr>
          <w:rFonts w:ascii="Times New Roman" w:hAnsi="Times New Roman" w:cs="Times New Roman" w:eastAsia="Times New Roman" w:hint="default"/>
          <w:sz w:val="21"/>
          <w:szCs w:val="21"/>
        </w:rPr>
        <w:t>2015</w:t>
      </w:r>
      <w:r>
        <w:rPr>
          <w:rFonts w:ascii="宋体" w:hAnsi="宋体" w:cs="宋体" w:eastAsia="宋体" w:hint="default"/>
          <w:sz w:val="21"/>
          <w:szCs w:val="21"/>
        </w:rPr>
        <w:t>年移动互联网用户</w:t>
      </w:r>
      <w:r>
        <w:rPr>
          <w:rFonts w:ascii="Times New Roman" w:hAnsi="Times New Roman" w:cs="Times New Roman" w:eastAsia="Times New Roman" w:hint="default"/>
          <w:sz w:val="21"/>
          <w:szCs w:val="21"/>
        </w:rPr>
        <w:t>APP</w:t>
      </w:r>
      <w:r>
        <w:rPr>
          <w:rFonts w:ascii="宋体" w:hAnsi="宋体" w:cs="宋体" w:eastAsia="宋体" w:hint="default"/>
          <w:sz w:val="21"/>
          <w:szCs w:val="21"/>
        </w:rPr>
        <w:t>分类月均活跃用户规模</w:t>
      </w:r>
      <w:r>
        <w:rPr>
          <w:rFonts w:ascii="Times New Roman" w:hAnsi="Times New Roman" w:cs="Times New Roman" w:eastAsia="Times New Roman" w:hint="default"/>
          <w:sz w:val="21"/>
          <w:szCs w:val="21"/>
        </w:rPr>
        <w:t>TOP20</w:t>
      </w:r>
    </w:p>
    <w:p>
      <w:pPr>
        <w:spacing w:line="256" w:lineRule="auto" w:before="141"/>
        <w:ind w:left="154" w:right="182" w:firstLine="420"/>
        <w:jc w:val="left"/>
        <w:rPr>
          <w:rFonts w:ascii="宋体" w:hAnsi="宋体" w:cs="宋体" w:eastAsia="宋体" w:hint="default"/>
          <w:sz w:val="21"/>
          <w:szCs w:val="21"/>
        </w:rPr>
      </w:pPr>
      <w:r>
        <w:rPr>
          <w:rFonts w:ascii="宋体" w:hAnsi="宋体" w:cs="宋体" w:eastAsia="宋体" w:hint="default"/>
          <w:spacing w:val="-1"/>
          <w:sz w:val="21"/>
          <w:szCs w:val="21"/>
        </w:rPr>
        <w:t>其中，社交网络方面，数据分析公司</w:t>
      </w:r>
      <w:r>
        <w:rPr>
          <w:rFonts w:ascii="Times New Roman" w:hAnsi="Times New Roman" w:cs="Times New Roman" w:eastAsia="Times New Roman" w:hint="default"/>
          <w:spacing w:val="-1"/>
          <w:sz w:val="21"/>
          <w:szCs w:val="21"/>
        </w:rPr>
        <w:t>eMarketer</w:t>
      </w:r>
      <w:r>
        <w:rPr>
          <w:rFonts w:ascii="宋体" w:hAnsi="宋体" w:cs="宋体" w:eastAsia="宋体" w:hint="default"/>
          <w:spacing w:val="-1"/>
          <w:sz w:val="21"/>
          <w:szCs w:val="21"/>
        </w:rPr>
        <w:t>发布的《</w:t>
      </w:r>
      <w:r>
        <w:rPr>
          <w:rFonts w:ascii="Times New Roman" w:hAnsi="Times New Roman" w:cs="Times New Roman" w:eastAsia="Times New Roman" w:hint="default"/>
          <w:spacing w:val="-1"/>
          <w:sz w:val="21"/>
          <w:szCs w:val="21"/>
        </w:rPr>
        <w:t>2015</w:t>
      </w:r>
      <w:r>
        <w:rPr>
          <w:rFonts w:ascii="宋体" w:hAnsi="宋体" w:cs="宋体" w:eastAsia="宋体" w:hint="default"/>
          <w:spacing w:val="-1"/>
          <w:sz w:val="21"/>
          <w:szCs w:val="21"/>
        </w:rPr>
        <w:t>年社交网络广告收入报告》中预计，</w:t>
      </w:r>
      <w:r>
        <w:rPr>
          <w:rFonts w:ascii="Times New Roman" w:hAnsi="Times New Roman" w:cs="Times New Roman" w:eastAsia="Times New Roman" w:hint="default"/>
          <w:spacing w:val="-1"/>
          <w:sz w:val="21"/>
          <w:szCs w:val="21"/>
        </w:rPr>
        <w:t>2015</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年，全球社交网络的广告收入将达到</w:t>
      </w:r>
      <w:r>
        <w:rPr>
          <w:rFonts w:ascii="Times New Roman" w:hAnsi="Times New Roman" w:cs="Times New Roman" w:eastAsia="Times New Roman" w:hint="default"/>
          <w:sz w:val="21"/>
          <w:szCs w:val="21"/>
        </w:rPr>
        <w:t>251.4</w:t>
      </w:r>
      <w:r>
        <w:rPr>
          <w:rFonts w:ascii="宋体" w:hAnsi="宋体" w:cs="宋体" w:eastAsia="宋体" w:hint="default"/>
          <w:sz w:val="21"/>
          <w:szCs w:val="21"/>
        </w:rPr>
        <w:t>亿美元。</w:t>
      </w:r>
    </w:p>
    <w:p>
      <w:pPr>
        <w:spacing w:line="256" w:lineRule="auto" w:before="125"/>
        <w:ind w:left="154" w:right="100" w:firstLine="420"/>
        <w:jc w:val="left"/>
        <w:rPr>
          <w:rFonts w:ascii="宋体" w:hAnsi="宋体" w:cs="宋体" w:eastAsia="宋体" w:hint="default"/>
          <w:sz w:val="21"/>
          <w:szCs w:val="21"/>
        </w:rPr>
      </w:pPr>
      <w:r>
        <w:rPr>
          <w:rFonts w:ascii="宋体" w:hAnsi="宋体" w:cs="宋体" w:eastAsia="宋体" w:hint="default"/>
          <w:sz w:val="21"/>
          <w:szCs w:val="21"/>
        </w:rPr>
        <w:t>互联网金融方面，中投顾问《</w:t>
      </w:r>
      <w:r>
        <w:rPr>
          <w:rFonts w:ascii="Times New Roman" w:hAnsi="Times New Roman" w:cs="Times New Roman" w:eastAsia="Times New Roman" w:hint="default"/>
          <w:sz w:val="21"/>
          <w:szCs w:val="21"/>
        </w:rPr>
        <w:t>2016-2020</w:t>
      </w:r>
      <w:r>
        <w:rPr>
          <w:rFonts w:ascii="宋体" w:hAnsi="宋体" w:cs="宋体" w:eastAsia="宋体" w:hint="default"/>
          <w:sz w:val="21"/>
          <w:szCs w:val="21"/>
        </w:rPr>
        <w:t>年中国互联网金融行业深度调研及投资前景预测报告》预计， </w:t>
      </w:r>
      <w:r>
        <w:rPr>
          <w:rFonts w:ascii="Times New Roman" w:hAnsi="Times New Roman" w:cs="Times New Roman" w:eastAsia="Times New Roman" w:hint="default"/>
          <w:sz w:val="21"/>
          <w:szCs w:val="21"/>
        </w:rPr>
        <w:t>2016</w:t>
      </w:r>
      <w:r>
        <w:rPr>
          <w:rFonts w:ascii="宋体" w:hAnsi="宋体" w:cs="宋体" w:eastAsia="宋体" w:hint="default"/>
          <w:sz w:val="21"/>
          <w:szCs w:val="21"/>
        </w:rPr>
        <w:t>年中国互联网金融行业市场规模将达</w:t>
      </w:r>
      <w:r>
        <w:rPr>
          <w:rFonts w:ascii="Times New Roman" w:hAnsi="Times New Roman" w:cs="Times New Roman" w:eastAsia="Times New Roman" w:hint="default"/>
          <w:sz w:val="21"/>
          <w:szCs w:val="21"/>
        </w:rPr>
        <w:t>17.8</w:t>
      </w:r>
      <w:r>
        <w:rPr>
          <w:rFonts w:ascii="宋体" w:hAnsi="宋体" w:cs="宋体" w:eastAsia="宋体" w:hint="default"/>
          <w:sz w:val="21"/>
          <w:szCs w:val="21"/>
        </w:rPr>
        <w:t>万亿元，</w:t>
      </w:r>
      <w:r>
        <w:rPr>
          <w:rFonts w:ascii="Times New Roman" w:hAnsi="Times New Roman" w:cs="Times New Roman" w:eastAsia="Times New Roman" w:hint="default"/>
          <w:sz w:val="21"/>
          <w:szCs w:val="21"/>
        </w:rPr>
        <w:t>2020</w:t>
      </w:r>
      <w:r>
        <w:rPr>
          <w:rFonts w:ascii="宋体" w:hAnsi="宋体" w:cs="宋体" w:eastAsia="宋体" w:hint="default"/>
          <w:sz w:val="21"/>
          <w:szCs w:val="21"/>
        </w:rPr>
        <w:t>年预计将达</w:t>
      </w:r>
      <w:r>
        <w:rPr>
          <w:rFonts w:ascii="Times New Roman" w:hAnsi="Times New Roman" w:cs="Times New Roman" w:eastAsia="Times New Roman" w:hint="default"/>
          <w:sz w:val="21"/>
          <w:szCs w:val="21"/>
        </w:rPr>
        <w:t>43.0</w:t>
      </w:r>
      <w:r>
        <w:rPr>
          <w:rFonts w:ascii="宋体" w:hAnsi="宋体" w:cs="宋体" w:eastAsia="宋体" w:hint="default"/>
          <w:sz w:val="21"/>
          <w:szCs w:val="21"/>
        </w:rPr>
        <w:t>万亿元。未来五年</w:t>
      </w:r>
      <w:r>
        <w:rPr>
          <w:rFonts w:ascii="Times New Roman" w:hAnsi="Times New Roman" w:cs="Times New Roman" w:eastAsia="Times New Roman" w:hint="default"/>
          <w:sz w:val="21"/>
          <w:szCs w:val="21"/>
        </w:rPr>
        <w:t>(2016-2020)</w:t>
      </w:r>
      <w:r>
        <w:rPr>
          <w:rFonts w:ascii="Times New Roman" w:hAnsi="Times New Roman" w:cs="Times New Roman" w:eastAsia="Times New Roman" w:hint="default"/>
          <w:spacing w:val="23"/>
          <w:sz w:val="21"/>
          <w:szCs w:val="21"/>
        </w:rPr>
        <w:t> </w:t>
      </w:r>
      <w:r>
        <w:rPr>
          <w:rFonts w:ascii="Times New Roman" w:hAnsi="Times New Roman" w:cs="Times New Roman" w:eastAsia="Times New Roman" w:hint="default"/>
          <w:spacing w:val="23"/>
          <w:sz w:val="21"/>
          <w:szCs w:val="21"/>
        </w:rPr>
      </w:r>
      <w:r>
        <w:rPr>
          <w:rFonts w:ascii="宋体" w:hAnsi="宋体" w:cs="宋体" w:eastAsia="宋体" w:hint="default"/>
          <w:sz w:val="21"/>
          <w:szCs w:val="21"/>
        </w:rPr>
        <w:t>行业年均复合增长率约为</w:t>
      </w:r>
      <w:r>
        <w:rPr>
          <w:rFonts w:ascii="Times New Roman" w:hAnsi="Times New Roman" w:cs="Times New Roman" w:eastAsia="Times New Roman" w:hint="default"/>
          <w:sz w:val="21"/>
          <w:szCs w:val="21"/>
        </w:rPr>
        <w:t>24.67%</w:t>
      </w:r>
      <w:r>
        <w:rPr>
          <w:rFonts w:ascii="宋体" w:hAnsi="宋体" w:cs="宋体" w:eastAsia="宋体" w:hint="default"/>
          <w:sz w:val="21"/>
          <w:szCs w:val="21"/>
        </w:rPr>
        <w:t>。</w:t>
      </w:r>
    </w:p>
    <w:p>
      <w:pPr>
        <w:spacing w:line="256" w:lineRule="auto" w:before="125"/>
        <w:ind w:left="154" w:right="190" w:firstLine="420"/>
        <w:jc w:val="both"/>
        <w:rPr>
          <w:rFonts w:ascii="宋体" w:hAnsi="宋体" w:cs="宋体" w:eastAsia="宋体" w:hint="default"/>
          <w:sz w:val="21"/>
          <w:szCs w:val="21"/>
        </w:rPr>
      </w:pPr>
      <w:r>
        <w:rPr>
          <w:rFonts w:ascii="宋体" w:hAnsi="宋体" w:cs="宋体" w:eastAsia="宋体" w:hint="default"/>
          <w:spacing w:val="-2"/>
          <w:sz w:val="21"/>
          <w:szCs w:val="21"/>
        </w:rPr>
        <w:t>游戏方面，荷兰市场研究公司</w:t>
      </w:r>
      <w:r>
        <w:rPr>
          <w:rFonts w:ascii="Times New Roman" w:hAnsi="Times New Roman" w:cs="Times New Roman" w:eastAsia="Times New Roman" w:hint="default"/>
          <w:spacing w:val="-2"/>
          <w:sz w:val="21"/>
          <w:szCs w:val="21"/>
        </w:rPr>
        <w:t>Newzoo</w:t>
      </w:r>
      <w:r>
        <w:rPr>
          <w:rFonts w:ascii="宋体" w:hAnsi="宋体" w:cs="宋体" w:eastAsia="宋体" w:hint="default"/>
          <w:spacing w:val="-2"/>
          <w:sz w:val="21"/>
          <w:szCs w:val="21"/>
        </w:rPr>
        <w:t>于</w:t>
      </w:r>
      <w:r>
        <w:rPr>
          <w:rFonts w:ascii="Times New Roman" w:hAnsi="Times New Roman" w:cs="Times New Roman" w:eastAsia="Times New Roman" w:hint="default"/>
          <w:spacing w:val="-2"/>
          <w:sz w:val="21"/>
          <w:szCs w:val="21"/>
        </w:rPr>
        <w:t>2015</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月发布了一份回顾</w:t>
      </w:r>
      <w:r>
        <w:rPr>
          <w:rFonts w:ascii="Times New Roman" w:hAnsi="Times New Roman" w:cs="Times New Roman" w:eastAsia="Times New Roman" w:hint="default"/>
          <w:spacing w:val="-2"/>
          <w:sz w:val="21"/>
          <w:szCs w:val="21"/>
        </w:rPr>
        <w:t>2015</w:t>
      </w:r>
      <w:r>
        <w:rPr>
          <w:rFonts w:ascii="宋体" w:hAnsi="宋体" w:cs="宋体" w:eastAsia="宋体" w:hint="default"/>
          <w:spacing w:val="-2"/>
          <w:sz w:val="21"/>
          <w:szCs w:val="21"/>
        </w:rPr>
        <w:t>年移动游戏市场的报告，报告</w:t>
      </w:r>
      <w:r>
        <w:rPr>
          <w:rFonts w:ascii="宋体" w:hAnsi="宋体" w:cs="宋体" w:eastAsia="宋体" w:hint="default"/>
          <w:sz w:val="21"/>
          <w:szCs w:val="21"/>
        </w:rPr>
        <w:t> 指出，</w:t>
      </w:r>
      <w:r>
        <w:rPr>
          <w:rFonts w:ascii="Times New Roman" w:hAnsi="Times New Roman" w:cs="Times New Roman" w:eastAsia="Times New Roman" w:hint="default"/>
          <w:sz w:val="21"/>
          <w:szCs w:val="21"/>
        </w:rPr>
        <w:t>2015</w:t>
      </w:r>
      <w:r>
        <w:rPr>
          <w:rFonts w:ascii="宋体" w:hAnsi="宋体" w:cs="宋体" w:eastAsia="宋体" w:hint="default"/>
          <w:sz w:val="21"/>
          <w:szCs w:val="21"/>
        </w:rPr>
        <w:t>年全球移动游戏市场收入规模超过</w:t>
      </w:r>
      <w:r>
        <w:rPr>
          <w:rFonts w:ascii="Times New Roman" w:hAnsi="Times New Roman" w:cs="Times New Roman" w:eastAsia="Times New Roman" w:hint="default"/>
          <w:sz w:val="21"/>
          <w:szCs w:val="21"/>
        </w:rPr>
        <w:t>300</w:t>
      </w:r>
      <w:r>
        <w:rPr>
          <w:rFonts w:ascii="宋体" w:hAnsi="宋体" w:cs="宋体" w:eastAsia="宋体" w:hint="default"/>
          <w:sz w:val="21"/>
          <w:szCs w:val="21"/>
        </w:rPr>
        <w:t>亿美元，其中中国市场收入规模已升至全球第一，全年</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2"/>
          <w:sz w:val="21"/>
          <w:szCs w:val="21"/>
        </w:rPr>
        <w:t>总收入达到</w:t>
      </w:r>
      <w:r>
        <w:rPr>
          <w:rFonts w:ascii="Times New Roman" w:hAnsi="Times New Roman" w:cs="Times New Roman" w:eastAsia="Times New Roman" w:hint="default"/>
          <w:spacing w:val="-2"/>
          <w:sz w:val="21"/>
          <w:szCs w:val="21"/>
        </w:rPr>
        <w:t>65</w:t>
      </w:r>
      <w:r>
        <w:rPr>
          <w:rFonts w:ascii="宋体" w:hAnsi="宋体" w:cs="宋体" w:eastAsia="宋体" w:hint="default"/>
          <w:spacing w:val="-2"/>
          <w:sz w:val="21"/>
          <w:szCs w:val="21"/>
        </w:rPr>
        <w:t>亿美元</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相当于整个北美市场的收入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，同比增幅为</w:t>
      </w:r>
      <w:r>
        <w:rPr>
          <w:rFonts w:ascii="Times New Roman" w:hAnsi="Times New Roman" w:cs="Times New Roman" w:eastAsia="Times New Roman" w:hint="default"/>
          <w:spacing w:val="-2"/>
          <w:sz w:val="21"/>
          <w:szCs w:val="21"/>
        </w:rPr>
        <w:t>46.5%</w:t>
      </w:r>
      <w:r>
        <w:rPr>
          <w:rFonts w:ascii="宋体" w:hAnsi="宋体" w:cs="宋体" w:eastAsia="宋体" w:hint="default"/>
          <w:spacing w:val="-2"/>
          <w:sz w:val="21"/>
          <w:szCs w:val="21"/>
        </w:rPr>
        <w:t>。东南亚市场增速最快，</w:t>
      </w:r>
      <w:r>
        <w:rPr>
          <w:rFonts w:ascii="Times New Roman" w:hAnsi="Times New Roman" w:cs="Times New Roman" w:eastAsia="Times New Roman" w:hint="default"/>
          <w:spacing w:val="-2"/>
          <w:sz w:val="21"/>
          <w:szCs w:val="21"/>
        </w:rPr>
        <w:t>2015</w:t>
      </w:r>
      <w:r>
        <w:rPr>
          <w:rFonts w:ascii="宋体" w:hAnsi="宋体" w:cs="宋体" w:eastAsia="宋体" w:hint="default"/>
          <w:spacing w:val="-2"/>
          <w:sz w:val="21"/>
          <w:szCs w:val="21"/>
        </w:rPr>
        <w:t>年实现</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Times New Roman" w:hAnsi="Times New Roman" w:cs="Times New Roman" w:eastAsia="Times New Roman" w:hint="default"/>
          <w:sz w:val="21"/>
          <w:szCs w:val="21"/>
        </w:rPr>
        <w:t>18</w:t>
      </w:r>
      <w:r>
        <w:rPr>
          <w:rFonts w:ascii="宋体" w:hAnsi="宋体" w:cs="宋体" w:eastAsia="宋体" w:hint="default"/>
          <w:sz w:val="21"/>
          <w:szCs w:val="21"/>
        </w:rPr>
        <w:t>亿美元收入，增幅达到</w:t>
      </w:r>
      <w:r>
        <w:rPr>
          <w:rFonts w:ascii="Times New Roman" w:hAnsi="Times New Roman" w:cs="Times New Roman" w:eastAsia="Times New Roman" w:hint="default"/>
          <w:sz w:val="21"/>
          <w:szCs w:val="21"/>
        </w:rPr>
        <w:t>69%</w:t>
      </w:r>
      <w:r>
        <w:rPr>
          <w:rFonts w:ascii="宋体" w:hAnsi="宋体" w:cs="宋体" w:eastAsia="宋体" w:hint="default"/>
          <w:sz w:val="21"/>
          <w:szCs w:val="21"/>
        </w:rPr>
        <w:t>。</w:t>
      </w:r>
    </w:p>
    <w:p>
      <w:pPr>
        <w:spacing w:after="0" w:line="256" w:lineRule="auto"/>
        <w:jc w:val="both"/>
        <w:rPr>
          <w:rFonts w:ascii="宋体" w:hAnsi="宋体" w:cs="宋体" w:eastAsia="宋体" w:hint="default"/>
          <w:sz w:val="21"/>
          <w:szCs w:val="21"/>
        </w:rPr>
        <w:sectPr>
          <w:pgSz w:w="11910" w:h="16840"/>
          <w:pgMar w:header="747" w:footer="979" w:top="1060" w:bottom="1160" w:left="980" w:right="9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2"/>
          <w:szCs w:val="12"/>
        </w:rPr>
      </w:pPr>
    </w:p>
    <w:p>
      <w:pPr>
        <w:spacing w:line="4260" w:lineRule="exact"/>
        <w:ind w:left="1336" w:right="0" w:firstLine="0"/>
        <w:rPr>
          <w:rFonts w:ascii="宋体" w:hAnsi="宋体" w:cs="宋体" w:eastAsia="宋体" w:hint="default"/>
          <w:sz w:val="20"/>
          <w:szCs w:val="20"/>
        </w:rPr>
      </w:pPr>
      <w:r>
        <w:rPr>
          <w:rFonts w:ascii="宋体" w:hAnsi="宋体" w:cs="宋体" w:eastAsia="宋体" w:hint="default"/>
          <w:position w:val="-84"/>
          <w:sz w:val="20"/>
          <w:szCs w:val="20"/>
        </w:rPr>
        <w:drawing>
          <wp:inline distT="0" distB="0" distL="0" distR="0">
            <wp:extent cx="4620074" cy="2705100"/>
            <wp:effectExtent l="0" t="0" r="0" b="0"/>
            <wp:docPr id="51" name="image27.jpeg" descr=""/>
            <wp:cNvGraphicFramePr>
              <a:graphicFrameLocks noChangeAspect="1"/>
            </wp:cNvGraphicFramePr>
            <a:graphic>
              <a:graphicData uri="http://schemas.openxmlformats.org/drawingml/2006/picture">
                <pic:pic>
                  <pic:nvPicPr>
                    <pic:cNvPr id="52" name="image27.jpeg"/>
                    <pic:cNvPicPr/>
                  </pic:nvPicPr>
                  <pic:blipFill>
                    <a:blip r:embed="rId38" cstate="print"/>
                    <a:stretch>
                      <a:fillRect/>
                    </a:stretch>
                  </pic:blipFill>
                  <pic:spPr>
                    <a:xfrm>
                      <a:off x="0" y="0"/>
                      <a:ext cx="4620074" cy="2705100"/>
                    </a:xfrm>
                    <a:prstGeom prst="rect">
                      <a:avLst/>
                    </a:prstGeom>
                  </pic:spPr>
                </pic:pic>
              </a:graphicData>
            </a:graphic>
          </wp:inline>
        </w:drawing>
      </w:r>
      <w:r>
        <w:rPr>
          <w:rFonts w:ascii="宋体" w:hAnsi="宋体" w:cs="宋体" w:eastAsia="宋体" w:hint="default"/>
          <w:position w:val="-84"/>
          <w:sz w:val="20"/>
          <w:szCs w:val="20"/>
        </w:rPr>
      </w:r>
    </w:p>
    <w:p>
      <w:pPr>
        <w:spacing w:line="240" w:lineRule="auto" w:before="7"/>
        <w:rPr>
          <w:rFonts w:ascii="宋体" w:hAnsi="宋体" w:cs="宋体" w:eastAsia="宋体" w:hint="default"/>
          <w:sz w:val="9"/>
          <w:szCs w:val="9"/>
        </w:rPr>
      </w:pPr>
    </w:p>
    <w:p>
      <w:pPr>
        <w:spacing w:before="35"/>
        <w:ind w:left="615" w:right="196"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Newzoo</w:t>
      </w:r>
      <w:r>
        <w:rPr>
          <w:rFonts w:ascii="宋体" w:hAnsi="宋体" w:cs="宋体" w:eastAsia="宋体" w:hint="default"/>
          <w:sz w:val="21"/>
          <w:szCs w:val="21"/>
        </w:rPr>
        <w:t>：</w:t>
      </w:r>
      <w:r>
        <w:rPr>
          <w:rFonts w:ascii="Times New Roman" w:hAnsi="Times New Roman" w:cs="Times New Roman" w:eastAsia="Times New Roman" w:hint="default"/>
          <w:sz w:val="21"/>
          <w:szCs w:val="21"/>
        </w:rPr>
        <w:t>2014</w:t>
      </w:r>
      <w:r>
        <w:rPr>
          <w:rFonts w:ascii="宋体" w:hAnsi="宋体" w:cs="宋体" w:eastAsia="宋体" w:hint="default"/>
          <w:sz w:val="21"/>
          <w:szCs w:val="21"/>
        </w:rPr>
        <w:t>年至</w:t>
      </w:r>
      <w:r>
        <w:rPr>
          <w:rFonts w:ascii="Times New Roman" w:hAnsi="Times New Roman" w:cs="Times New Roman" w:eastAsia="Times New Roman" w:hint="default"/>
          <w:sz w:val="21"/>
          <w:szCs w:val="21"/>
        </w:rPr>
        <w:t>2018</w:t>
      </w:r>
      <w:r>
        <w:rPr>
          <w:rFonts w:ascii="宋体" w:hAnsi="宋体" w:cs="宋体" w:eastAsia="宋体" w:hint="default"/>
          <w:sz w:val="21"/>
          <w:szCs w:val="21"/>
        </w:rPr>
        <w:t>年全球移动游戏市场收入规模预测</w:t>
      </w:r>
    </w:p>
    <w:p>
      <w:pPr>
        <w:spacing w:line="240" w:lineRule="auto" w:before="10"/>
        <w:rPr>
          <w:rFonts w:ascii="宋体" w:hAnsi="宋体" w:cs="宋体" w:eastAsia="宋体" w:hint="default"/>
          <w:sz w:val="23"/>
          <w:szCs w:val="23"/>
        </w:rPr>
      </w:pPr>
    </w:p>
    <w:p>
      <w:pPr>
        <w:spacing w:line="4995" w:lineRule="exact"/>
        <w:ind w:left="1336" w:right="0" w:firstLine="0"/>
        <w:rPr>
          <w:rFonts w:ascii="宋体" w:hAnsi="宋体" w:cs="宋体" w:eastAsia="宋体" w:hint="default"/>
          <w:sz w:val="20"/>
          <w:szCs w:val="20"/>
        </w:rPr>
      </w:pPr>
      <w:r>
        <w:rPr>
          <w:rFonts w:ascii="宋体" w:hAnsi="宋体" w:cs="宋体" w:eastAsia="宋体" w:hint="default"/>
          <w:position w:val="-99"/>
          <w:sz w:val="20"/>
          <w:szCs w:val="20"/>
        </w:rPr>
        <w:drawing>
          <wp:inline distT="0" distB="0" distL="0" distR="0">
            <wp:extent cx="4619914" cy="3171825"/>
            <wp:effectExtent l="0" t="0" r="0" b="0"/>
            <wp:docPr id="53" name="image28.jpeg" descr=""/>
            <wp:cNvGraphicFramePr>
              <a:graphicFrameLocks noChangeAspect="1"/>
            </wp:cNvGraphicFramePr>
            <a:graphic>
              <a:graphicData uri="http://schemas.openxmlformats.org/drawingml/2006/picture">
                <pic:pic>
                  <pic:nvPicPr>
                    <pic:cNvPr id="54" name="image28.jpeg"/>
                    <pic:cNvPicPr/>
                  </pic:nvPicPr>
                  <pic:blipFill>
                    <a:blip r:embed="rId39" cstate="print"/>
                    <a:stretch>
                      <a:fillRect/>
                    </a:stretch>
                  </pic:blipFill>
                  <pic:spPr>
                    <a:xfrm>
                      <a:off x="0" y="0"/>
                      <a:ext cx="4619914" cy="3171825"/>
                    </a:xfrm>
                    <a:prstGeom prst="rect">
                      <a:avLst/>
                    </a:prstGeom>
                  </pic:spPr>
                </pic:pic>
              </a:graphicData>
            </a:graphic>
          </wp:inline>
        </w:drawing>
      </w:r>
      <w:r>
        <w:rPr>
          <w:rFonts w:ascii="宋体" w:hAnsi="宋体" w:cs="宋体" w:eastAsia="宋体" w:hint="default"/>
          <w:position w:val="-99"/>
          <w:sz w:val="20"/>
          <w:szCs w:val="20"/>
        </w:rPr>
      </w:r>
    </w:p>
    <w:p>
      <w:pPr>
        <w:spacing w:line="240" w:lineRule="auto" w:before="11"/>
        <w:rPr>
          <w:rFonts w:ascii="宋体" w:hAnsi="宋体" w:cs="宋体" w:eastAsia="宋体" w:hint="default"/>
          <w:sz w:val="19"/>
          <w:szCs w:val="19"/>
        </w:rPr>
      </w:pPr>
    </w:p>
    <w:p>
      <w:pPr>
        <w:spacing w:line="357" w:lineRule="auto" w:before="0"/>
        <w:ind w:left="574" w:right="151" w:hanging="2"/>
        <w:jc w:val="center"/>
        <w:rPr>
          <w:rFonts w:ascii="宋体" w:hAnsi="宋体" w:cs="宋体" w:eastAsia="宋体" w:hint="default"/>
          <w:sz w:val="21"/>
          <w:szCs w:val="21"/>
        </w:rPr>
      </w:pPr>
      <w:r>
        <w:rPr>
          <w:rFonts w:ascii="Times New Roman" w:hAnsi="Times New Roman" w:cs="Times New Roman" w:eastAsia="Times New Roman" w:hint="default"/>
          <w:sz w:val="21"/>
          <w:szCs w:val="21"/>
        </w:rPr>
        <w:t>Newzoo</w:t>
      </w:r>
      <w:r>
        <w:rPr>
          <w:rFonts w:ascii="宋体" w:hAnsi="宋体" w:cs="宋体" w:eastAsia="宋体" w:hint="default"/>
          <w:sz w:val="21"/>
          <w:szCs w:val="21"/>
        </w:rPr>
        <w:t>：移动游戏收入前十名国家排名 </w:t>
      </w:r>
      <w:r>
        <w:rPr>
          <w:rFonts w:ascii="宋体" w:hAnsi="宋体" w:cs="宋体" w:eastAsia="宋体" w:hint="default"/>
          <w:spacing w:val="-1"/>
          <w:sz w:val="21"/>
          <w:szCs w:val="21"/>
        </w:rPr>
        <w:t>如上图所示，在移动游戏收入前十名国家中，中国、日本、韩国、台湾均为公司重点市场，而榜单中</w:t>
      </w:r>
    </w:p>
    <w:p>
      <w:pPr>
        <w:spacing w:line="209" w:lineRule="exact"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的其他欧美国家则是公司作为未来重点突破的新市场。</w:t>
      </w:r>
    </w:p>
    <w:p>
      <w:pPr>
        <w:spacing w:before="157"/>
        <w:ind w:left="15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w:t>
      </w:r>
      <w:r>
        <w:rPr>
          <w:rFonts w:ascii="Times New Roman" w:hAnsi="Times New Roman" w:cs="Times New Roman" w:eastAsia="Times New Roman" w:hint="default"/>
          <w:sz w:val="21"/>
          <w:szCs w:val="21"/>
        </w:rPr>
        <w:t>2016</w:t>
      </w:r>
      <w:r>
        <w:rPr>
          <w:rFonts w:ascii="宋体" w:hAnsi="宋体" w:cs="宋体" w:eastAsia="宋体" w:hint="default"/>
          <w:sz w:val="21"/>
          <w:szCs w:val="21"/>
        </w:rPr>
        <w:t>年经营计划</w:t>
      </w:r>
    </w:p>
    <w:p>
      <w:pPr>
        <w:spacing w:line="261" w:lineRule="auto" w:before="141"/>
        <w:ind w:left="154" w:right="151"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年，公司将继续聚焦网络游戏、软件应用商店、互联网金融业务，为全球互联网用户提供优质的</w:t>
      </w:r>
      <w:r>
        <w:rPr>
          <w:rFonts w:ascii="宋体" w:hAnsi="宋体" w:cs="宋体" w:eastAsia="宋体" w:hint="default"/>
          <w:sz w:val="21"/>
          <w:szCs w:val="21"/>
        </w:rPr>
        <w:t> 增值服务，同时继续积极探索互联网领域的投资业务。公司将重点围绕软件工具、社交平台、</w:t>
      </w:r>
      <w:r>
        <w:rPr>
          <w:rFonts w:ascii="Times New Roman" w:hAnsi="Times New Roman" w:cs="Times New Roman" w:eastAsia="Times New Roman" w:hint="default"/>
          <w:sz w:val="21"/>
          <w:szCs w:val="21"/>
        </w:rPr>
        <w:t>IP</w:t>
      </w:r>
      <w:r>
        <w:rPr>
          <w:rFonts w:ascii="宋体" w:hAnsi="宋体" w:cs="宋体" w:eastAsia="宋体" w:hint="default"/>
          <w:sz w:val="21"/>
          <w:szCs w:val="21"/>
        </w:rPr>
        <w:t>经营、互 </w:t>
      </w:r>
      <w:r>
        <w:rPr>
          <w:rFonts w:ascii="宋体" w:hAnsi="宋体" w:cs="宋体" w:eastAsia="宋体" w:hint="default"/>
          <w:spacing w:val="-1"/>
          <w:sz w:val="21"/>
          <w:szCs w:val="21"/>
        </w:rPr>
        <w:t>联网金融和视频直播等板块进行投资布局，与公司本身的主营业务体系形成良好的互补，构建良好的互联</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网业务生态。</w:t>
      </w:r>
    </w:p>
    <w:p>
      <w:pPr>
        <w:spacing w:after="0" w:line="261" w:lineRule="auto"/>
        <w:jc w:val="both"/>
        <w:rPr>
          <w:rFonts w:ascii="宋体" w:hAnsi="宋体" w:cs="宋体" w:eastAsia="宋体" w:hint="default"/>
          <w:sz w:val="21"/>
          <w:szCs w:val="21"/>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before="35"/>
        <w:ind w:left="154" w:right="2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IP</w:t>
      </w:r>
      <w:r>
        <w:rPr>
          <w:rFonts w:ascii="宋体" w:hAnsi="宋体" w:cs="宋体" w:eastAsia="宋体" w:hint="default"/>
          <w:sz w:val="21"/>
          <w:szCs w:val="21"/>
        </w:rPr>
        <w:t>经营</w:t>
      </w:r>
    </w:p>
    <w:p>
      <w:pPr>
        <w:spacing w:before="141"/>
        <w:ind w:left="574" w:right="213" w:firstLine="0"/>
        <w:jc w:val="left"/>
        <w:rPr>
          <w:rFonts w:ascii="宋体" w:hAnsi="宋体" w:cs="宋体" w:eastAsia="宋体" w:hint="default"/>
          <w:sz w:val="21"/>
          <w:szCs w:val="21"/>
        </w:rPr>
      </w:pPr>
      <w:r>
        <w:rPr>
          <w:rFonts w:ascii="宋体" w:hAnsi="宋体" w:cs="宋体" w:eastAsia="宋体" w:hint="default"/>
          <w:sz w:val="21"/>
          <w:szCs w:val="21"/>
        </w:rPr>
        <w:t>公司</w:t>
      </w:r>
      <w:r>
        <w:rPr>
          <w:rFonts w:ascii="Times New Roman" w:hAnsi="Times New Roman" w:cs="Times New Roman" w:eastAsia="Times New Roman" w:hint="default"/>
          <w:sz w:val="21"/>
          <w:szCs w:val="21"/>
        </w:rPr>
        <w:t>2016</w:t>
      </w:r>
      <w:r>
        <w:rPr>
          <w:rFonts w:ascii="宋体" w:hAnsi="宋体" w:cs="宋体" w:eastAsia="宋体" w:hint="default"/>
          <w:sz w:val="21"/>
          <w:szCs w:val="21"/>
        </w:rPr>
        <w:t>年计划发行的主要游戏作品有：</w:t>
      </w:r>
    </w:p>
    <w:p>
      <w:pPr>
        <w:spacing w:line="256" w:lineRule="auto" w:before="141"/>
        <w:ind w:left="154" w:right="86" w:firstLine="42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77"/>
          <w:sz w:val="21"/>
          <w:szCs w:val="21"/>
        </w:rPr>
        <w:t> </w:t>
      </w:r>
      <w:r>
        <w:rPr>
          <w:rFonts w:ascii="宋体" w:hAnsi="宋体" w:cs="宋体" w:eastAsia="宋体" w:hint="default"/>
          <w:sz w:val="21"/>
          <w:szCs w:val="21"/>
        </w:rPr>
        <w:t>大陆地区：《艾尔战记》（已于</w:t>
      </w:r>
      <w:r>
        <w:rPr>
          <w:rFonts w:ascii="Times New Roman" w:hAnsi="Times New Roman" w:cs="Times New Roman" w:eastAsia="Times New Roman" w:hint="default"/>
          <w:sz w:val="21"/>
          <w:szCs w:val="21"/>
        </w:rPr>
        <w:t>1</w:t>
      </w:r>
      <w:r>
        <w:rPr>
          <w:rFonts w:ascii="宋体" w:hAnsi="宋体" w:cs="宋体" w:eastAsia="宋体" w:hint="default"/>
          <w:sz w:val="21"/>
          <w:szCs w:val="21"/>
        </w:rPr>
        <w:t>月正式公测）、芬兰</w:t>
      </w:r>
      <w:r>
        <w:rPr>
          <w:rFonts w:ascii="Times New Roman" w:hAnsi="Times New Roman" w:cs="Times New Roman" w:eastAsia="Times New Roman" w:hint="default"/>
          <w:sz w:val="21"/>
          <w:szCs w:val="21"/>
        </w:rPr>
        <w:t>Supercell</w:t>
      </w:r>
      <w:r>
        <w:rPr>
          <w:rFonts w:ascii="宋体" w:hAnsi="宋体" w:cs="宋体" w:eastAsia="宋体" w:hint="default"/>
          <w:sz w:val="21"/>
          <w:szCs w:val="21"/>
        </w:rPr>
        <w:t>公司开发的中重度游戏《部落冲突： 皇室战争》（已于</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30</w:t>
      </w:r>
      <w:r>
        <w:rPr>
          <w:rFonts w:ascii="宋体" w:hAnsi="宋体" w:cs="宋体" w:eastAsia="宋体" w:hint="default"/>
          <w:sz w:val="21"/>
          <w:szCs w:val="21"/>
        </w:rPr>
        <w:t>日上线</w:t>
      </w:r>
      <w:r>
        <w:rPr>
          <w:rFonts w:ascii="Times New Roman" w:hAnsi="Times New Roman" w:cs="Times New Roman" w:eastAsia="Times New Roman" w:hint="default"/>
          <w:sz w:val="21"/>
          <w:szCs w:val="21"/>
        </w:rPr>
        <w:t>Android</w:t>
      </w:r>
      <w:r>
        <w:rPr>
          <w:rFonts w:ascii="宋体" w:hAnsi="宋体" w:cs="宋体" w:eastAsia="宋体" w:hint="default"/>
          <w:sz w:val="21"/>
          <w:szCs w:val="21"/>
        </w:rPr>
        <w:t>版）、《愤怒的小鸟：王牌战机》等</w:t>
      </w:r>
    </w:p>
    <w:p>
      <w:pPr>
        <w:spacing w:before="125"/>
        <w:ind w:left="574" w:right="213"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22"/>
          <w:sz w:val="21"/>
          <w:szCs w:val="21"/>
        </w:rPr>
        <w:t> </w:t>
      </w:r>
      <w:r>
        <w:rPr>
          <w:rFonts w:ascii="宋体" w:hAnsi="宋体" w:cs="宋体" w:eastAsia="宋体" w:hint="default"/>
          <w:sz w:val="21"/>
          <w:szCs w:val="21"/>
        </w:rPr>
        <w:t>港澳台地区：《梦三国》（已于</w:t>
      </w:r>
      <w:r>
        <w:rPr>
          <w:rFonts w:ascii="Times New Roman" w:hAnsi="Times New Roman" w:cs="Times New Roman" w:eastAsia="Times New Roman" w:hint="default"/>
          <w:sz w:val="21"/>
          <w:szCs w:val="21"/>
        </w:rPr>
        <w:t>1</w:t>
      </w:r>
      <w:r>
        <w:rPr>
          <w:rFonts w:ascii="宋体" w:hAnsi="宋体" w:cs="宋体" w:eastAsia="宋体" w:hint="default"/>
          <w:sz w:val="21"/>
          <w:szCs w:val="21"/>
        </w:rPr>
        <w:t>月正式公测）等</w:t>
      </w:r>
    </w:p>
    <w:p>
      <w:pPr>
        <w:spacing w:before="141"/>
        <w:ind w:left="574" w:right="213" w:firstLine="0"/>
        <w:jc w:val="left"/>
        <w:rPr>
          <w:rFonts w:ascii="宋体" w:hAnsi="宋体" w:cs="宋体" w:eastAsia="宋体" w:hint="default"/>
          <w:sz w:val="21"/>
          <w:szCs w:val="21"/>
        </w:rPr>
      </w:pPr>
      <w:r>
        <w:rPr>
          <w:rFonts w:ascii="宋体" w:hAnsi="宋体" w:cs="宋体" w:eastAsia="宋体" w:hint="default"/>
          <w:sz w:val="21"/>
          <w:szCs w:val="21"/>
        </w:rPr>
        <w:t>③</w:t>
      </w:r>
      <w:r>
        <w:rPr>
          <w:rFonts w:ascii="宋体" w:hAnsi="宋体" w:cs="宋体" w:eastAsia="宋体" w:hint="default"/>
          <w:spacing w:val="-22"/>
          <w:sz w:val="21"/>
          <w:szCs w:val="21"/>
        </w:rPr>
        <w:t> </w:t>
      </w:r>
      <w:r>
        <w:rPr>
          <w:rFonts w:ascii="宋体" w:hAnsi="宋体" w:cs="宋体" w:eastAsia="宋体" w:hint="default"/>
          <w:sz w:val="21"/>
          <w:szCs w:val="21"/>
        </w:rPr>
        <w:t>日本地区：《雷霆战机》（已于</w:t>
      </w:r>
      <w:r>
        <w:rPr>
          <w:rFonts w:ascii="Times New Roman" w:hAnsi="Times New Roman" w:cs="Times New Roman" w:eastAsia="Times New Roman" w:hint="default"/>
          <w:sz w:val="21"/>
          <w:szCs w:val="21"/>
        </w:rPr>
        <w:t>3</w:t>
      </w:r>
      <w:r>
        <w:rPr>
          <w:rFonts w:ascii="宋体" w:hAnsi="宋体" w:cs="宋体" w:eastAsia="宋体" w:hint="default"/>
          <w:sz w:val="21"/>
          <w:szCs w:val="21"/>
        </w:rPr>
        <w:t>月正式公测）等</w:t>
      </w:r>
    </w:p>
    <w:p>
      <w:pPr>
        <w:spacing w:before="141"/>
        <w:ind w:left="574" w:right="213" w:firstLine="0"/>
        <w:jc w:val="left"/>
        <w:rPr>
          <w:rFonts w:ascii="宋体" w:hAnsi="宋体" w:cs="宋体" w:eastAsia="宋体" w:hint="default"/>
          <w:sz w:val="21"/>
          <w:szCs w:val="21"/>
        </w:rPr>
      </w:pPr>
      <w:r>
        <w:rPr>
          <w:rFonts w:ascii="宋体" w:hAnsi="宋体" w:cs="宋体" w:eastAsia="宋体" w:hint="default"/>
          <w:sz w:val="21"/>
          <w:szCs w:val="21"/>
        </w:rPr>
        <w:t>④</w:t>
      </w:r>
      <w:r>
        <w:rPr>
          <w:rFonts w:ascii="宋体" w:hAnsi="宋体" w:cs="宋体" w:eastAsia="宋体" w:hint="default"/>
          <w:spacing w:val="-21"/>
          <w:sz w:val="21"/>
          <w:szCs w:val="21"/>
        </w:rPr>
        <w:t> </w:t>
      </w:r>
      <w:r>
        <w:rPr>
          <w:rFonts w:ascii="宋体" w:hAnsi="宋体" w:cs="宋体" w:eastAsia="宋体" w:hint="default"/>
          <w:sz w:val="21"/>
          <w:szCs w:val="21"/>
        </w:rPr>
        <w:t>东南亚地区：《师父有妖气》、《梦三国》、《六龙争霸》等。</w:t>
      </w:r>
    </w:p>
    <w:p>
      <w:pPr>
        <w:spacing w:before="157"/>
        <w:ind w:left="574" w:right="213" w:firstLine="0"/>
        <w:jc w:val="left"/>
        <w:rPr>
          <w:rFonts w:ascii="宋体" w:hAnsi="宋体" w:cs="宋体" w:eastAsia="宋体" w:hint="default"/>
          <w:sz w:val="21"/>
          <w:szCs w:val="21"/>
        </w:rPr>
      </w:pPr>
      <w:r>
        <w:rPr>
          <w:rFonts w:ascii="宋体" w:hAnsi="宋体" w:cs="宋体" w:eastAsia="宋体" w:hint="default"/>
          <w:sz w:val="21"/>
          <w:szCs w:val="21"/>
        </w:rPr>
        <w:t>⑤</w:t>
      </w:r>
      <w:r>
        <w:rPr>
          <w:rFonts w:ascii="宋体" w:hAnsi="宋体" w:cs="宋体" w:eastAsia="宋体" w:hint="default"/>
          <w:spacing w:val="-21"/>
          <w:sz w:val="21"/>
          <w:szCs w:val="21"/>
        </w:rPr>
        <w:t> </w:t>
      </w:r>
      <w:r>
        <w:rPr>
          <w:rFonts w:ascii="宋体" w:hAnsi="宋体" w:cs="宋体" w:eastAsia="宋体" w:hint="default"/>
          <w:sz w:val="21"/>
          <w:szCs w:val="21"/>
        </w:rPr>
        <w:t>欧美地区：《全民奇迹》、《无双剑姬》等。</w:t>
      </w:r>
    </w:p>
    <w:p>
      <w:pPr>
        <w:spacing w:line="372" w:lineRule="auto" w:before="157"/>
        <w:ind w:left="154" w:right="731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《部落冲突：皇室战争》 游戏类型：即时卡牌对战 研发及发行：</w:t>
      </w:r>
      <w:r>
        <w:rPr>
          <w:rFonts w:ascii="Times New Roman" w:hAnsi="Times New Roman" w:cs="Times New Roman" w:eastAsia="Times New Roman" w:hint="default"/>
          <w:sz w:val="21"/>
          <w:szCs w:val="21"/>
        </w:rPr>
        <w:t>Supercell </w:t>
      </w:r>
      <w:r>
        <w:rPr>
          <w:rFonts w:ascii="宋体" w:hAnsi="宋体" w:cs="宋体" w:eastAsia="宋体" w:hint="default"/>
          <w:sz w:val="21"/>
          <w:szCs w:val="21"/>
        </w:rPr>
        <w:t>上线国家和地区：中国大陆 上线平台：</w:t>
      </w:r>
      <w:r>
        <w:rPr>
          <w:rFonts w:ascii="Times New Roman" w:hAnsi="Times New Roman" w:cs="Times New Roman" w:eastAsia="Times New Roman" w:hint="default"/>
          <w:sz w:val="21"/>
          <w:szCs w:val="21"/>
        </w:rPr>
        <w:t>Android</w:t>
      </w:r>
    </w:p>
    <w:p>
      <w:pPr>
        <w:spacing w:line="240" w:lineRule="auto" w:before="10"/>
        <w:rPr>
          <w:rFonts w:ascii="Times New Roman" w:hAnsi="Times New Roman" w:cs="Times New Roman" w:eastAsia="Times New Roman" w:hint="default"/>
          <w:sz w:val="4"/>
          <w:szCs w:val="4"/>
        </w:rPr>
      </w:pPr>
    </w:p>
    <w:p>
      <w:pPr>
        <w:spacing w:line="5250" w:lineRule="exact"/>
        <w:ind w:left="78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4"/>
          <w:sz w:val="20"/>
          <w:szCs w:val="20"/>
        </w:rPr>
        <w:drawing>
          <wp:inline distT="0" distB="0" distL="0" distR="0">
            <wp:extent cx="5316340" cy="3333750"/>
            <wp:effectExtent l="0" t="0" r="0" b="0"/>
            <wp:docPr id="55" name="image29.jpeg" descr=""/>
            <wp:cNvGraphicFramePr>
              <a:graphicFrameLocks noChangeAspect="1"/>
            </wp:cNvGraphicFramePr>
            <a:graphic>
              <a:graphicData uri="http://schemas.openxmlformats.org/drawingml/2006/picture">
                <pic:pic>
                  <pic:nvPicPr>
                    <pic:cNvPr id="56" name="image29.jpeg"/>
                    <pic:cNvPicPr/>
                  </pic:nvPicPr>
                  <pic:blipFill>
                    <a:blip r:embed="rId40" cstate="print"/>
                    <a:stretch>
                      <a:fillRect/>
                    </a:stretch>
                  </pic:blipFill>
                  <pic:spPr>
                    <a:xfrm>
                      <a:off x="0" y="0"/>
                      <a:ext cx="5316340" cy="3333750"/>
                    </a:xfrm>
                    <a:prstGeom prst="rect">
                      <a:avLst/>
                    </a:prstGeom>
                  </pic:spPr>
                </pic:pic>
              </a:graphicData>
            </a:graphic>
          </wp:inline>
        </w:drawing>
      </w:r>
      <w:r>
        <w:rPr>
          <w:rFonts w:ascii="Times New Roman" w:hAnsi="Times New Roman" w:cs="Times New Roman" w:eastAsia="Times New Roman" w:hint="default"/>
          <w:position w:val="-104"/>
          <w:sz w:val="20"/>
          <w:szCs w:val="20"/>
        </w:rPr>
      </w:r>
    </w:p>
    <w:p>
      <w:pPr>
        <w:spacing w:line="376" w:lineRule="auto" w:before="132"/>
        <w:ind w:left="154" w:right="731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《愤怒的小鸟：王牌战机》 游戏类型：空战 研发及发行：昆仑游戏 上线国家和地区：中国大陆 上线平台：</w:t>
      </w:r>
      <w:r>
        <w:rPr>
          <w:rFonts w:ascii="Times New Roman" w:hAnsi="Times New Roman" w:cs="Times New Roman" w:eastAsia="Times New Roman" w:hint="default"/>
          <w:sz w:val="21"/>
          <w:szCs w:val="21"/>
        </w:rPr>
        <w:t>Android</w:t>
      </w:r>
    </w:p>
    <w:p>
      <w:pPr>
        <w:spacing w:after="0" w:line="376" w:lineRule="auto"/>
        <w:jc w:val="left"/>
        <w:rPr>
          <w:rFonts w:ascii="Times New Roman" w:hAnsi="Times New Roman" w:cs="Times New Roman" w:eastAsia="Times New Roman" w:hint="default"/>
          <w:sz w:val="21"/>
          <w:szCs w:val="21"/>
        </w:rPr>
        <w:sectPr>
          <w:pgSz w:w="11910" w:h="16840"/>
          <w:pgMar w:header="747" w:footer="979" w:top="1060" w:bottom="1160" w:left="980" w:right="9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3"/>
          <w:szCs w:val="13"/>
        </w:rPr>
      </w:pPr>
    </w:p>
    <w:p>
      <w:pPr>
        <w:spacing w:line="6225" w:lineRule="exact"/>
        <w:ind w:left="253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4"/>
          <w:sz w:val="20"/>
          <w:szCs w:val="20"/>
        </w:rPr>
        <w:drawing>
          <wp:inline distT="0" distB="0" distL="0" distR="0">
            <wp:extent cx="3094990" cy="3952875"/>
            <wp:effectExtent l="0" t="0" r="0" b="0"/>
            <wp:docPr id="57" name="image30.jpeg" descr=""/>
            <wp:cNvGraphicFramePr>
              <a:graphicFrameLocks noChangeAspect="1"/>
            </wp:cNvGraphicFramePr>
            <a:graphic>
              <a:graphicData uri="http://schemas.openxmlformats.org/drawingml/2006/picture">
                <pic:pic>
                  <pic:nvPicPr>
                    <pic:cNvPr id="58" name="image30.jpeg"/>
                    <pic:cNvPicPr/>
                  </pic:nvPicPr>
                  <pic:blipFill>
                    <a:blip r:embed="rId41" cstate="print"/>
                    <a:stretch>
                      <a:fillRect/>
                    </a:stretch>
                  </pic:blipFill>
                  <pic:spPr>
                    <a:xfrm>
                      <a:off x="0" y="0"/>
                      <a:ext cx="3094990" cy="3952875"/>
                    </a:xfrm>
                    <a:prstGeom prst="rect">
                      <a:avLst/>
                    </a:prstGeom>
                  </pic:spPr>
                </pic:pic>
              </a:graphicData>
            </a:graphic>
          </wp:inline>
        </w:drawing>
      </w:r>
      <w:r>
        <w:rPr>
          <w:rFonts w:ascii="Times New Roman" w:hAnsi="Times New Roman" w:cs="Times New Roman" w:eastAsia="Times New Roman" w:hint="default"/>
          <w:position w:val="-124"/>
          <w:sz w:val="20"/>
          <w:szCs w:val="20"/>
        </w:rPr>
      </w:r>
    </w:p>
    <w:p>
      <w:pPr>
        <w:spacing w:line="240" w:lineRule="auto" w:before="9"/>
        <w:rPr>
          <w:rFonts w:ascii="Times New Roman" w:hAnsi="Times New Roman" w:cs="Times New Roman" w:eastAsia="Times New Roman" w:hint="default"/>
          <w:sz w:val="6"/>
          <w:szCs w:val="6"/>
        </w:rPr>
      </w:pPr>
    </w:p>
    <w:p>
      <w:pPr>
        <w:spacing w:line="256" w:lineRule="auto" w:before="35"/>
        <w:ind w:left="154" w:right="213" w:firstLine="420"/>
        <w:jc w:val="left"/>
        <w:rPr>
          <w:rFonts w:ascii="宋体" w:hAnsi="宋体" w:cs="宋体" w:eastAsia="宋体" w:hint="default"/>
          <w:sz w:val="21"/>
          <w:szCs w:val="21"/>
        </w:rPr>
      </w:pPr>
      <w:r>
        <w:rPr>
          <w:rFonts w:ascii="宋体" w:hAnsi="宋体" w:cs="宋体" w:eastAsia="宋体" w:hint="default"/>
          <w:spacing w:val="-11"/>
          <w:sz w:val="21"/>
          <w:szCs w:val="21"/>
        </w:rPr>
        <w:t>同时公司将重点推进《轩辕剑汉之云》、《脱骨香》、《愤怒的小鸟》等影游联动项目，预计在</w:t>
      </w:r>
      <w:r>
        <w:rPr>
          <w:rFonts w:ascii="Times New Roman" w:hAnsi="Times New Roman" w:cs="Times New Roman" w:eastAsia="Times New Roman" w:hint="default"/>
          <w:spacing w:val="-11"/>
          <w:sz w:val="21"/>
          <w:szCs w:val="21"/>
        </w:rPr>
        <w:t>2016-2017</w:t>
      </w:r>
      <w:r>
        <w:rPr>
          <w:rFonts w:ascii="Times New Roman" w:hAnsi="Times New Roman" w:cs="Times New Roman" w:eastAsia="Times New Roman" w:hint="default"/>
          <w:sz w:val="21"/>
          <w:szCs w:val="21"/>
        </w:rPr>
        <w:t> </w:t>
      </w:r>
      <w:r>
        <w:rPr>
          <w:rFonts w:ascii="宋体" w:hAnsi="宋体" w:cs="宋体" w:eastAsia="宋体" w:hint="default"/>
          <w:sz w:val="21"/>
          <w:szCs w:val="21"/>
        </w:rPr>
        <w:t>年陆续推出影视及动画作品。</w:t>
      </w:r>
    </w:p>
    <w:p>
      <w:pPr>
        <w:spacing w:line="256" w:lineRule="auto" w:before="142"/>
        <w:ind w:left="154" w:right="103" w:firstLine="420"/>
        <w:jc w:val="left"/>
        <w:rPr>
          <w:rFonts w:ascii="宋体" w:hAnsi="宋体" w:cs="宋体" w:eastAsia="宋体" w:hint="default"/>
          <w:sz w:val="21"/>
          <w:szCs w:val="21"/>
        </w:rPr>
      </w:pPr>
      <w:r>
        <w:rPr>
          <w:rFonts w:ascii="宋体" w:hAnsi="宋体" w:cs="宋体" w:eastAsia="宋体" w:hint="default"/>
          <w:spacing w:val="-5"/>
          <w:sz w:val="21"/>
          <w:szCs w:val="21"/>
        </w:rPr>
        <w:t>影视团队将搭建新型的合作伙伴关系，围绕台湾大宇、</w:t>
      </w:r>
      <w:r>
        <w:rPr>
          <w:rFonts w:ascii="Times New Roman" w:hAnsi="Times New Roman" w:cs="Times New Roman" w:eastAsia="Times New Roman" w:hint="default"/>
          <w:spacing w:val="-5"/>
          <w:sz w:val="21"/>
          <w:szCs w:val="21"/>
        </w:rPr>
        <w:t>Rovio</w:t>
      </w:r>
      <w:r>
        <w:rPr>
          <w:rFonts w:ascii="宋体" w:hAnsi="宋体" w:cs="宋体" w:eastAsia="宋体" w:hint="default"/>
          <w:spacing w:val="-5"/>
          <w:sz w:val="21"/>
          <w:szCs w:val="21"/>
        </w:rPr>
        <w:t>旗下一系列全球知名</w:t>
      </w:r>
      <w:r>
        <w:rPr>
          <w:rFonts w:ascii="Times New Roman" w:hAnsi="Times New Roman" w:cs="Times New Roman" w:eastAsia="Times New Roman" w:hint="default"/>
          <w:spacing w:val="-5"/>
          <w:sz w:val="21"/>
          <w:szCs w:val="21"/>
        </w:rPr>
        <w:t>IP</w:t>
      </w:r>
      <w:r>
        <w:rPr>
          <w:rFonts w:ascii="宋体" w:hAnsi="宋体" w:cs="宋体" w:eastAsia="宋体" w:hint="default"/>
          <w:spacing w:val="-5"/>
          <w:sz w:val="21"/>
          <w:szCs w:val="21"/>
        </w:rPr>
        <w:t>，在影视动画制作、</w:t>
      </w:r>
      <w:r>
        <w:rPr>
          <w:rFonts w:ascii="宋体" w:hAnsi="宋体" w:cs="宋体" w:eastAsia="宋体" w:hint="default"/>
          <w:sz w:val="21"/>
          <w:szCs w:val="21"/>
        </w:rPr>
        <w:t> </w:t>
      </w:r>
      <w:r>
        <w:rPr>
          <w:rFonts w:ascii="Times New Roman" w:hAnsi="Times New Roman" w:cs="Times New Roman" w:eastAsia="Times New Roman" w:hint="default"/>
          <w:spacing w:val="-3"/>
          <w:sz w:val="21"/>
          <w:szCs w:val="21"/>
        </w:rPr>
        <w:t>VR</w:t>
      </w:r>
      <w:r>
        <w:rPr>
          <w:rFonts w:ascii="宋体" w:hAnsi="宋体" w:cs="宋体" w:eastAsia="宋体" w:hint="default"/>
          <w:spacing w:val="-3"/>
          <w:sz w:val="21"/>
          <w:szCs w:val="21"/>
        </w:rPr>
        <w:t>、剧本创作、项目孵化等方面与国内外一流团队建立稳固的战略合作伙伴关系，使影视事业部形成独立</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自主的项目孵化和制作能力，建立以影视新技术和</w:t>
      </w:r>
      <w:r>
        <w:rPr>
          <w:rFonts w:ascii="Times New Roman" w:hAnsi="Times New Roman" w:cs="Times New Roman" w:eastAsia="Times New Roman" w:hint="default"/>
          <w:sz w:val="21"/>
          <w:szCs w:val="21"/>
        </w:rPr>
        <w:t>IP</w:t>
      </w:r>
      <w:r>
        <w:rPr>
          <w:rFonts w:ascii="宋体" w:hAnsi="宋体" w:cs="宋体" w:eastAsia="宋体" w:hint="default"/>
          <w:sz w:val="21"/>
          <w:szCs w:val="21"/>
        </w:rPr>
        <w:t>运营为主打的行业核心竞争力。并根据整个文化娱乐 市场状况，建立稳定可控的孵化机制，完善运营全产业链的能力。</w:t>
      </w:r>
    </w:p>
    <w:p>
      <w:pPr>
        <w:spacing w:before="142"/>
        <w:ind w:left="154" w:right="21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）软件工具</w:t>
      </w:r>
    </w:p>
    <w:p>
      <w:pPr>
        <w:spacing w:line="266" w:lineRule="auto" w:before="141"/>
        <w:ind w:left="154" w:right="211" w:firstLine="420"/>
        <w:jc w:val="both"/>
        <w:rPr>
          <w:rFonts w:ascii="宋体" w:hAnsi="宋体" w:cs="宋体" w:eastAsia="宋体" w:hint="default"/>
          <w:sz w:val="21"/>
          <w:szCs w:val="21"/>
        </w:rPr>
      </w:pPr>
      <w:r>
        <w:rPr>
          <w:rFonts w:ascii="宋体" w:hAnsi="宋体" w:cs="宋体" w:eastAsia="宋体" w:hint="default"/>
          <w:spacing w:val="-3"/>
          <w:sz w:val="21"/>
          <w:szCs w:val="21"/>
        </w:rPr>
        <w:t>基于现有</w:t>
      </w:r>
      <w:r>
        <w:rPr>
          <w:rFonts w:ascii="Times New Roman" w:hAnsi="Times New Roman" w:cs="Times New Roman" w:eastAsia="Times New Roman" w:hint="default"/>
          <w:spacing w:val="-3"/>
          <w:sz w:val="21"/>
          <w:szCs w:val="21"/>
        </w:rPr>
        <w:t>1Mobile</w:t>
      </w:r>
      <w:r>
        <w:rPr>
          <w:rFonts w:ascii="宋体" w:hAnsi="宋体" w:cs="宋体" w:eastAsia="宋体" w:hint="default"/>
          <w:spacing w:val="-3"/>
          <w:sz w:val="21"/>
          <w:szCs w:val="21"/>
        </w:rPr>
        <w:t>平台，持续以用户为中心，重点对商业变现做更深入的优化。在拓展用户方面，公司</w:t>
      </w:r>
      <w:r>
        <w:rPr>
          <w:rFonts w:ascii="宋体" w:hAnsi="宋体" w:cs="宋体" w:eastAsia="宋体" w:hint="default"/>
          <w:sz w:val="21"/>
          <w:szCs w:val="21"/>
        </w:rPr>
        <w:t> </w:t>
      </w:r>
      <w:r>
        <w:rPr>
          <w:rFonts w:ascii="宋体" w:hAnsi="宋体" w:cs="宋体" w:eastAsia="宋体" w:hint="default"/>
          <w:spacing w:val="-1"/>
          <w:sz w:val="21"/>
          <w:szCs w:val="21"/>
        </w:rPr>
        <w:t>将与运营商和手机厂商开展更多的预装合作，与广大的应用和游戏厂商开展更深入的换量合作。在流量变</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现方面，公司将在原有变现模式基础上发展更多变现方式，接入更多的广告内容提供商，增加变现系统优</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质的广告量。</w:t>
      </w:r>
    </w:p>
    <w:p>
      <w:pPr>
        <w:spacing w:line="256" w:lineRule="auto" w:before="134"/>
        <w:ind w:left="154" w:right="119" w:firstLine="420"/>
        <w:jc w:val="left"/>
        <w:rPr>
          <w:rFonts w:ascii="宋体" w:hAnsi="宋体" w:cs="宋体" w:eastAsia="宋体" w:hint="default"/>
          <w:sz w:val="21"/>
          <w:szCs w:val="21"/>
        </w:rPr>
      </w:pPr>
      <w:r>
        <w:rPr>
          <w:rFonts w:ascii="宋体" w:hAnsi="宋体" w:cs="宋体" w:eastAsia="宋体" w:hint="default"/>
          <w:sz w:val="21"/>
          <w:szCs w:val="21"/>
        </w:rPr>
        <w:t>此外，公司于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日发布了关于参与收购</w:t>
      </w:r>
      <w:r>
        <w:rPr>
          <w:rFonts w:ascii="Times New Roman" w:hAnsi="Times New Roman" w:cs="Times New Roman" w:eastAsia="Times New Roman" w:hint="default"/>
          <w:sz w:val="21"/>
          <w:szCs w:val="21"/>
        </w:rPr>
        <w:t>Opera Software</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ASA</w:t>
      </w:r>
      <w:r>
        <w:rPr>
          <w:rFonts w:ascii="宋体" w:hAnsi="宋体" w:cs="宋体" w:eastAsia="宋体" w:hint="default"/>
          <w:sz w:val="21"/>
          <w:szCs w:val="21"/>
        </w:rPr>
        <w:t>的公告。公司拟基于</w:t>
      </w:r>
      <w:r>
        <w:rPr>
          <w:rFonts w:ascii="Times New Roman" w:hAnsi="Times New Roman" w:cs="Times New Roman" w:eastAsia="Times New Roman" w:hint="default"/>
          <w:sz w:val="21"/>
          <w:szCs w:val="21"/>
        </w:rPr>
        <w:t>Opera</w:t>
      </w:r>
      <w:r>
        <w:rPr>
          <w:rFonts w:ascii="宋体" w:hAnsi="宋体" w:cs="宋体" w:eastAsia="宋体" w:hint="default"/>
          <w:sz w:val="21"/>
          <w:szCs w:val="21"/>
        </w:rPr>
        <w:t>现有 的</w:t>
      </w:r>
      <w:r>
        <w:rPr>
          <w:rFonts w:ascii="Times New Roman" w:hAnsi="Times New Roman" w:cs="Times New Roman" w:eastAsia="Times New Roman" w:hint="default"/>
          <w:sz w:val="21"/>
          <w:szCs w:val="21"/>
        </w:rPr>
        <w:t>PC</w:t>
      </w:r>
      <w:r>
        <w:rPr>
          <w:rFonts w:ascii="宋体" w:hAnsi="宋体" w:cs="宋体" w:eastAsia="宋体" w:hint="default"/>
          <w:sz w:val="21"/>
          <w:szCs w:val="21"/>
        </w:rPr>
        <w:t>端和移动端的浏览器业务，以及</w:t>
      </w:r>
      <w:r>
        <w:rPr>
          <w:rFonts w:ascii="Times New Roman" w:hAnsi="Times New Roman" w:cs="Times New Roman" w:eastAsia="Times New Roman" w:hint="default"/>
          <w:sz w:val="21"/>
          <w:szCs w:val="21"/>
        </w:rPr>
        <w:t>Opera MAX</w:t>
      </w:r>
      <w:r>
        <w:rPr>
          <w:rFonts w:ascii="宋体" w:hAnsi="宋体" w:cs="宋体" w:eastAsia="宋体" w:hint="default"/>
          <w:sz w:val="21"/>
          <w:szCs w:val="21"/>
        </w:rPr>
        <w:t>软件商店和</w:t>
      </w:r>
      <w:r>
        <w:rPr>
          <w:rFonts w:ascii="Times New Roman" w:hAnsi="Times New Roman" w:cs="Times New Roman" w:eastAsia="Times New Roman" w:hint="default"/>
          <w:sz w:val="21"/>
          <w:szCs w:val="21"/>
        </w:rPr>
        <w:t>Opera</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z w:val="21"/>
          <w:szCs w:val="21"/>
        </w:rPr>
        <w:t>TV</w:t>
      </w:r>
      <w:r>
        <w:rPr>
          <w:rFonts w:ascii="宋体" w:hAnsi="宋体" w:cs="宋体" w:eastAsia="宋体" w:hint="default"/>
          <w:sz w:val="21"/>
          <w:szCs w:val="21"/>
        </w:rPr>
        <w:t>业务，进行产品和商业模式的升级。 目前，</w:t>
      </w:r>
      <w:r>
        <w:rPr>
          <w:rFonts w:ascii="Times New Roman" w:hAnsi="Times New Roman" w:cs="Times New Roman" w:eastAsia="Times New Roman" w:hint="default"/>
          <w:sz w:val="21"/>
          <w:szCs w:val="21"/>
        </w:rPr>
        <w:t>Opera</w:t>
      </w:r>
      <w:r>
        <w:rPr>
          <w:rFonts w:ascii="宋体" w:hAnsi="宋体" w:cs="宋体" w:eastAsia="宋体" w:hint="default"/>
          <w:sz w:val="21"/>
          <w:szCs w:val="21"/>
        </w:rPr>
        <w:t>移动端浏览器的市场占有率在全球排名第五。</w:t>
      </w:r>
      <w:r>
        <w:rPr>
          <w:rFonts w:ascii="Times New Roman" w:hAnsi="Times New Roman" w:cs="Times New Roman" w:eastAsia="Times New Roman" w:hint="default"/>
          <w:sz w:val="21"/>
          <w:szCs w:val="21"/>
        </w:rPr>
        <w:t>Opera</w:t>
      </w:r>
      <w:r>
        <w:rPr>
          <w:rFonts w:ascii="宋体" w:hAnsi="宋体" w:cs="宋体" w:eastAsia="宋体" w:hint="default"/>
          <w:sz w:val="21"/>
          <w:szCs w:val="21"/>
        </w:rPr>
        <w:t>将与公司现有产品、市场和团队进行深入 整合，激发巨大的增长空间和商业价值，未来将成为公司最重要的流量入口。</w:t>
      </w:r>
    </w:p>
    <w:p>
      <w:pPr>
        <w:spacing w:after="0" w:line="256" w:lineRule="auto"/>
        <w:jc w:val="left"/>
        <w:rPr>
          <w:rFonts w:ascii="宋体" w:hAnsi="宋体" w:cs="宋体" w:eastAsia="宋体" w:hint="default"/>
          <w:sz w:val="21"/>
          <w:szCs w:val="21"/>
        </w:rPr>
        <w:sectPr>
          <w:pgSz w:w="11910" w:h="16840"/>
          <w:pgMar w:header="747" w:footer="979" w:top="1060" w:bottom="1160" w:left="980" w:right="9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spacing w:line="4395" w:lineRule="exact"/>
        <w:ind w:left="1140" w:right="0" w:firstLine="0"/>
        <w:rPr>
          <w:rFonts w:ascii="宋体" w:hAnsi="宋体" w:cs="宋体" w:eastAsia="宋体" w:hint="default"/>
          <w:sz w:val="20"/>
          <w:szCs w:val="20"/>
        </w:rPr>
      </w:pPr>
      <w:r>
        <w:rPr>
          <w:rFonts w:ascii="宋体" w:hAnsi="宋体" w:cs="宋体" w:eastAsia="宋体" w:hint="default"/>
          <w:position w:val="-87"/>
          <w:sz w:val="20"/>
          <w:szCs w:val="20"/>
        </w:rPr>
        <w:drawing>
          <wp:inline distT="0" distB="0" distL="0" distR="0">
            <wp:extent cx="4868382" cy="2790825"/>
            <wp:effectExtent l="0" t="0" r="0" b="0"/>
            <wp:docPr id="59" name="image31.jpeg" descr=""/>
            <wp:cNvGraphicFramePr>
              <a:graphicFrameLocks noChangeAspect="1"/>
            </wp:cNvGraphicFramePr>
            <a:graphic>
              <a:graphicData uri="http://schemas.openxmlformats.org/drawingml/2006/picture">
                <pic:pic>
                  <pic:nvPicPr>
                    <pic:cNvPr id="60" name="image31.jpeg"/>
                    <pic:cNvPicPr/>
                  </pic:nvPicPr>
                  <pic:blipFill>
                    <a:blip r:embed="rId42" cstate="print"/>
                    <a:stretch>
                      <a:fillRect/>
                    </a:stretch>
                  </pic:blipFill>
                  <pic:spPr>
                    <a:xfrm>
                      <a:off x="0" y="0"/>
                      <a:ext cx="4868382" cy="2790825"/>
                    </a:xfrm>
                    <a:prstGeom prst="rect">
                      <a:avLst/>
                    </a:prstGeom>
                  </pic:spPr>
                </pic:pic>
              </a:graphicData>
            </a:graphic>
          </wp:inline>
        </w:drawing>
      </w:r>
      <w:r>
        <w:rPr>
          <w:rFonts w:ascii="宋体" w:hAnsi="宋体" w:cs="宋体" w:eastAsia="宋体" w:hint="default"/>
          <w:position w:val="-87"/>
          <w:sz w:val="20"/>
          <w:szCs w:val="20"/>
        </w:rPr>
      </w:r>
    </w:p>
    <w:p>
      <w:pPr>
        <w:spacing w:line="240" w:lineRule="auto" w:before="3"/>
        <w:rPr>
          <w:rFonts w:ascii="宋体" w:hAnsi="宋体" w:cs="宋体" w:eastAsia="宋体" w:hint="default"/>
          <w:sz w:val="16"/>
          <w:szCs w:val="16"/>
        </w:rPr>
      </w:pPr>
    </w:p>
    <w:p>
      <w:pPr>
        <w:spacing w:before="35"/>
        <w:ind w:left="574" w:right="0" w:firstLine="1138"/>
        <w:jc w:val="left"/>
        <w:rPr>
          <w:rFonts w:ascii="宋体" w:hAnsi="宋体" w:cs="宋体" w:eastAsia="宋体" w:hint="default"/>
          <w:sz w:val="21"/>
          <w:szCs w:val="21"/>
        </w:rPr>
      </w:pPr>
      <w:r>
        <w:rPr>
          <w:rFonts w:ascii="宋体" w:hAnsi="宋体" w:cs="宋体" w:eastAsia="宋体" w:hint="default"/>
          <w:sz w:val="21"/>
          <w:szCs w:val="21"/>
        </w:rPr>
        <w:t>全球浏览器浏览量市场份额走势（资料来源：</w:t>
      </w:r>
      <w:r>
        <w:rPr>
          <w:rFonts w:ascii="Times New Roman" w:hAnsi="Times New Roman" w:cs="Times New Roman" w:eastAsia="Times New Roman" w:hint="default"/>
          <w:sz w:val="21"/>
          <w:szCs w:val="21"/>
        </w:rPr>
        <w:t>Statcounter</w:t>
      </w:r>
      <w:r>
        <w:rPr>
          <w:rFonts w:ascii="宋体" w:hAnsi="宋体" w:cs="宋体" w:eastAsia="宋体" w:hint="default"/>
          <w:sz w:val="21"/>
          <w:szCs w:val="21"/>
        </w:rPr>
        <w:t>，</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1"/>
          <w:szCs w:val="21"/>
        </w:rPr>
      </w:pPr>
    </w:p>
    <w:p>
      <w:pPr>
        <w:spacing w:line="256" w:lineRule="auto" w:before="0"/>
        <w:ind w:left="154" w:right="15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Opera</w:t>
      </w:r>
      <w:r>
        <w:rPr>
          <w:rFonts w:ascii="宋体" w:hAnsi="宋体" w:cs="宋体" w:eastAsia="宋体" w:hint="default"/>
          <w:sz w:val="21"/>
          <w:szCs w:val="21"/>
        </w:rPr>
        <w:t>将与公司现有的软件商店团队进行深层次整合，通过提高</w:t>
      </w:r>
      <w:r>
        <w:rPr>
          <w:rFonts w:ascii="Times New Roman" w:hAnsi="Times New Roman" w:cs="Times New Roman" w:eastAsia="Times New Roman" w:hint="default"/>
          <w:sz w:val="21"/>
          <w:szCs w:val="21"/>
        </w:rPr>
        <w:t>Opera</w:t>
      </w:r>
      <w:r>
        <w:rPr>
          <w:rFonts w:ascii="宋体" w:hAnsi="宋体" w:cs="宋体" w:eastAsia="宋体" w:hint="default"/>
          <w:sz w:val="21"/>
          <w:szCs w:val="21"/>
        </w:rPr>
        <w:t>的日活跃用户、人均搜索次数和</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eCPM</w:t>
      </w:r>
      <w:r>
        <w:rPr>
          <w:rFonts w:ascii="宋体" w:hAnsi="宋体" w:cs="宋体" w:eastAsia="宋体" w:hint="default"/>
          <w:sz w:val="21"/>
          <w:szCs w:val="21"/>
        </w:rPr>
        <w:t>等关键数据，提升整体商业变现能力。</w:t>
      </w:r>
    </w:p>
    <w:p>
      <w:pPr>
        <w:spacing w:before="125"/>
        <w:ind w:left="15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）互联网金融</w:t>
      </w:r>
    </w:p>
    <w:p>
      <w:pPr>
        <w:spacing w:line="264" w:lineRule="auto" w:before="141"/>
        <w:ind w:left="154" w:right="151" w:firstLine="420"/>
        <w:jc w:val="both"/>
        <w:rPr>
          <w:rFonts w:ascii="宋体" w:hAnsi="宋体" w:cs="宋体" w:eastAsia="宋体" w:hint="default"/>
          <w:sz w:val="21"/>
          <w:szCs w:val="21"/>
        </w:rPr>
      </w:pPr>
      <w:r>
        <w:rPr>
          <w:rFonts w:ascii="宋体" w:hAnsi="宋体" w:cs="宋体" w:eastAsia="宋体" w:hint="default"/>
          <w:spacing w:val="-1"/>
          <w:sz w:val="21"/>
          <w:szCs w:val="21"/>
        </w:rPr>
        <w:t>计划重点实施海淘金理财平台、海外互联网金融平台以及游戏与互联网金融互动平台。现团队已完成</w:t>
      </w:r>
      <w:r>
        <w:rPr>
          <w:rFonts w:ascii="宋体" w:hAnsi="宋体" w:cs="宋体" w:eastAsia="宋体" w:hint="default"/>
          <w:sz w:val="21"/>
          <w:szCs w:val="21"/>
        </w:rPr>
        <w:t> </w:t>
      </w:r>
      <w:r>
        <w:rPr>
          <w:rFonts w:ascii="宋体" w:hAnsi="宋体" w:cs="宋体" w:eastAsia="宋体" w:hint="default"/>
          <w:spacing w:val="-1"/>
          <w:sz w:val="21"/>
          <w:szCs w:val="21"/>
        </w:rPr>
        <w:t>日本、韩国、东南亚等市场的前期考察和培育阶段，预计在</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年至</w:t>
      </w:r>
      <w:r>
        <w:rPr>
          <w:rFonts w:ascii="Times New Roman" w:hAnsi="Times New Roman" w:cs="Times New Roman" w:eastAsia="Times New Roman" w:hint="default"/>
          <w:spacing w:val="-1"/>
          <w:sz w:val="21"/>
          <w:szCs w:val="21"/>
        </w:rPr>
        <w:t>2017</w:t>
      </w:r>
      <w:r>
        <w:rPr>
          <w:rFonts w:ascii="宋体" w:hAnsi="宋体" w:cs="宋体" w:eastAsia="宋体" w:hint="default"/>
          <w:spacing w:val="-1"/>
          <w:sz w:val="21"/>
          <w:szCs w:val="21"/>
        </w:rPr>
        <w:t>年在以上国家和地区实现项目落</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地。</w:t>
      </w:r>
    </w:p>
    <w:p>
      <w:pPr>
        <w:spacing w:line="432" w:lineRule="exact" w:before="36"/>
        <w:ind w:left="490" w:right="0" w:hanging="336"/>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）社交平台 </w:t>
      </w:r>
      <w:r>
        <w:rPr>
          <w:rFonts w:ascii="宋体" w:hAnsi="宋体" w:cs="宋体" w:eastAsia="宋体" w:hint="default"/>
          <w:spacing w:val="-2"/>
          <w:sz w:val="21"/>
          <w:szCs w:val="21"/>
        </w:rPr>
        <w:t>公司已于</w:t>
      </w:r>
      <w:r>
        <w:rPr>
          <w:rFonts w:ascii="Times New Roman" w:hAnsi="Times New Roman" w:cs="Times New Roman" w:eastAsia="Times New Roman" w:hint="default"/>
          <w:spacing w:val="-2"/>
          <w:sz w:val="21"/>
          <w:szCs w:val="21"/>
        </w:rPr>
        <w:t>2016</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11</w:t>
      </w:r>
      <w:r>
        <w:rPr>
          <w:rFonts w:ascii="宋体" w:hAnsi="宋体" w:cs="宋体" w:eastAsia="宋体" w:hint="default"/>
          <w:spacing w:val="-2"/>
          <w:sz w:val="21"/>
          <w:szCs w:val="21"/>
        </w:rPr>
        <w:t>日发布了收购美国同性恋社交网络</w:t>
      </w:r>
      <w:r>
        <w:rPr>
          <w:rFonts w:ascii="Times New Roman" w:hAnsi="Times New Roman" w:cs="Times New Roman" w:eastAsia="Times New Roman" w:hint="default"/>
          <w:spacing w:val="-2"/>
          <w:sz w:val="21"/>
          <w:szCs w:val="21"/>
        </w:rPr>
        <w:t>Grindr60%</w:t>
      </w:r>
      <w:r>
        <w:rPr>
          <w:rFonts w:ascii="宋体" w:hAnsi="宋体" w:cs="宋体" w:eastAsia="宋体" w:hint="default"/>
          <w:spacing w:val="-2"/>
          <w:sz w:val="21"/>
          <w:szCs w:val="21"/>
        </w:rPr>
        <w:t>股份的公告。</w:t>
      </w:r>
      <w:r>
        <w:rPr>
          <w:rFonts w:ascii="Times New Roman" w:hAnsi="Times New Roman" w:cs="Times New Roman" w:eastAsia="Times New Roman" w:hint="default"/>
          <w:spacing w:val="-2"/>
          <w:sz w:val="21"/>
          <w:szCs w:val="21"/>
        </w:rPr>
        <w:t>Grindr</w:t>
      </w:r>
      <w:r>
        <w:rPr>
          <w:rFonts w:ascii="宋体" w:hAnsi="宋体" w:cs="宋体" w:eastAsia="宋体" w:hint="default"/>
          <w:spacing w:val="-2"/>
          <w:sz w:val="21"/>
          <w:szCs w:val="21"/>
        </w:rPr>
        <w:t>是全球最大的同</w:t>
      </w:r>
    </w:p>
    <w:p>
      <w:pPr>
        <w:spacing w:line="271" w:lineRule="exact"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性恋社交网络，覆盖</w:t>
      </w:r>
      <w:r>
        <w:rPr>
          <w:rFonts w:ascii="Times New Roman" w:hAnsi="Times New Roman" w:cs="Times New Roman" w:eastAsia="Times New Roman" w:hint="default"/>
          <w:sz w:val="21"/>
          <w:szCs w:val="21"/>
        </w:rPr>
        <w:t>196</w:t>
      </w:r>
      <w:r>
        <w:rPr>
          <w:rFonts w:ascii="宋体" w:hAnsi="宋体" w:cs="宋体" w:eastAsia="宋体" w:hint="default"/>
          <w:sz w:val="21"/>
          <w:szCs w:val="21"/>
        </w:rPr>
        <w:t>个国家和地区。自</w:t>
      </w:r>
      <w:r>
        <w:rPr>
          <w:rFonts w:ascii="Times New Roman" w:hAnsi="Times New Roman" w:cs="Times New Roman" w:eastAsia="Times New Roman" w:hint="default"/>
          <w:sz w:val="21"/>
          <w:szCs w:val="21"/>
        </w:rPr>
        <w:t>2014</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z w:val="21"/>
          <w:szCs w:val="21"/>
        </w:rPr>
        <w:t>月至今，一直霸占美国</w:t>
      </w:r>
      <w:r>
        <w:rPr>
          <w:rFonts w:ascii="Times New Roman" w:hAnsi="Times New Roman" w:cs="Times New Roman" w:eastAsia="Times New Roman" w:hint="default"/>
          <w:sz w:val="21"/>
          <w:szCs w:val="21"/>
        </w:rPr>
        <w:t>iOS</w:t>
      </w:r>
      <w:r>
        <w:rPr>
          <w:rFonts w:ascii="宋体" w:hAnsi="宋体" w:cs="宋体" w:eastAsia="宋体" w:hint="default"/>
          <w:sz w:val="21"/>
          <w:szCs w:val="21"/>
        </w:rPr>
        <w:t>付费榜社交类第一名，已成</w:t>
      </w:r>
    </w:p>
    <w:p>
      <w:pPr>
        <w:spacing w:before="22"/>
        <w:ind w:left="154" w:right="0" w:firstLine="0"/>
        <w:jc w:val="left"/>
        <w:rPr>
          <w:rFonts w:ascii="宋体" w:hAnsi="宋体" w:cs="宋体" w:eastAsia="宋体" w:hint="default"/>
          <w:sz w:val="21"/>
          <w:szCs w:val="21"/>
        </w:rPr>
      </w:pPr>
      <w:r>
        <w:rPr>
          <w:rFonts w:ascii="宋体" w:hAnsi="宋体" w:cs="宋体" w:eastAsia="宋体" w:hint="default"/>
          <w:sz w:val="21"/>
          <w:szCs w:val="21"/>
        </w:rPr>
        <w:t>为同性恋社群必备的社交软件。公司将对</w:t>
      </w:r>
      <w:r>
        <w:rPr>
          <w:rFonts w:ascii="Times New Roman" w:hAnsi="Times New Roman" w:cs="Times New Roman" w:eastAsia="Times New Roman" w:hint="default"/>
          <w:sz w:val="21"/>
          <w:szCs w:val="21"/>
        </w:rPr>
        <w:t>Grindr</w:t>
      </w:r>
      <w:r>
        <w:rPr>
          <w:rFonts w:ascii="宋体" w:hAnsi="宋体" w:cs="宋体" w:eastAsia="宋体" w:hint="default"/>
          <w:sz w:val="21"/>
          <w:szCs w:val="21"/>
        </w:rPr>
        <w:t>进行产品更新，进一步提升日活跃用户及商业变现能力。</w:t>
      </w:r>
    </w:p>
    <w:p>
      <w:pPr>
        <w:spacing w:line="240" w:lineRule="auto" w:before="11"/>
        <w:rPr>
          <w:rFonts w:ascii="宋体" w:hAnsi="宋体" w:cs="宋体" w:eastAsia="宋体" w:hint="default"/>
          <w:sz w:val="16"/>
          <w:szCs w:val="16"/>
        </w:rPr>
      </w:pPr>
    </w:p>
    <w:p>
      <w:pPr>
        <w:pStyle w:val="Heading2"/>
        <w:spacing w:line="240" w:lineRule="auto"/>
        <w:ind w:right="0"/>
        <w:jc w:val="left"/>
        <w:rPr>
          <w:b w:val="0"/>
          <w:bCs w:val="0"/>
        </w:rPr>
      </w:pPr>
      <w:r>
        <w:rPr/>
        <w:t>十、接待调研、沟通、采访等活动情况</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、报告期内接待调研、沟通、采访等活动登记表</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2177"/>
        <w:gridCol w:w="3038"/>
      </w:tblGrid>
      <w:tr>
        <w:trPr>
          <w:trHeight w:val="401"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4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04"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715"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123"/>
              <w:jc w:val="left"/>
              <w:rPr>
                <w:rFonts w:ascii="Times New Roman" w:hAnsi="Times New Roman" w:cs="Times New Roman" w:eastAsia="Times New Roman" w:hint="default"/>
                <w:sz w:val="18"/>
                <w:szCs w:val="18"/>
              </w:rPr>
            </w:pPr>
            <w:r>
              <w:rPr>
                <w:rFonts w:ascii="宋体" w:hAnsi="宋体" w:cs="宋体" w:eastAsia="宋体" w:hint="default"/>
                <w:sz w:val="18"/>
                <w:szCs w:val="18"/>
              </w:rPr>
              <w:t>见巨潮资讯网披露的投资者活动关系 记录表，编号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2015-001</w:t>
            </w:r>
          </w:p>
        </w:tc>
      </w:tr>
    </w:tbl>
    <w:p>
      <w:pPr>
        <w:spacing w:after="0" w:line="316"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457" w:lineRule="exact"/>
        <w:ind w:right="615"/>
        <w:jc w:val="center"/>
        <w:rPr>
          <w:b w:val="0"/>
          <w:bCs w:val="0"/>
        </w:rPr>
      </w:pPr>
      <w:bookmarkStart w:name="_TOC_250006" w:id="5"/>
      <w:r>
        <w:rPr/>
        <w:t>第五节 </w:t>
      </w:r>
      <w:r>
        <w:rPr>
          <w:spacing w:val="5"/>
        </w:rPr>
        <w:t> </w:t>
      </w:r>
      <w:r>
        <w:rPr/>
        <w:t>重要事项</w:t>
      </w:r>
      <w:bookmarkEnd w:id="5"/>
      <w:r>
        <w:rPr>
          <w:b w:val="0"/>
          <w:bCs w:val="0"/>
        </w:rPr>
      </w:r>
    </w:p>
    <w:p>
      <w:pPr>
        <w:spacing w:line="240" w:lineRule="auto" w:before="13"/>
        <w:rPr>
          <w:rFonts w:ascii="Microsoft JhengHei" w:hAnsi="Microsoft JhengHei" w:cs="Microsoft JhengHei" w:eastAsia="Microsoft JhengHei" w:hint="default"/>
          <w:b/>
          <w:bCs/>
          <w:sz w:val="22"/>
          <w:szCs w:val="22"/>
        </w:rPr>
      </w:pPr>
    </w:p>
    <w:p>
      <w:pPr>
        <w:pStyle w:val="Heading2"/>
        <w:spacing w:line="240" w:lineRule="auto"/>
        <w:ind w:right="0"/>
        <w:jc w:val="left"/>
        <w:rPr>
          <w:b w:val="0"/>
          <w:bCs w:val="0"/>
        </w:rPr>
      </w:pPr>
      <w:r>
        <w:rPr/>
        <w:t>一、公司普通股利润分配及资本公积金转增股本情况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line="328" w:lineRule="auto"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报告期内，经公司股东大会审议通过了《公司章程》。根据《公司章程》，公司的年度利润分配方案由董事会制订并提交公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司股东大会批准后实施。</w:t>
      </w:r>
    </w:p>
    <w:p>
      <w:pPr>
        <w:spacing w:line="240" w:lineRule="auto" w:before="10"/>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公司报告期利润分配预案及资本公积金转增股本预案与公司章程和分红管理办法等的相关规定一致</w:t>
      </w:r>
    </w:p>
    <w:p>
      <w:pPr>
        <w:spacing w:line="348" w:lineRule="auto" w:before="117"/>
        <w:ind w:left="154" w:right="32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公司报告期利润分配预案及资本公积金转增股本预案符合公司章程等的相关规定。 本年度利润分配及资本公积金转增股本预案</w:t>
      </w:r>
    </w:p>
    <w:tbl>
      <w:tblPr>
        <w:tblW w:w="0" w:type="auto"/>
        <w:jc w:val="left"/>
        <w:tblInd w:w="149" w:type="dxa"/>
        <w:tblLayout w:type="fixed"/>
        <w:tblCellMar>
          <w:top w:w="0" w:type="dxa"/>
          <w:left w:w="0" w:type="dxa"/>
          <w:bottom w:w="0" w:type="dxa"/>
          <w:right w:w="0" w:type="dxa"/>
        </w:tblCellMar>
        <w:tblLook w:val="01E0"/>
      </w:tblPr>
      <w:tblGrid>
        <w:gridCol w:w="3718"/>
        <w:gridCol w:w="5850"/>
      </w:tblGrid>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1.05</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1,127,230,993</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118,359,254.27</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132,717,681.44</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2"/>
                <w:sz w:val="18"/>
                <w:szCs w:val="18"/>
              </w:rPr>
              <w:t>公司发展阶段不易区分但有重大资金支出安排的，进行利润分配时，现金分红在本次利润分配中所占比例最低应达到</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bl>
    <w:p>
      <w:pPr>
        <w:spacing w:line="415" w:lineRule="auto" w:before="74"/>
        <w:ind w:left="514" w:right="547" w:hanging="36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pacing w:val="-3"/>
          <w:sz w:val="18"/>
          <w:szCs w:val="18"/>
        </w:rPr>
        <w:t>年（包括本报告期）的普通股股利分配方案（预案）、资本公积金转增股本方案（预案）情况</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公司于</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18</w:t>
      </w:r>
      <w:r>
        <w:rPr>
          <w:rFonts w:ascii="宋体" w:hAnsi="宋体" w:cs="宋体" w:eastAsia="宋体" w:hint="default"/>
          <w:sz w:val="18"/>
          <w:szCs w:val="18"/>
        </w:rPr>
        <w:t>日召开</w:t>
      </w:r>
      <w:r>
        <w:rPr>
          <w:rFonts w:ascii="Times New Roman" w:hAnsi="Times New Roman" w:cs="Times New Roman" w:eastAsia="Times New Roman" w:hint="default"/>
          <w:sz w:val="18"/>
          <w:szCs w:val="18"/>
        </w:rPr>
        <w:t>2013</w:t>
      </w:r>
      <w:r>
        <w:rPr>
          <w:rFonts w:ascii="宋体" w:hAnsi="宋体" w:cs="宋体" w:eastAsia="宋体" w:hint="default"/>
          <w:sz w:val="18"/>
          <w:szCs w:val="18"/>
        </w:rPr>
        <w:t>年第一次临时股东大会，决议向股东分配利润</w:t>
      </w:r>
      <w:r>
        <w:rPr>
          <w:rFonts w:ascii="Times New Roman" w:hAnsi="Times New Roman" w:cs="Times New Roman" w:eastAsia="Times New Roman" w:hint="default"/>
          <w:sz w:val="18"/>
          <w:szCs w:val="18"/>
        </w:rPr>
        <w:t>10,000</w:t>
      </w:r>
      <w:r>
        <w:rPr>
          <w:rFonts w:ascii="宋体" w:hAnsi="宋体" w:cs="宋体" w:eastAsia="宋体" w:hint="default"/>
          <w:sz w:val="18"/>
          <w:szCs w:val="18"/>
        </w:rPr>
        <w:t>万元，前述股利已全部支付。 公司于</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日召开</w:t>
      </w:r>
      <w:r>
        <w:rPr>
          <w:rFonts w:ascii="Times New Roman" w:hAnsi="Times New Roman" w:cs="Times New Roman" w:eastAsia="Times New Roman" w:hint="default"/>
          <w:sz w:val="18"/>
          <w:szCs w:val="18"/>
        </w:rPr>
        <w:t>2013</w:t>
      </w:r>
      <w:r>
        <w:rPr>
          <w:rFonts w:ascii="宋体" w:hAnsi="宋体" w:cs="宋体" w:eastAsia="宋体" w:hint="default"/>
          <w:sz w:val="18"/>
          <w:szCs w:val="18"/>
        </w:rPr>
        <w:t>年年度股东大会，决议向股东分配利润</w:t>
      </w:r>
      <w:r>
        <w:rPr>
          <w:rFonts w:ascii="Times New Roman" w:hAnsi="Times New Roman" w:cs="Times New Roman" w:eastAsia="Times New Roman" w:hint="default"/>
          <w:sz w:val="18"/>
          <w:szCs w:val="18"/>
        </w:rPr>
        <w:t>12,000</w:t>
      </w:r>
      <w:r>
        <w:rPr>
          <w:rFonts w:ascii="宋体" w:hAnsi="宋体" w:cs="宋体" w:eastAsia="宋体" w:hint="default"/>
          <w:sz w:val="18"/>
          <w:szCs w:val="18"/>
        </w:rPr>
        <w:t>万元，前述股利已全部支付。</w:t>
      </w:r>
    </w:p>
    <w:p>
      <w:pPr>
        <w:spacing w:after="0" w:line="415"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2"/>
        <w:rPr>
          <w:rFonts w:ascii="宋体" w:hAnsi="宋体" w:cs="宋体" w:eastAsia="宋体" w:hint="default"/>
          <w:sz w:val="25"/>
          <w:szCs w:val="25"/>
        </w:rPr>
      </w:pPr>
    </w:p>
    <w:p>
      <w:pPr>
        <w:spacing w:line="415" w:lineRule="auto" w:before="44"/>
        <w:ind w:left="514" w:right="677" w:firstLine="0"/>
        <w:jc w:val="left"/>
        <w:rPr>
          <w:rFonts w:ascii="宋体" w:hAnsi="宋体" w:cs="宋体" w:eastAsia="宋体" w:hint="default"/>
          <w:sz w:val="18"/>
          <w:szCs w:val="18"/>
        </w:rPr>
      </w:pPr>
      <w:r>
        <w:rPr>
          <w:rFonts w:ascii="宋体" w:hAnsi="宋体" w:cs="宋体" w:eastAsia="宋体" w:hint="default"/>
          <w:sz w:val="18"/>
          <w:szCs w:val="18"/>
        </w:rPr>
        <w:t>公司于</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日召开</w:t>
      </w:r>
      <w:r>
        <w:rPr>
          <w:rFonts w:ascii="Times New Roman" w:hAnsi="Times New Roman" w:cs="Times New Roman" w:eastAsia="Times New Roman" w:hint="default"/>
          <w:sz w:val="18"/>
          <w:szCs w:val="18"/>
        </w:rPr>
        <w:t>2014</w:t>
      </w:r>
      <w:r>
        <w:rPr>
          <w:rFonts w:ascii="宋体" w:hAnsi="宋体" w:cs="宋体" w:eastAsia="宋体" w:hint="default"/>
          <w:sz w:val="18"/>
          <w:szCs w:val="18"/>
        </w:rPr>
        <w:t>年第二次临时股东大会，决议向股东分配利润</w:t>
      </w:r>
      <w:r>
        <w:rPr>
          <w:rFonts w:ascii="Times New Roman" w:hAnsi="Times New Roman" w:cs="Times New Roman" w:eastAsia="Times New Roman" w:hint="default"/>
          <w:sz w:val="18"/>
          <w:szCs w:val="18"/>
        </w:rPr>
        <w:t>4,500</w:t>
      </w:r>
      <w:r>
        <w:rPr>
          <w:rFonts w:ascii="宋体" w:hAnsi="宋体" w:cs="宋体" w:eastAsia="宋体" w:hint="default"/>
          <w:sz w:val="18"/>
          <w:szCs w:val="18"/>
        </w:rPr>
        <w:t>万元，前述股利已全部支付。 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日召开</w:t>
      </w:r>
      <w:r>
        <w:rPr>
          <w:rFonts w:ascii="Times New Roman" w:hAnsi="Times New Roman" w:cs="Times New Roman" w:eastAsia="Times New Roman" w:hint="default"/>
          <w:sz w:val="18"/>
          <w:szCs w:val="18"/>
        </w:rPr>
        <w:t>2014</w:t>
      </w:r>
      <w:r>
        <w:rPr>
          <w:rFonts w:ascii="宋体" w:hAnsi="宋体" w:cs="宋体" w:eastAsia="宋体" w:hint="default"/>
          <w:sz w:val="18"/>
          <w:szCs w:val="18"/>
        </w:rPr>
        <w:t>年年度股东大会，决议向股东分配利润</w:t>
      </w:r>
      <w:r>
        <w:rPr>
          <w:rFonts w:ascii="Times New Roman" w:hAnsi="Times New Roman" w:cs="Times New Roman" w:eastAsia="Times New Roman" w:hint="default"/>
          <w:sz w:val="18"/>
          <w:szCs w:val="18"/>
        </w:rPr>
        <w:t>7,000</w:t>
      </w:r>
      <w:r>
        <w:rPr>
          <w:rFonts w:ascii="宋体" w:hAnsi="宋体" w:cs="宋体" w:eastAsia="宋体" w:hint="default"/>
          <w:sz w:val="18"/>
          <w:szCs w:val="18"/>
        </w:rPr>
        <w:t>万元，前述股利尚未全部支付。</w:t>
      </w:r>
    </w:p>
    <w:p>
      <w:pPr>
        <w:spacing w:line="302" w:lineRule="auto" w:before="37"/>
        <w:ind w:left="154" w:right="82" w:firstLine="0"/>
        <w:jc w:val="left"/>
        <w:rPr>
          <w:rFonts w:ascii="宋体" w:hAnsi="宋体" w:cs="宋体" w:eastAsia="宋体" w:hint="default"/>
          <w:sz w:val="18"/>
          <w:szCs w:val="18"/>
        </w:rPr>
      </w:pPr>
      <w:r>
        <w:rPr>
          <w:rFonts w:ascii="宋体" w:hAnsi="宋体" w:cs="宋体" w:eastAsia="宋体" w:hint="default"/>
          <w:sz w:val="18"/>
          <w:szCs w:val="18"/>
        </w:rPr>
        <w:t>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日召开</w:t>
      </w:r>
      <w:r>
        <w:rPr>
          <w:rFonts w:ascii="Times New Roman" w:hAnsi="Times New Roman" w:cs="Times New Roman" w:eastAsia="Times New Roman" w:hint="default"/>
          <w:sz w:val="18"/>
          <w:szCs w:val="18"/>
        </w:rPr>
        <w:t>2015</w:t>
      </w:r>
      <w:r>
        <w:rPr>
          <w:rFonts w:ascii="宋体" w:hAnsi="宋体" w:cs="宋体" w:eastAsia="宋体" w:hint="default"/>
          <w:sz w:val="18"/>
          <w:szCs w:val="18"/>
        </w:rPr>
        <w:t>年第五次临时股东大会，决议</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年半年度权益分派最终以公司现有总股本</w:t>
      </w:r>
      <w:r>
        <w:rPr>
          <w:rFonts w:ascii="Times New Roman" w:hAnsi="Times New Roman" w:cs="Times New Roman" w:eastAsia="Times New Roman" w:hint="default"/>
          <w:sz w:val="18"/>
          <w:szCs w:val="18"/>
        </w:rPr>
        <w:t>287,231,000</w:t>
      </w:r>
      <w:r>
        <w:rPr>
          <w:rFonts w:ascii="宋体" w:hAnsi="宋体" w:cs="宋体" w:eastAsia="宋体" w:hint="default"/>
          <w:sz w:val="18"/>
          <w:szCs w:val="18"/>
        </w:rPr>
        <w:t>股为</w:t>
      </w:r>
      <w:r>
        <w:rPr>
          <w:rFonts w:ascii="宋体" w:hAnsi="宋体" w:cs="宋体" w:eastAsia="宋体" w:hint="default"/>
          <w:spacing w:val="-85"/>
          <w:sz w:val="18"/>
          <w:szCs w:val="18"/>
        </w:rPr>
        <w:t> </w:t>
      </w:r>
      <w:r>
        <w:rPr>
          <w:rFonts w:ascii="宋体" w:hAnsi="宋体" w:cs="宋体" w:eastAsia="宋体" w:hint="default"/>
          <w:spacing w:val="-1"/>
          <w:sz w:val="18"/>
          <w:szCs w:val="18"/>
        </w:rPr>
        <w:t>基数，以资本公积金向全体股东每</w:t>
      </w:r>
      <w:r>
        <w:rPr>
          <w:rFonts w:ascii="Times New Roman" w:hAnsi="Times New Roman" w:cs="Times New Roman" w:eastAsia="Times New Roman" w:hint="default"/>
          <w:spacing w:val="-1"/>
          <w:sz w:val="18"/>
          <w:szCs w:val="18"/>
        </w:rPr>
        <w:t>10</w:t>
      </w:r>
      <w:r>
        <w:rPr>
          <w:rFonts w:ascii="宋体" w:hAnsi="宋体" w:cs="宋体" w:eastAsia="宋体" w:hint="default"/>
          <w:spacing w:val="-1"/>
          <w:sz w:val="18"/>
          <w:szCs w:val="18"/>
        </w:rPr>
        <w:t>股转增</w:t>
      </w:r>
      <w:r>
        <w:rPr>
          <w:rFonts w:ascii="Times New Roman" w:hAnsi="Times New Roman" w:cs="Times New Roman" w:eastAsia="Times New Roman" w:hint="default"/>
          <w:spacing w:val="-1"/>
          <w:sz w:val="18"/>
          <w:szCs w:val="18"/>
        </w:rPr>
        <w:t>29.244754</w:t>
      </w:r>
      <w:r>
        <w:rPr>
          <w:rFonts w:ascii="宋体" w:hAnsi="宋体" w:cs="宋体" w:eastAsia="宋体" w:hint="default"/>
          <w:spacing w:val="-1"/>
          <w:sz w:val="18"/>
          <w:szCs w:val="18"/>
        </w:rPr>
        <w:t>股，共计转增</w:t>
      </w:r>
      <w:r>
        <w:rPr>
          <w:rFonts w:ascii="Times New Roman" w:hAnsi="Times New Roman" w:cs="Times New Roman" w:eastAsia="Times New Roman" w:hint="default"/>
          <w:spacing w:val="-1"/>
          <w:sz w:val="18"/>
          <w:szCs w:val="18"/>
        </w:rPr>
        <w:t>839,999,993</w:t>
      </w:r>
      <w:r>
        <w:rPr>
          <w:rFonts w:ascii="宋体" w:hAnsi="宋体" w:cs="宋体" w:eastAsia="宋体" w:hint="default"/>
          <w:spacing w:val="-1"/>
          <w:sz w:val="18"/>
          <w:szCs w:val="18"/>
        </w:rPr>
        <w:t>股。</w:t>
      </w: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年半年度不送股，不派发现金股利。</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前述转增已经登记完毕。</w:t>
      </w:r>
    </w:p>
    <w:p>
      <w:pPr>
        <w:spacing w:before="69"/>
        <w:ind w:left="154" w:right="82"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7"/>
        <w:ind w:left="0" w:right="19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133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612" w:right="71"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3" w:right="70"/>
              <w:jc w:val="center"/>
              <w:rPr>
                <w:rFonts w:ascii="宋体" w:hAnsi="宋体" w:cs="宋体" w:eastAsia="宋体" w:hint="default"/>
                <w:sz w:val="18"/>
                <w:szCs w:val="18"/>
              </w:rPr>
            </w:pPr>
            <w:r>
              <w:rPr>
                <w:rFonts w:ascii="宋体" w:hAnsi="宋体" w:cs="宋体" w:eastAsia="宋体" w:hint="default"/>
                <w:sz w:val="18"/>
                <w:szCs w:val="18"/>
              </w:rPr>
              <w:t>分红年度合并报表 中归属于上市公司 普通股股东的净利 润</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2" w:right="71"/>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于上市公司普通股 股东的净利润的比 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431" w:right="70"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433"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118,359,254.27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405,288,398.77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29.20%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115,000,000.00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326,382,276.82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35.23%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220,000,000.00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435,906,412.74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50.47%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82"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7"/>
        <w:ind w:left="154" w:right="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82"/>
        <w:jc w:val="left"/>
        <w:rPr>
          <w:b w:val="0"/>
          <w:bCs w:val="0"/>
        </w:rPr>
      </w:pPr>
      <w:r>
        <w:rPr/>
        <w:t>二、承诺事项履行情况</w:t>
      </w:r>
      <w:r>
        <w:rPr>
          <w:b w:val="0"/>
          <w:bCs w:val="0"/>
        </w:rPr>
      </w:r>
    </w:p>
    <w:p>
      <w:pPr>
        <w:spacing w:line="240" w:lineRule="auto" w:before="12"/>
        <w:rPr>
          <w:rFonts w:ascii="Microsoft JhengHei" w:hAnsi="Microsoft JhengHei" w:cs="Microsoft JhengHei" w:eastAsia="Microsoft JhengHei" w:hint="default"/>
          <w:b/>
          <w:bCs/>
          <w:sz w:val="16"/>
          <w:szCs w:val="16"/>
        </w:rPr>
      </w:pPr>
    </w:p>
    <w:p>
      <w:pPr>
        <w:spacing w:line="314" w:lineRule="exact" w:before="0"/>
        <w:ind w:left="154" w:right="8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、公司、股东、实际控制人、收购人、董事、监事、高级管理人员或其他关联方在报告期内履行完毕及</w:t>
      </w:r>
      <w:r>
        <w:rPr>
          <w:rFonts w:ascii="Microsoft JhengHei" w:hAnsi="Microsoft JhengHei" w:cs="Microsoft JhengHei" w:eastAsia="Microsoft JhengHei" w:hint="default"/>
          <w:b/>
          <w:bCs/>
          <w:spacing w:val="27"/>
          <w:sz w:val="21"/>
          <w:szCs w:val="21"/>
        </w:rPr>
        <w:t> </w:t>
      </w:r>
      <w:r>
        <w:rPr>
          <w:rFonts w:ascii="Microsoft JhengHei" w:hAnsi="Microsoft JhengHei" w:cs="Microsoft JhengHei" w:eastAsia="Microsoft JhengHei" w:hint="default"/>
          <w:b/>
          <w:bCs/>
          <w:spacing w:val="27"/>
          <w:sz w:val="21"/>
          <w:szCs w:val="21"/>
        </w:rPr>
      </w:r>
      <w:r>
        <w:rPr>
          <w:rFonts w:ascii="Microsoft JhengHei" w:hAnsi="Microsoft JhengHei" w:cs="Microsoft JhengHei" w:eastAsia="Microsoft JhengHei" w:hint="default"/>
          <w:b/>
          <w:bCs/>
          <w:sz w:val="21"/>
          <w:szCs w:val="21"/>
        </w:rPr>
        <w:t>截至报告期末尚未履行完毕的承诺事项</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8"/>
          <w:szCs w:val="18"/>
        </w:rPr>
      </w:pPr>
    </w:p>
    <w:p>
      <w:pPr>
        <w:spacing w:before="0"/>
        <w:ind w:left="154" w:right="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承诺来源</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7"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7"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7"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7"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5"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8"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714"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01"/>
              <w:jc w:val="left"/>
              <w:rPr>
                <w:rFonts w:ascii="宋体" w:hAnsi="宋体" w:cs="宋体" w:eastAsia="宋体" w:hint="default"/>
                <w:sz w:val="18"/>
                <w:szCs w:val="18"/>
              </w:rPr>
            </w:pPr>
            <w:r>
              <w:rPr>
                <w:rFonts w:ascii="宋体" w:hAnsi="宋体" w:cs="宋体" w:eastAsia="宋体" w:hint="default"/>
                <w:sz w:val="18"/>
                <w:szCs w:val="18"/>
              </w:rPr>
              <w:t>收购报告书或权益变动报告书中所 作承诺</w:t>
            </w:r>
          </w:p>
        </w:tc>
        <w:tc>
          <w:tcPr>
            <w:tcW w:w="1126" w:type="dxa"/>
            <w:tcBorders>
              <w:top w:val="single" w:sz="4" w:space="0" w:color="000000"/>
              <w:left w:val="single" w:sz="13" w:space="0" w:color="D2D2D2"/>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2012" w:hRule="exact"/>
        </w:trPr>
        <w:tc>
          <w:tcPr>
            <w:tcW w:w="28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Style w:val="TableParagraph"/>
              <w:spacing w:line="309" w:lineRule="auto" w:before="51"/>
              <w:ind w:left="23" w:right="141"/>
              <w:jc w:val="both"/>
              <w:rPr>
                <w:rFonts w:ascii="宋体" w:hAnsi="宋体" w:cs="宋体" w:eastAsia="宋体" w:hint="default"/>
                <w:sz w:val="18"/>
                <w:szCs w:val="18"/>
              </w:rPr>
            </w:pPr>
            <w:r>
              <w:rPr>
                <w:rFonts w:ascii="宋体" w:hAnsi="宋体" w:cs="宋体" w:eastAsia="宋体" w:hint="default"/>
                <w:sz w:val="18"/>
                <w:szCs w:val="18"/>
              </w:rPr>
              <w:t>周亚辉</w:t>
            </w:r>
            <w:r>
              <w:rPr>
                <w:rFonts w:ascii="Times New Roman" w:hAnsi="Times New Roman" w:cs="Times New Roman" w:eastAsia="Times New Roman" w:hint="default"/>
                <w:sz w:val="18"/>
                <w:szCs w:val="18"/>
              </w:rPr>
              <w:t>;</w:t>
            </w:r>
            <w:r>
              <w:rPr>
                <w:rFonts w:ascii="宋体" w:hAnsi="宋体" w:cs="宋体" w:eastAsia="宋体" w:hint="default"/>
                <w:sz w:val="18"/>
                <w:szCs w:val="18"/>
              </w:rPr>
              <w:t>北京 盈瑞世纪软 件研发中心</w:t>
            </w:r>
          </w:p>
          <w:p>
            <w:pPr>
              <w:pStyle w:val="TableParagraph"/>
              <w:spacing w:line="307" w:lineRule="auto" w:before="24"/>
              <w:ind w:left="23" w:right="21"/>
              <w:jc w:val="left"/>
              <w:rPr>
                <w:rFonts w:ascii="宋体" w:hAnsi="宋体" w:cs="宋体" w:eastAsia="宋体" w:hint="default"/>
                <w:sz w:val="18"/>
                <w:szCs w:val="18"/>
              </w:rPr>
            </w:pPr>
            <w:r>
              <w:rPr>
                <w:rFonts w:ascii="宋体" w:hAnsi="宋体" w:cs="宋体" w:eastAsia="宋体" w:hint="default"/>
                <w:spacing w:val="-9"/>
                <w:sz w:val="18"/>
                <w:szCs w:val="18"/>
              </w:rPr>
              <w:t>（有限合伙）</w:t>
            </w:r>
            <w:r>
              <w:rPr>
                <w:rFonts w:ascii="Times New Roman" w:hAnsi="Times New Roman" w:cs="Times New Roman" w:eastAsia="Times New Roman" w:hint="default"/>
                <w:spacing w:val="-9"/>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王立伟</w:t>
            </w:r>
            <w:r>
              <w:rPr>
                <w:rFonts w:ascii="Times New Roman" w:hAnsi="Times New Roman" w:cs="Times New Roman" w:eastAsia="Times New Roman" w:hint="default"/>
                <w:sz w:val="18"/>
                <w:szCs w:val="18"/>
              </w:rPr>
              <w:t>;</w:t>
            </w:r>
            <w:r>
              <w:rPr>
                <w:rFonts w:ascii="宋体" w:hAnsi="宋体" w:cs="宋体" w:eastAsia="宋体" w:hint="default"/>
                <w:sz w:val="18"/>
                <w:szCs w:val="18"/>
              </w:rPr>
              <w:t>方汉</w:t>
            </w:r>
            <w:r>
              <w:rPr>
                <w:rFonts w:ascii="Times New Roman" w:hAnsi="Times New Roman" w:cs="Times New Roman" w:eastAsia="Times New Roman" w:hint="default"/>
                <w:sz w:val="18"/>
                <w:szCs w:val="18"/>
              </w:rPr>
              <w:t>; </w:t>
            </w:r>
            <w:r>
              <w:rPr>
                <w:rFonts w:ascii="宋体" w:hAnsi="宋体" w:cs="宋体" w:eastAsia="宋体" w:hint="default"/>
                <w:sz w:val="18"/>
                <w:szCs w:val="18"/>
              </w:rPr>
              <w:t>北京昆仑博 观科技中心</w:t>
            </w:r>
          </w:p>
          <w:p>
            <w:pPr>
              <w:pStyle w:val="TableParagraph"/>
              <w:spacing w:line="309" w:lineRule="auto" w:before="26"/>
              <w:ind w:left="23" w:right="21"/>
              <w:jc w:val="left"/>
              <w:rPr>
                <w:rFonts w:ascii="宋体" w:hAnsi="宋体" w:cs="宋体" w:eastAsia="宋体" w:hint="default"/>
                <w:sz w:val="18"/>
                <w:szCs w:val="18"/>
              </w:rPr>
            </w:pPr>
            <w:r>
              <w:rPr>
                <w:rFonts w:ascii="宋体" w:hAnsi="宋体" w:cs="宋体" w:eastAsia="宋体" w:hint="default"/>
                <w:spacing w:val="-9"/>
                <w:sz w:val="18"/>
                <w:szCs w:val="18"/>
              </w:rPr>
              <w:t>（有限合伙）</w:t>
            </w:r>
            <w:r>
              <w:rPr>
                <w:rFonts w:ascii="Times New Roman" w:hAnsi="Times New Roman" w:cs="Times New Roman" w:eastAsia="Times New Roman" w:hint="default"/>
                <w:spacing w:val="-9"/>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北京昆仑博 远科技中心</w:t>
            </w:r>
          </w:p>
          <w:p>
            <w:pPr>
              <w:pStyle w:val="TableParagraph"/>
              <w:spacing w:line="307" w:lineRule="auto" w:before="24"/>
              <w:ind w:left="23" w:right="21"/>
              <w:jc w:val="left"/>
              <w:rPr>
                <w:rFonts w:ascii="宋体" w:hAnsi="宋体" w:cs="宋体" w:eastAsia="宋体" w:hint="default"/>
                <w:sz w:val="18"/>
                <w:szCs w:val="18"/>
              </w:rPr>
            </w:pPr>
            <w:r>
              <w:rPr>
                <w:rFonts w:ascii="宋体" w:hAnsi="宋体" w:cs="宋体" w:eastAsia="宋体" w:hint="default"/>
                <w:spacing w:val="-9"/>
                <w:sz w:val="18"/>
                <w:szCs w:val="18"/>
              </w:rPr>
              <w:t>（有限合伙）</w:t>
            </w:r>
            <w:r>
              <w:rPr>
                <w:rFonts w:ascii="Times New Roman" w:hAnsi="Times New Roman" w:cs="Times New Roman" w:eastAsia="Times New Roman" w:hint="default"/>
                <w:spacing w:val="-9"/>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华为投资控 股有限公司</w:t>
            </w:r>
            <w:r>
              <w:rPr>
                <w:rFonts w:ascii="Times New Roman" w:hAnsi="Times New Roman" w:cs="Times New Roman" w:eastAsia="Times New Roman" w:hint="default"/>
                <w:sz w:val="18"/>
                <w:szCs w:val="18"/>
              </w:rPr>
              <w:t>; </w:t>
            </w:r>
            <w:r>
              <w:rPr>
                <w:rFonts w:ascii="宋体" w:hAnsi="宋体" w:cs="宋体" w:eastAsia="宋体" w:hint="default"/>
                <w:spacing w:val="-2"/>
                <w:sz w:val="18"/>
                <w:szCs w:val="18"/>
              </w:rPr>
              <w:t>东方富海（芜</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319" w:lineRule="auto"/>
              <w:ind w:left="22"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7" w:type="dxa"/>
            <w:vMerge w:val="restart"/>
            <w:tcBorders>
              <w:top w:val="single" w:sz="4" w:space="0" w:color="000000"/>
              <w:left w:val="single" w:sz="4" w:space="0" w:color="000000"/>
              <w:right w:val="single" w:sz="4" w:space="0" w:color="000000"/>
            </w:tcBorders>
          </w:tcPr>
          <w:p>
            <w:pPr>
              <w:pStyle w:val="TableParagraph"/>
              <w:spacing w:line="314"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本公司控股 </w:t>
            </w:r>
            <w:r>
              <w:rPr>
                <w:rFonts w:ascii="宋体" w:hAnsi="宋体" w:cs="宋体" w:eastAsia="宋体" w:hint="default"/>
                <w:spacing w:val="-2"/>
                <w:sz w:val="18"/>
                <w:szCs w:val="18"/>
              </w:rPr>
              <w:t>股东、实际控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制人周亚辉 </w:t>
            </w:r>
            <w:r>
              <w:rPr>
                <w:rFonts w:ascii="宋体" w:hAnsi="宋体" w:cs="宋体" w:eastAsia="宋体" w:hint="default"/>
                <w:spacing w:val="-15"/>
                <w:sz w:val="18"/>
                <w:szCs w:val="18"/>
              </w:rPr>
              <w:t>承诺：（</w:t>
            </w:r>
            <w:r>
              <w:rPr>
                <w:rFonts w:ascii="Times New Roman" w:hAnsi="Times New Roman" w:cs="Times New Roman" w:eastAsia="Times New Roman" w:hint="default"/>
                <w:spacing w:val="-15"/>
                <w:sz w:val="18"/>
                <w:szCs w:val="18"/>
              </w:rPr>
              <w:t>1</w:t>
            </w:r>
            <w:r>
              <w:rPr>
                <w:rFonts w:ascii="宋体" w:hAnsi="宋体" w:cs="宋体" w:eastAsia="宋体" w:hint="default"/>
                <w:spacing w:val="-15"/>
                <w:sz w:val="18"/>
                <w:szCs w:val="18"/>
              </w:rPr>
              <w:t>）自</w:t>
            </w:r>
            <w:r>
              <w:rPr>
                <w:rFonts w:ascii="宋体" w:hAnsi="宋体" w:cs="宋体" w:eastAsia="宋体" w:hint="default"/>
                <w:spacing w:val="-5"/>
                <w:sz w:val="18"/>
                <w:szCs w:val="18"/>
              </w:rPr>
              <w:t> </w:t>
            </w:r>
            <w:r>
              <w:rPr>
                <w:rFonts w:ascii="宋体" w:hAnsi="宋体" w:cs="宋体" w:eastAsia="宋体" w:hint="default"/>
                <w:sz w:val="18"/>
                <w:szCs w:val="18"/>
              </w:rPr>
              <w:t>公司股票上</w:t>
            </w:r>
            <w:r>
              <w:rPr>
                <w:rFonts w:ascii="宋体" w:hAnsi="宋体" w:cs="宋体" w:eastAsia="宋体" w:hint="default"/>
                <w:sz w:val="18"/>
                <w:szCs w:val="18"/>
              </w:rPr>
              <w:t> 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pacing w:val="-2"/>
                <w:sz w:val="18"/>
                <w:szCs w:val="18"/>
              </w:rPr>
              <w:t>个月内，不转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让或者委托 他人管理其 直接和间接 持有的公司 </w:t>
            </w:r>
            <w:r>
              <w:rPr>
                <w:rFonts w:ascii="宋体" w:hAnsi="宋体" w:cs="宋体" w:eastAsia="宋体" w:hint="default"/>
                <w:spacing w:val="-2"/>
                <w:sz w:val="18"/>
                <w:szCs w:val="18"/>
              </w:rPr>
              <w:t>股份，也不由</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公司回购该 部分股份；</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r>
        <w:trPr>
          <w:trHeight w:val="392" w:hRule="exact"/>
        </w:trPr>
        <w:tc>
          <w:tcPr>
            <w:tcW w:w="283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首次公开发行或再融资时所作承诺</w:t>
            </w: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2013" w:hRule="exact"/>
        </w:trPr>
        <w:tc>
          <w:tcPr>
            <w:tcW w:w="28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3740"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23" w:right="21"/>
              <w:jc w:val="left"/>
              <w:rPr>
                <w:rFonts w:ascii="宋体" w:hAnsi="宋体" w:cs="宋体" w:eastAsia="宋体" w:hint="default"/>
                <w:sz w:val="18"/>
                <w:szCs w:val="18"/>
              </w:rPr>
            </w:pPr>
            <w:r>
              <w:rPr>
                <w:rFonts w:ascii="宋体" w:hAnsi="宋体" w:cs="宋体" w:eastAsia="宋体" w:hint="default"/>
                <w:spacing w:val="-2"/>
                <w:sz w:val="18"/>
                <w:szCs w:val="18"/>
              </w:rPr>
              <w:t>湖）股权投资</w:t>
            </w:r>
            <w:r>
              <w:rPr>
                <w:rFonts w:ascii="宋体" w:hAnsi="宋体" w:cs="宋体" w:eastAsia="宋体" w:hint="default"/>
                <w:sz w:val="18"/>
                <w:szCs w:val="18"/>
              </w:rPr>
              <w:t> </w:t>
            </w:r>
            <w:r>
              <w:rPr>
                <w:rFonts w:ascii="宋体" w:hAnsi="宋体" w:cs="宋体" w:eastAsia="宋体" w:hint="default"/>
                <w:spacing w:val="-2"/>
                <w:sz w:val="18"/>
                <w:szCs w:val="18"/>
              </w:rPr>
              <w:t>基金（有限合</w:t>
            </w:r>
            <w:r>
              <w:rPr>
                <w:rFonts w:ascii="宋体" w:hAnsi="宋体" w:cs="宋体" w:eastAsia="宋体" w:hint="default"/>
                <w:sz w:val="18"/>
                <w:szCs w:val="18"/>
              </w:rPr>
              <w:t>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天津鼎麟</w:t>
            </w:r>
            <w:r>
              <w:rPr>
                <w:rFonts w:ascii="宋体" w:hAnsi="宋体" w:cs="宋体" w:eastAsia="宋体" w:hint="default"/>
                <w:sz w:val="18"/>
                <w:szCs w:val="18"/>
              </w:rPr>
              <w:t> 科创股权投 资基金合伙 </w:t>
            </w:r>
            <w:r>
              <w:rPr>
                <w:rFonts w:ascii="宋体" w:hAnsi="宋体" w:cs="宋体" w:eastAsia="宋体" w:hint="default"/>
                <w:spacing w:val="-2"/>
                <w:sz w:val="18"/>
                <w:szCs w:val="18"/>
              </w:rPr>
              <w:t>企业（有限合</w:t>
            </w:r>
            <w:r>
              <w:rPr>
                <w:rFonts w:ascii="宋体" w:hAnsi="宋体" w:cs="宋体" w:eastAsia="宋体" w:hint="default"/>
                <w:sz w:val="18"/>
                <w:szCs w:val="18"/>
              </w:rPr>
              <w:t>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北京银德</w:t>
            </w:r>
            <w:r>
              <w:rPr>
                <w:rFonts w:ascii="宋体" w:hAnsi="宋体" w:cs="宋体" w:eastAsia="宋体" w:hint="default"/>
                <w:sz w:val="18"/>
                <w:szCs w:val="18"/>
              </w:rPr>
              <w:t> 创业投资中 心（有限合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东方富海</w:t>
            </w:r>
          </w:p>
          <w:p>
            <w:pPr>
              <w:pStyle w:val="TableParagraph"/>
              <w:spacing w:line="314" w:lineRule="auto" w:before="1"/>
              <w:ind w:left="23" w:right="21"/>
              <w:jc w:val="left"/>
              <w:rPr>
                <w:rFonts w:ascii="宋体" w:hAnsi="宋体" w:cs="宋体" w:eastAsia="宋体" w:hint="default"/>
                <w:sz w:val="18"/>
                <w:szCs w:val="18"/>
              </w:rPr>
            </w:pPr>
            <w:r>
              <w:rPr>
                <w:rFonts w:ascii="宋体" w:hAnsi="宋体" w:cs="宋体" w:eastAsia="宋体" w:hint="default"/>
                <w:spacing w:val="-2"/>
                <w:sz w:val="18"/>
                <w:szCs w:val="18"/>
              </w:rPr>
              <w:t>（芜湖）二号</w:t>
            </w:r>
            <w:r>
              <w:rPr>
                <w:rFonts w:ascii="宋体" w:hAnsi="宋体" w:cs="宋体" w:eastAsia="宋体" w:hint="default"/>
                <w:sz w:val="18"/>
                <w:szCs w:val="18"/>
              </w:rPr>
              <w:t> 股权投资基 金（有限合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北京澜讯</w:t>
            </w:r>
            <w:r>
              <w:rPr>
                <w:rFonts w:ascii="宋体" w:hAnsi="宋体" w:cs="宋体" w:eastAsia="宋体" w:hint="default"/>
                <w:sz w:val="18"/>
                <w:szCs w:val="18"/>
              </w:rPr>
              <w:t> 科信投资顾 问有限公司</w:t>
            </w:r>
            <w:r>
              <w:rPr>
                <w:rFonts w:ascii="Times New Roman" w:hAnsi="Times New Roman" w:cs="Times New Roman" w:eastAsia="Times New Roman" w:hint="default"/>
                <w:sz w:val="18"/>
                <w:szCs w:val="18"/>
              </w:rPr>
              <w:t>; </w:t>
            </w:r>
            <w:r>
              <w:rPr>
                <w:rFonts w:ascii="宋体" w:hAnsi="宋体" w:cs="宋体" w:eastAsia="宋体" w:hint="default"/>
                <w:sz w:val="18"/>
                <w:szCs w:val="18"/>
              </w:rPr>
              <w:t>上海小村申 祥创业投资 </w:t>
            </w:r>
            <w:r>
              <w:rPr>
                <w:rFonts w:ascii="宋体" w:hAnsi="宋体" w:cs="宋体" w:eastAsia="宋体" w:hint="default"/>
                <w:spacing w:val="-2"/>
                <w:sz w:val="18"/>
                <w:szCs w:val="18"/>
              </w:rPr>
              <w:t>合伙企业（有</w:t>
            </w:r>
            <w:r>
              <w:rPr>
                <w:rFonts w:ascii="宋体" w:hAnsi="宋体" w:cs="宋体" w:eastAsia="宋体" w:hint="default"/>
                <w:sz w:val="18"/>
                <w:szCs w:val="18"/>
              </w:rPr>
              <w:t> </w:t>
            </w:r>
            <w:r>
              <w:rPr>
                <w:rFonts w:ascii="宋体" w:hAnsi="宋体" w:cs="宋体" w:eastAsia="宋体" w:hint="default"/>
                <w:spacing w:val="-9"/>
                <w:sz w:val="18"/>
                <w:szCs w:val="18"/>
              </w:rPr>
              <w:t>限合伙）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杭州</w:t>
            </w:r>
            <w:r>
              <w:rPr>
                <w:rFonts w:ascii="宋体" w:hAnsi="宋体" w:cs="宋体" w:eastAsia="宋体" w:hint="default"/>
                <w:sz w:val="18"/>
                <w:szCs w:val="18"/>
              </w:rPr>
              <w:t> 星泰投资管 理有限公司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22" w:right="-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）在其任 职期间每年 转让的股份 不超过其直 接或间接持 有公司股份 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 在离职后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 月内不转让 其直接或者 间接持有的 公司股份；在 公司股票上 市之日起</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 月内申报离 职的，自申报 离职之日起</w:t>
            </w:r>
          </w:p>
          <w:p>
            <w:pPr>
              <w:pStyle w:val="TableParagraph"/>
              <w:spacing w:line="314" w:lineRule="auto" w:before="20"/>
              <w:ind w:left="22" w:right="12"/>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 转让其直接 或间接持有 的公司股份； 在公司股票 上市之日起</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个月至第</w:t>
            </w:r>
          </w:p>
          <w:p>
            <w:pPr>
              <w:pStyle w:val="TableParagraph"/>
              <w:spacing w:line="314" w:lineRule="auto" w:before="63"/>
              <w:ind w:left="22"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个月之间 申报离职的， 自申报离职 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月内不转让 其直接或间 接持有的公 </w:t>
            </w:r>
            <w:r>
              <w:rPr>
                <w:rFonts w:ascii="宋体" w:hAnsi="宋体" w:cs="宋体" w:eastAsia="宋体" w:hint="default"/>
                <w:spacing w:val="-13"/>
                <w:sz w:val="18"/>
                <w:szCs w:val="18"/>
              </w:rPr>
              <w:t>司股份；（</w:t>
            </w:r>
            <w:r>
              <w:rPr>
                <w:rFonts w:ascii="Times New Roman" w:hAnsi="Times New Roman" w:cs="Times New Roman" w:eastAsia="Times New Roman" w:hint="default"/>
                <w:spacing w:val="-13"/>
                <w:sz w:val="18"/>
                <w:szCs w:val="18"/>
              </w:rPr>
              <w:t>3</w:t>
            </w:r>
            <w:r>
              <w:rPr>
                <w:rFonts w:ascii="宋体" w:hAnsi="宋体" w:cs="宋体" w:eastAsia="宋体" w:hint="default"/>
                <w:spacing w:val="-13"/>
                <w:sz w:val="18"/>
                <w:szCs w:val="18"/>
              </w:rPr>
              <w:t>）</w:t>
            </w:r>
            <w:r>
              <w:rPr>
                <w:rFonts w:ascii="宋体" w:hAnsi="宋体" w:cs="宋体" w:eastAsia="宋体" w:hint="default"/>
                <w:sz w:val="18"/>
                <w:szCs w:val="18"/>
              </w:rPr>
              <w:t> 在股份锁定 期限届满后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年内减持的， 每个会计年 度减持数量 不超过其在 本次发行前 直接、间接所 持公司股份 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 减持价格不 低于发行价</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shape style="position:absolute;margin-left:334.483002pt;margin-top:72.47998pt;width:89pt;height:686.5pt;mso-position-horizontal-relative:page;mso-position-vertical-relative:page;z-index:-96601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1"/>
                    <w:rPr>
                      <w:rFonts w:ascii="Times New Roman" w:hAnsi="Times New Roman" w:cs="Times New Roman" w:eastAsia="Times New Roman" w:hint="default"/>
                      <w:sz w:val="22"/>
                      <w:szCs w:val="2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其直接、</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16"/>
                      <w:szCs w:val="16"/>
                    </w:rPr>
                  </w:pPr>
                </w:p>
                <w:p>
                  <w:pPr>
                    <w:spacing w:before="0"/>
                    <w:ind w:left="538"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（若公司在</w:t>
            </w:r>
          </w:p>
        </w:tc>
        <w:tc>
          <w:tcPr>
            <w:tcW w:w="1126" w:type="dxa"/>
            <w:vMerge w:val="restart"/>
            <w:tcBorders>
              <w:top w:val="single" w:sz="4" w:space="0" w:color="000000"/>
              <w:left w:val="single" w:sz="4" w:space="0" w:color="000000"/>
              <w:right w:val="single" w:sz="4" w:space="0" w:color="000000"/>
            </w:tcBorders>
          </w:tcPr>
          <w:p>
            <w:pPr>
              <w:pStyle w:val="TableParagraph"/>
              <w:spacing w:line="1372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4"/>
                <w:sz w:val="20"/>
                <w:szCs w:val="20"/>
              </w:rPr>
              <w:pict>
                <v:group style="width:55.85pt;height:686.5pt;mso-position-horizontal-relative:char;mso-position-vertical-relative:line" coordorigin="0,0" coordsize="1117,13730">
                  <v:group style="position:absolute;left:0;top:0;width:1117;height:13730" coordorigin="0,0" coordsize="1117,13730">
                    <v:shape style="position:absolute;left:0;top:0;width:1117;height:13730" coordorigin="0,0" coordsize="1117,13730" path="m0,13729l1116,13729,1116,0,0,0,0,13729xe" filled="true" fillcolor="#ffffff" stroked="false">
                      <v:path arrowok="t"/>
                      <v:fill type="solid"/>
                    </v:shape>
                  </v:group>
                </v:group>
              </w:pict>
            </w:r>
            <w:r>
              <w:rPr>
                <w:rFonts w:ascii="Times New Roman" w:hAnsi="Times New Roman" w:cs="Times New Roman" w:eastAsia="Times New Roman" w:hint="default"/>
                <w:position w:val="-274"/>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上市后至其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减持期间发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生派发股利、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送红股、转增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股本等除息、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除权行为，减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持公司股份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的数量和减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持价格下限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将作相应调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整，下同</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）若公司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上市后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内股票价格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易日的收盘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价均低于发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行价，或者上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市后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个月期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末收盘价低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于发行价（若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公司在上市</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个月内发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生派发股利、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送红股、转增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股本等除息、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除权行为，收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盘价格将作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相应调整，下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同</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间接所持公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司股份的锁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定期在原有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锁定期限的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基础上自动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延长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）上述第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w:t>
            </w:r>
            <w:r>
              <w:rPr>
                <w:rFonts w:ascii="Times New Roman" w:hAnsi="Times New Roman" w:cs="Times New Roman" w:eastAsia="Times New Roman" w:hint="default"/>
                <w:spacing w:val="-15"/>
                <w:sz w:val="18"/>
                <w:szCs w:val="18"/>
              </w:rPr>
              <w:t>3</w:t>
            </w:r>
            <w:r>
              <w:rPr>
                <w:rFonts w:ascii="宋体" w:hAnsi="宋体" w:cs="宋体" w:eastAsia="宋体" w:hint="default"/>
                <w:spacing w:val="-15"/>
                <w:sz w:val="18"/>
                <w:szCs w:val="18"/>
              </w:rPr>
              <w:t>）和第（</w:t>
            </w:r>
            <w:r>
              <w:rPr>
                <w:rFonts w:ascii="Times New Roman" w:hAnsi="Times New Roman" w:cs="Times New Roman" w:eastAsia="Times New Roman" w:hint="default"/>
                <w:spacing w:val="-15"/>
                <w:sz w:val="18"/>
                <w:szCs w:val="18"/>
              </w:rPr>
              <w:t>4</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项股份锁定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承诺不会因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其在公司的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职务变更、离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职等原因而</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62"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放弃履行。</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1346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09" w:lineRule="auto"/>
              <w:ind w:left="23" w:right="141"/>
              <w:jc w:val="both"/>
              <w:rPr>
                <w:rFonts w:ascii="宋体" w:hAnsi="宋体" w:cs="宋体" w:eastAsia="宋体" w:hint="default"/>
                <w:sz w:val="18"/>
                <w:szCs w:val="18"/>
              </w:rPr>
            </w:pPr>
            <w:r>
              <w:rPr>
                <w:rFonts w:ascii="宋体" w:hAnsi="宋体" w:cs="宋体" w:eastAsia="宋体" w:hint="default"/>
                <w:sz w:val="18"/>
                <w:szCs w:val="18"/>
              </w:rPr>
              <w:t>周亚辉</w:t>
            </w:r>
            <w:r>
              <w:rPr>
                <w:rFonts w:ascii="Times New Roman" w:hAnsi="Times New Roman" w:cs="Times New Roman" w:eastAsia="Times New Roman" w:hint="default"/>
                <w:sz w:val="18"/>
                <w:szCs w:val="18"/>
              </w:rPr>
              <w:t>;</w:t>
            </w:r>
            <w:r>
              <w:rPr>
                <w:rFonts w:ascii="宋体" w:hAnsi="宋体" w:cs="宋体" w:eastAsia="宋体" w:hint="default"/>
                <w:sz w:val="18"/>
                <w:szCs w:val="18"/>
              </w:rPr>
              <w:t>北京 盈瑞世纪软 件研发中心</w:t>
            </w:r>
          </w:p>
          <w:p>
            <w:pPr>
              <w:pStyle w:val="TableParagraph"/>
              <w:spacing w:line="302" w:lineRule="auto" w:before="24"/>
              <w:ind w:left="23" w:right="21"/>
              <w:jc w:val="left"/>
              <w:rPr>
                <w:rFonts w:ascii="宋体" w:hAnsi="宋体" w:cs="宋体" w:eastAsia="宋体" w:hint="default"/>
                <w:sz w:val="18"/>
                <w:szCs w:val="18"/>
              </w:rPr>
            </w:pPr>
            <w:r>
              <w:rPr>
                <w:rFonts w:ascii="宋体" w:hAnsi="宋体" w:cs="宋体" w:eastAsia="宋体" w:hint="default"/>
                <w:spacing w:val="-9"/>
                <w:sz w:val="18"/>
                <w:szCs w:val="18"/>
              </w:rPr>
              <w:t>（有限合伙）</w:t>
            </w:r>
            <w:r>
              <w:rPr>
                <w:rFonts w:ascii="Times New Roman" w:hAnsi="Times New Roman" w:cs="Times New Roman" w:eastAsia="Times New Roman" w:hint="default"/>
                <w:spacing w:val="-9"/>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王立伟</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319" w:lineRule="auto"/>
              <w:ind w:left="22" w:right="191"/>
              <w:jc w:val="left"/>
              <w:rPr>
                <w:rFonts w:ascii="宋体" w:hAnsi="宋体" w:cs="宋体" w:eastAsia="宋体" w:hint="default"/>
                <w:sz w:val="18"/>
                <w:szCs w:val="18"/>
              </w:rPr>
            </w:pPr>
            <w:r>
              <w:rPr>
                <w:rFonts w:ascii="宋体" w:hAnsi="宋体" w:cs="宋体" w:eastAsia="宋体" w:hint="default"/>
                <w:sz w:val="18"/>
                <w:szCs w:val="18"/>
              </w:rPr>
              <w:t>股份减持承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公司控股股 </w:t>
            </w:r>
            <w:r>
              <w:rPr>
                <w:rFonts w:ascii="宋体" w:hAnsi="宋体" w:cs="宋体" w:eastAsia="宋体" w:hint="default"/>
                <w:spacing w:val="-2"/>
                <w:sz w:val="18"/>
                <w:szCs w:val="18"/>
              </w:rPr>
              <w:t>东、实际控制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人周亚辉的 股份锁定期 限参见</w:t>
            </w:r>
            <w:r>
              <w:rPr>
                <w:rFonts w:ascii="Times New Roman" w:hAnsi="Times New Roman" w:cs="Times New Roman" w:eastAsia="Times New Roman" w:hint="default"/>
                <w:sz w:val="18"/>
                <w:szCs w:val="18"/>
              </w:rPr>
              <w:t>“</w:t>
            </w:r>
            <w:r>
              <w:rPr>
                <w:rFonts w:ascii="宋体" w:hAnsi="宋体" w:cs="宋体" w:eastAsia="宋体" w:hint="default"/>
                <w:sz w:val="18"/>
                <w:szCs w:val="18"/>
              </w:rPr>
              <w:t>股份 </w:t>
            </w:r>
            <w:r>
              <w:rPr>
                <w:rFonts w:ascii="宋体" w:hAnsi="宋体" w:cs="宋体" w:eastAsia="宋体" w:hint="default"/>
                <w:spacing w:val="-26"/>
                <w:w w:val="100"/>
                <w:sz w:val="18"/>
                <w:szCs w:val="18"/>
              </w:rPr>
              <w:t>锁定承诺</w:t>
            </w:r>
            <w:r>
              <w:rPr>
                <w:rFonts w:ascii="Times New Roman" w:hAnsi="Times New Roman" w:cs="Times New Roman" w:eastAsia="Times New Roman" w:hint="default"/>
                <w:spacing w:val="-26"/>
                <w:w w:val="100"/>
                <w:sz w:val="18"/>
                <w:szCs w:val="18"/>
              </w:rPr>
              <w:t>”</w:t>
            </w:r>
            <w:r>
              <w:rPr>
                <w:rFonts w:ascii="宋体" w:hAnsi="宋体" w:cs="宋体" w:eastAsia="宋体" w:hint="default"/>
                <w:spacing w:val="-26"/>
                <w:w w:val="100"/>
                <w:sz w:val="18"/>
                <w:szCs w:val="18"/>
              </w:rPr>
              <w:t>。周</w:t>
            </w:r>
            <w:r>
              <w:rPr>
                <w:rFonts w:ascii="宋体" w:hAnsi="宋体" w:cs="宋体" w:eastAsia="宋体" w:hint="default"/>
                <w:spacing w:val="-90"/>
                <w:sz w:val="18"/>
                <w:szCs w:val="18"/>
              </w:rPr>
              <w:t> </w:t>
            </w:r>
            <w:r>
              <w:rPr>
                <w:rFonts w:ascii="宋体" w:hAnsi="宋体" w:cs="宋体" w:eastAsia="宋体" w:hint="default"/>
                <w:sz w:val="18"/>
                <w:szCs w:val="18"/>
              </w:rPr>
              <w:t>亚辉承诺：</w:t>
            </w:r>
          </w:p>
          <w:p>
            <w:pPr>
              <w:pStyle w:val="TableParagraph"/>
              <w:spacing w:line="314" w:lineRule="auto" w:before="24"/>
              <w:ind w:left="22" w:right="12"/>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）在上述 股份锁定期 限届满后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 内减持的，每 个会计年度 减持数量不 超过其在本 次发行前直 接、间接所持 公司股份总 数的</w:t>
            </w:r>
            <w:r>
              <w:rPr>
                <w:rFonts w:ascii="宋体" w:hAnsi="宋体" w:cs="宋体" w:eastAsia="宋体" w:hint="default"/>
                <w:spacing w:val="-45"/>
                <w:sz w:val="18"/>
                <w:szCs w:val="18"/>
              </w:rPr>
              <w:t> </w:t>
            </w:r>
            <w:r>
              <w:rPr>
                <w:rFonts w:ascii="Times New Roman" w:hAnsi="Times New Roman" w:cs="Times New Roman" w:eastAsia="Times New Roman" w:hint="default"/>
                <w:spacing w:val="-11"/>
                <w:sz w:val="18"/>
                <w:szCs w:val="18"/>
              </w:rPr>
              <w:t>20%</w:t>
            </w:r>
            <w:r>
              <w:rPr>
                <w:rFonts w:ascii="宋体" w:hAnsi="宋体" w:cs="宋体" w:eastAsia="宋体" w:hint="default"/>
                <w:spacing w:val="-11"/>
                <w:sz w:val="18"/>
                <w:szCs w:val="18"/>
              </w:rPr>
              <w:t>，减</w:t>
            </w:r>
            <w:r>
              <w:rPr>
                <w:rFonts w:ascii="宋体" w:hAnsi="宋体" w:cs="宋体" w:eastAsia="宋体" w:hint="default"/>
                <w:spacing w:val="-26"/>
                <w:sz w:val="18"/>
                <w:szCs w:val="18"/>
              </w:rPr>
              <w:t> </w:t>
            </w:r>
            <w:r>
              <w:rPr>
                <w:rFonts w:ascii="宋体" w:hAnsi="宋体" w:cs="宋体" w:eastAsia="宋体" w:hint="default"/>
                <w:sz w:val="18"/>
                <w:szCs w:val="18"/>
              </w:rPr>
              <w:t>持价格不低</w:t>
            </w:r>
            <w:r>
              <w:rPr>
                <w:rFonts w:ascii="宋体" w:hAnsi="宋体" w:cs="宋体" w:eastAsia="宋体" w:hint="default"/>
                <w:sz w:val="18"/>
                <w:szCs w:val="18"/>
              </w:rPr>
              <w:t> 于发行价（若 公司在上市 后至其减持 期间发生派 发股利、送红 股、转增股本 等除息、除权 行为，其减持 公司股份的 数量和减持 价格下限将 作相应调整， </w:t>
            </w:r>
            <w:r>
              <w:rPr>
                <w:rFonts w:ascii="宋体" w:hAnsi="宋体" w:cs="宋体" w:eastAsia="宋体" w:hint="default"/>
                <w:spacing w:val="-26"/>
                <w:sz w:val="18"/>
                <w:szCs w:val="18"/>
              </w:rPr>
              <w:t>下同）；（</w:t>
            </w:r>
            <w:r>
              <w:rPr>
                <w:rFonts w:ascii="Times New Roman" w:hAnsi="Times New Roman" w:cs="Times New Roman" w:eastAsia="Times New Roman" w:hint="default"/>
                <w:spacing w:val="-26"/>
                <w:sz w:val="18"/>
                <w:szCs w:val="18"/>
              </w:rPr>
              <w:t>2</w:t>
            </w:r>
            <w:r>
              <w:rPr>
                <w:rFonts w:ascii="宋体" w:hAnsi="宋体" w:cs="宋体" w:eastAsia="宋体" w:hint="default"/>
                <w:spacing w:val="-26"/>
                <w:sz w:val="18"/>
                <w:szCs w:val="18"/>
              </w:rPr>
              <w:t>）</w:t>
            </w:r>
            <w:r>
              <w:rPr>
                <w:rFonts w:ascii="宋体" w:hAnsi="宋体" w:cs="宋体" w:eastAsia="宋体" w:hint="default"/>
                <w:spacing w:val="-88"/>
                <w:sz w:val="18"/>
                <w:szCs w:val="18"/>
              </w:rPr>
              <w:t> </w:t>
            </w:r>
            <w:r>
              <w:rPr>
                <w:rFonts w:ascii="宋体" w:hAnsi="宋体" w:cs="宋体" w:eastAsia="宋体" w:hint="default"/>
                <w:sz w:val="18"/>
                <w:szCs w:val="18"/>
              </w:rPr>
              <w:t>鉴于其在本 次发行前持 有公司股份 的比例超过 </w:t>
            </w:r>
            <w:r>
              <w:rPr>
                <w:rFonts w:ascii="Times New Roman" w:hAnsi="Times New Roman" w:cs="Times New Roman" w:eastAsia="Times New Roman" w:hint="default"/>
                <w:spacing w:val="-10"/>
                <w:sz w:val="18"/>
                <w:szCs w:val="18"/>
              </w:rPr>
              <w:t>5%</w:t>
            </w:r>
            <w:r>
              <w:rPr>
                <w:rFonts w:ascii="宋体" w:hAnsi="宋体" w:cs="宋体" w:eastAsia="宋体" w:hint="default"/>
                <w:spacing w:val="-10"/>
                <w:sz w:val="18"/>
                <w:szCs w:val="18"/>
              </w:rPr>
              <w:t>，在满足上</w:t>
            </w:r>
            <w:r>
              <w:rPr>
                <w:rFonts w:ascii="宋体" w:hAnsi="宋体" w:cs="宋体" w:eastAsia="宋体" w:hint="default"/>
                <w:sz w:val="18"/>
                <w:szCs w:val="18"/>
              </w:rPr>
              <w:t> 述减持条件 的情况下，将 通过合法合 规的方式减 持，并通过公 司在减持前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674"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92"/>
              <w:jc w:val="left"/>
              <w:rPr>
                <w:rFonts w:ascii="宋体" w:hAnsi="宋体" w:cs="宋体" w:eastAsia="宋体" w:hint="default"/>
                <w:sz w:val="18"/>
                <w:szCs w:val="18"/>
              </w:rPr>
            </w:pPr>
            <w:r>
              <w:rPr>
                <w:rFonts w:ascii="宋体" w:hAnsi="宋体" w:cs="宋体" w:eastAsia="宋体" w:hint="default"/>
                <w:sz w:val="18"/>
                <w:szCs w:val="18"/>
              </w:rPr>
              <w:t>个交易日予 以公告。</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11947" w:hRule="exact"/>
        </w:trPr>
        <w:tc>
          <w:tcPr>
            <w:tcW w:w="2836" w:type="dxa"/>
            <w:vMerge/>
            <w:tcBorders>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304" w:lineRule="auto"/>
              <w:ind w:left="23" w:right="39"/>
              <w:jc w:val="left"/>
              <w:rPr>
                <w:rFonts w:ascii="宋体" w:hAnsi="宋体" w:cs="宋体" w:eastAsia="宋体" w:hint="default"/>
                <w:sz w:val="18"/>
                <w:szCs w:val="18"/>
              </w:rPr>
            </w:pPr>
            <w:r>
              <w:rPr>
                <w:rFonts w:ascii="宋体" w:hAnsi="宋体" w:cs="宋体" w:eastAsia="宋体" w:hint="default"/>
                <w:sz w:val="18"/>
                <w:szCs w:val="18"/>
              </w:rPr>
              <w:t>北京昆仑万 维科技股份 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周 亚辉</w:t>
            </w:r>
            <w:r>
              <w:rPr>
                <w:rFonts w:ascii="Times New Roman" w:hAnsi="Times New Roman" w:cs="Times New Roman" w:eastAsia="Times New Roman" w:hint="default"/>
                <w:sz w:val="18"/>
                <w:szCs w:val="18"/>
              </w:rPr>
              <w:t>;</w:t>
            </w:r>
            <w:r>
              <w:rPr>
                <w:rFonts w:ascii="宋体" w:hAnsi="宋体" w:cs="宋体" w:eastAsia="宋体" w:hint="default"/>
                <w:sz w:val="18"/>
                <w:szCs w:val="18"/>
              </w:rPr>
              <w:t>王立伟</w:t>
            </w:r>
            <w:r>
              <w:rPr>
                <w:rFonts w:ascii="Times New Roman" w:hAnsi="Times New Roman" w:cs="Times New Roman" w:eastAsia="Times New Roman" w:hint="default"/>
                <w:sz w:val="18"/>
                <w:szCs w:val="18"/>
              </w:rPr>
              <w:t>; </w:t>
            </w:r>
            <w:r>
              <w:rPr>
                <w:rFonts w:ascii="宋体" w:hAnsi="宋体" w:cs="宋体" w:eastAsia="宋体" w:hint="default"/>
                <w:sz w:val="18"/>
                <w:szCs w:val="18"/>
              </w:rPr>
              <w:t>方汉</w:t>
            </w:r>
            <w:r>
              <w:rPr>
                <w:rFonts w:ascii="Times New Roman" w:hAnsi="Times New Roman" w:cs="Times New Roman" w:eastAsia="Times New Roman" w:hint="default"/>
                <w:sz w:val="18"/>
                <w:szCs w:val="18"/>
              </w:rPr>
              <w:t>;</w:t>
            </w:r>
            <w:r>
              <w:rPr>
                <w:rFonts w:ascii="宋体" w:hAnsi="宋体" w:cs="宋体" w:eastAsia="宋体" w:hint="default"/>
                <w:sz w:val="18"/>
                <w:szCs w:val="18"/>
              </w:rPr>
              <w:t>吴绩伟</w:t>
            </w:r>
            <w:r>
              <w:rPr>
                <w:rFonts w:ascii="Times New Roman" w:hAnsi="Times New Roman" w:cs="Times New Roman" w:eastAsia="Times New Roman" w:hint="default"/>
                <w:sz w:val="18"/>
                <w:szCs w:val="18"/>
              </w:rPr>
              <w:t>; </w:t>
            </w:r>
            <w:r>
              <w:rPr>
                <w:rFonts w:ascii="宋体" w:hAnsi="宋体" w:cs="宋体" w:eastAsia="宋体" w:hint="default"/>
                <w:sz w:val="18"/>
                <w:szCs w:val="18"/>
              </w:rPr>
              <w:t>花伟</w:t>
            </w:r>
            <w:r>
              <w:rPr>
                <w:rFonts w:ascii="Times New Roman" w:hAnsi="Times New Roman" w:cs="Times New Roman" w:eastAsia="Times New Roman" w:hint="default"/>
                <w:sz w:val="18"/>
                <w:szCs w:val="18"/>
              </w:rPr>
              <w:t>;</w:t>
            </w:r>
            <w:r>
              <w:rPr>
                <w:rFonts w:ascii="宋体" w:hAnsi="宋体" w:cs="宋体" w:eastAsia="宋体" w:hint="default"/>
                <w:sz w:val="18"/>
                <w:szCs w:val="18"/>
              </w:rPr>
              <w:t>李振春</w:t>
            </w:r>
            <w:r>
              <w:rPr>
                <w:rFonts w:ascii="Times New Roman" w:hAnsi="Times New Roman" w:cs="Times New Roman" w:eastAsia="Times New Roman" w:hint="default"/>
                <w:sz w:val="18"/>
                <w:szCs w:val="18"/>
              </w:rPr>
              <w:t>; </w:t>
            </w:r>
            <w:r>
              <w:rPr>
                <w:rFonts w:ascii="宋体" w:hAnsi="宋体" w:cs="宋体" w:eastAsia="宋体" w:hint="default"/>
                <w:sz w:val="18"/>
                <w:szCs w:val="18"/>
              </w:rPr>
              <w:t>陈向阳</w:t>
            </w:r>
            <w:r>
              <w:rPr>
                <w:rFonts w:ascii="Times New Roman" w:hAnsi="Times New Roman" w:cs="Times New Roman" w:eastAsia="Times New Roman" w:hint="default"/>
                <w:sz w:val="18"/>
                <w:szCs w:val="18"/>
              </w:rPr>
              <w:t>;</w:t>
            </w:r>
            <w:r>
              <w:rPr>
                <w:rFonts w:ascii="宋体" w:hAnsi="宋体" w:cs="宋体" w:eastAsia="宋体" w:hint="default"/>
                <w:sz w:val="18"/>
                <w:szCs w:val="18"/>
              </w:rPr>
              <w:t>于明 俭</w:t>
            </w:r>
            <w:r>
              <w:rPr>
                <w:rFonts w:ascii="Times New Roman" w:hAnsi="Times New Roman" w:cs="Times New Roman" w:eastAsia="Times New Roman" w:hint="default"/>
                <w:sz w:val="18"/>
                <w:szCs w:val="18"/>
              </w:rPr>
              <w:t>;</w:t>
            </w:r>
            <w:r>
              <w:rPr>
                <w:rFonts w:ascii="宋体" w:hAnsi="宋体" w:cs="宋体" w:eastAsia="宋体" w:hint="default"/>
                <w:sz w:val="18"/>
                <w:szCs w:val="18"/>
              </w:rPr>
              <w:t>陈玮</w:t>
            </w:r>
            <w:r>
              <w:rPr>
                <w:rFonts w:ascii="Times New Roman" w:hAnsi="Times New Roman" w:cs="Times New Roman" w:eastAsia="Times New Roman" w:hint="default"/>
                <w:sz w:val="18"/>
                <w:szCs w:val="18"/>
              </w:rPr>
              <w:t>;</w:t>
            </w:r>
            <w:r>
              <w:rPr>
                <w:rFonts w:ascii="宋体" w:hAnsi="宋体" w:cs="宋体" w:eastAsia="宋体" w:hint="default"/>
                <w:sz w:val="18"/>
                <w:szCs w:val="18"/>
              </w:rPr>
              <w:t>张霆</w:t>
            </w:r>
            <w:r>
              <w:rPr>
                <w:rFonts w:ascii="Times New Roman" w:hAnsi="Times New Roman" w:cs="Times New Roman" w:eastAsia="Times New Roman" w:hint="default"/>
                <w:sz w:val="18"/>
                <w:szCs w:val="18"/>
              </w:rPr>
              <w:t>; </w:t>
            </w:r>
            <w:r>
              <w:rPr>
                <w:rFonts w:ascii="宋体" w:hAnsi="宋体" w:cs="宋体" w:eastAsia="宋体" w:hint="default"/>
                <w:sz w:val="18"/>
                <w:szCs w:val="18"/>
              </w:rPr>
              <w:t>李凤玲</w:t>
            </w:r>
            <w:r>
              <w:rPr>
                <w:rFonts w:ascii="Times New Roman" w:hAnsi="Times New Roman" w:cs="Times New Roman" w:eastAsia="Times New Roman" w:hint="default"/>
                <w:sz w:val="18"/>
                <w:szCs w:val="18"/>
              </w:rPr>
              <w:t>;</w:t>
            </w:r>
            <w:r>
              <w:rPr>
                <w:rFonts w:ascii="宋体" w:hAnsi="宋体" w:cs="宋体" w:eastAsia="宋体" w:hint="default"/>
                <w:sz w:val="18"/>
                <w:szCs w:val="18"/>
              </w:rPr>
              <w:t>罗建 北</w:t>
            </w:r>
            <w:r>
              <w:rPr>
                <w:rFonts w:ascii="Times New Roman" w:hAnsi="Times New Roman" w:cs="Times New Roman" w:eastAsia="Times New Roman" w:hint="default"/>
                <w:sz w:val="18"/>
                <w:szCs w:val="18"/>
              </w:rPr>
              <w:t>;</w:t>
            </w:r>
            <w:r>
              <w:rPr>
                <w:rFonts w:ascii="宋体" w:hAnsi="宋体" w:cs="宋体" w:eastAsia="宋体" w:hint="default"/>
                <w:sz w:val="18"/>
                <w:szCs w:val="18"/>
              </w:rPr>
              <w:t>徐珊</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300" w:lineRule="auto"/>
              <w:ind w:left="22" w:right="37"/>
              <w:jc w:val="left"/>
              <w:rPr>
                <w:rFonts w:ascii="宋体" w:hAnsi="宋体" w:cs="宋体" w:eastAsia="宋体" w:hint="default"/>
                <w:sz w:val="18"/>
                <w:szCs w:val="18"/>
              </w:rPr>
            </w:pPr>
            <w:r>
              <w:rPr>
                <w:rFonts w:ascii="Times New Roman" w:hAnsi="Times New Roman" w:cs="Times New Roman" w:eastAsia="Times New Roman" w:hint="default"/>
                <w:sz w:val="18"/>
                <w:szCs w:val="18"/>
              </w:rPr>
              <w:t>IPO</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稳定股价 承诺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为稳定公司 </w:t>
            </w:r>
            <w:r>
              <w:rPr>
                <w:rFonts w:ascii="宋体" w:hAnsi="宋体" w:cs="宋体" w:eastAsia="宋体" w:hint="default"/>
                <w:spacing w:val="-2"/>
                <w:sz w:val="18"/>
                <w:szCs w:val="18"/>
              </w:rPr>
              <w:t>股价、切实保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护中小投资 者合法权益 </w:t>
            </w:r>
            <w:r>
              <w:rPr>
                <w:rFonts w:ascii="宋体" w:hAnsi="宋体" w:cs="宋体" w:eastAsia="宋体" w:hint="default"/>
                <w:spacing w:val="-2"/>
                <w:sz w:val="18"/>
                <w:szCs w:val="18"/>
              </w:rPr>
              <w:t>之目的，公司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上市后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宋体" w:hAnsi="宋体" w:cs="宋体" w:eastAsia="宋体" w:hint="default"/>
                <w:spacing w:val="-2"/>
                <w:sz w:val="18"/>
                <w:szCs w:val="18"/>
              </w:rPr>
              <w:t>内，如公司股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票收盘价格</w:t>
            </w:r>
          </w:p>
          <w:p>
            <w:pPr>
              <w:pStyle w:val="TableParagraph"/>
              <w:spacing w:line="314" w:lineRule="auto" w:before="22"/>
              <w:ind w:left="22" w:right="12"/>
              <w:jc w:val="left"/>
              <w:rPr>
                <w:rFonts w:ascii="宋体" w:hAnsi="宋体" w:cs="宋体" w:eastAsia="宋体" w:hint="default"/>
                <w:sz w:val="18"/>
                <w:szCs w:val="18"/>
              </w:rPr>
            </w:pPr>
            <w:r>
              <w:rPr>
                <w:rFonts w:ascii="宋体" w:hAnsi="宋体" w:cs="宋体" w:eastAsia="宋体" w:hint="default"/>
                <w:sz w:val="18"/>
                <w:szCs w:val="18"/>
              </w:rPr>
              <w:t>（如发生公 司派发股利、 送红股、转增 股本等除息、 除权行为，股 票收盘价格 将做相应调 整，下同）连 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 日低于最近 一期经审计 的每股净资 产时（以下简 称</w:t>
            </w:r>
            <w:r>
              <w:rPr>
                <w:rFonts w:ascii="Times New Roman" w:hAnsi="Times New Roman" w:cs="Times New Roman" w:eastAsia="Times New Roman" w:hint="default"/>
                <w:sz w:val="18"/>
                <w:szCs w:val="18"/>
              </w:rPr>
              <w:t>“</w:t>
            </w:r>
            <w:r>
              <w:rPr>
                <w:rFonts w:ascii="宋体" w:hAnsi="宋体" w:cs="宋体" w:eastAsia="宋体" w:hint="default"/>
                <w:sz w:val="18"/>
                <w:szCs w:val="18"/>
              </w:rPr>
              <w:t>启动条 </w:t>
            </w:r>
            <w:r>
              <w:rPr>
                <w:rFonts w:ascii="宋体" w:hAnsi="宋体" w:cs="宋体" w:eastAsia="宋体" w:hint="default"/>
                <w:spacing w:val="-13"/>
                <w:w w:val="100"/>
                <w:sz w:val="18"/>
                <w:szCs w:val="18"/>
              </w:rPr>
              <w:t>件</w:t>
            </w:r>
            <w:r>
              <w:rPr>
                <w:rFonts w:ascii="Times New Roman" w:hAnsi="Times New Roman" w:cs="Times New Roman" w:eastAsia="Times New Roman" w:hint="default"/>
                <w:spacing w:val="-13"/>
                <w:w w:val="100"/>
                <w:sz w:val="18"/>
                <w:szCs w:val="18"/>
              </w:rPr>
              <w:t>”</w:t>
            </w:r>
            <w:r>
              <w:rPr>
                <w:rFonts w:ascii="宋体" w:hAnsi="宋体" w:cs="宋体" w:eastAsia="宋体" w:hint="default"/>
                <w:spacing w:val="-13"/>
                <w:w w:val="100"/>
                <w:sz w:val="18"/>
                <w:szCs w:val="18"/>
              </w:rPr>
              <w:t>），公司控</w:t>
            </w:r>
            <w:r>
              <w:rPr>
                <w:rFonts w:ascii="宋体" w:hAnsi="宋体" w:cs="宋体" w:eastAsia="宋体" w:hint="default"/>
                <w:sz w:val="18"/>
                <w:szCs w:val="18"/>
              </w:rPr>
              <w:t> 股股东、实际 控制人及董 事、监事、高 级管理人员</w:t>
            </w:r>
          </w:p>
          <w:p>
            <w:pPr>
              <w:pStyle w:val="TableParagraph"/>
              <w:spacing w:line="309" w:lineRule="auto" w:before="20"/>
              <w:ind w:left="22" w:right="113"/>
              <w:jc w:val="left"/>
              <w:rPr>
                <w:rFonts w:ascii="宋体" w:hAnsi="宋体" w:cs="宋体" w:eastAsia="宋体" w:hint="default"/>
                <w:sz w:val="18"/>
                <w:szCs w:val="18"/>
              </w:rPr>
            </w:pPr>
            <w:r>
              <w:rPr>
                <w:rFonts w:ascii="宋体" w:hAnsi="宋体" w:cs="宋体" w:eastAsia="宋体" w:hint="default"/>
                <w:sz w:val="18"/>
                <w:szCs w:val="18"/>
              </w:rPr>
              <w:t>（前述主体 合称为</w:t>
            </w:r>
            <w:r>
              <w:rPr>
                <w:rFonts w:ascii="Times New Roman" w:hAnsi="Times New Roman" w:cs="Times New Roman" w:eastAsia="Times New Roman" w:hint="default"/>
                <w:sz w:val="18"/>
                <w:szCs w:val="18"/>
              </w:rPr>
              <w:t>“</w:t>
            </w:r>
            <w:r>
              <w:rPr>
                <w:rFonts w:ascii="宋体" w:hAnsi="宋体" w:cs="宋体" w:eastAsia="宋体" w:hint="default"/>
                <w:sz w:val="18"/>
                <w:szCs w:val="18"/>
              </w:rPr>
              <w:t>各 方</w:t>
            </w:r>
            <w:r>
              <w:rPr>
                <w:rFonts w:ascii="Times New Roman" w:hAnsi="Times New Roman" w:cs="Times New Roman" w:eastAsia="Times New Roman" w:hint="default"/>
                <w:sz w:val="18"/>
                <w:szCs w:val="18"/>
              </w:rPr>
              <w:t>”</w:t>
            </w:r>
            <w:r>
              <w:rPr>
                <w:rFonts w:ascii="宋体" w:hAnsi="宋体" w:cs="宋体" w:eastAsia="宋体" w:hint="default"/>
                <w:sz w:val="18"/>
                <w:szCs w:val="18"/>
              </w:rPr>
              <w:t>）将启动</w:t>
            </w:r>
          </w:p>
          <w:p>
            <w:pPr>
              <w:pStyle w:val="TableParagraph"/>
              <w:spacing w:line="316" w:lineRule="auto" w:before="5"/>
              <w:ind w:left="22" w:right="102"/>
              <w:jc w:val="left"/>
              <w:rPr>
                <w:rFonts w:ascii="宋体" w:hAnsi="宋体" w:cs="宋体" w:eastAsia="宋体" w:hint="default"/>
                <w:sz w:val="18"/>
                <w:szCs w:val="18"/>
              </w:rPr>
            </w:pPr>
            <w:r>
              <w:rPr>
                <w:rFonts w:ascii="宋体" w:hAnsi="宋体" w:cs="宋体" w:eastAsia="宋体" w:hint="default"/>
                <w:sz w:val="18"/>
                <w:szCs w:val="18"/>
              </w:rPr>
              <w:t>《北京昆仑 万维科技股 份有限公司 发行上市后 稳定股价的 </w:t>
            </w:r>
            <w:r>
              <w:rPr>
                <w:rFonts w:ascii="宋体" w:hAnsi="宋体" w:cs="宋体" w:eastAsia="宋体" w:hint="default"/>
                <w:spacing w:val="-15"/>
                <w:sz w:val="18"/>
                <w:szCs w:val="18"/>
              </w:rPr>
              <w:t>预案》（以下</w:t>
            </w:r>
            <w:r>
              <w:rPr>
                <w:rFonts w:ascii="宋体" w:hAnsi="宋体" w:cs="宋体" w:eastAsia="宋体" w:hint="default"/>
                <w:sz w:val="18"/>
                <w:szCs w:val="18"/>
              </w:rPr>
              <w:t> 简称</w:t>
            </w:r>
            <w:r>
              <w:rPr>
                <w:rFonts w:ascii="Times New Roman" w:hAnsi="Times New Roman" w:cs="Times New Roman" w:eastAsia="Times New Roman" w:hint="default"/>
                <w:sz w:val="18"/>
                <w:szCs w:val="18"/>
              </w:rPr>
              <w:t>“</w:t>
            </w:r>
            <w:r>
              <w:rPr>
                <w:rFonts w:ascii="宋体" w:hAnsi="宋体" w:cs="宋体" w:eastAsia="宋体" w:hint="default"/>
                <w:sz w:val="18"/>
                <w:szCs w:val="18"/>
              </w:rPr>
              <w:t>本预 </w:t>
            </w:r>
            <w:r>
              <w:rPr>
                <w:rFonts w:ascii="宋体" w:hAnsi="宋体" w:cs="宋体" w:eastAsia="宋体" w:hint="default"/>
                <w:spacing w:val="-45"/>
                <w:w w:val="100"/>
                <w:sz w:val="18"/>
                <w:szCs w:val="18"/>
              </w:rPr>
              <w:t>案</w:t>
            </w:r>
            <w:r>
              <w:rPr>
                <w:rFonts w:ascii="Times New Roman" w:hAnsi="Times New Roman" w:cs="Times New Roman" w:eastAsia="Times New Roman" w:hint="default"/>
                <w:spacing w:val="-45"/>
                <w:w w:val="100"/>
                <w:sz w:val="18"/>
                <w:szCs w:val="18"/>
              </w:rPr>
              <w:t>”</w:t>
            </w:r>
            <w:r>
              <w:rPr>
                <w:rFonts w:ascii="宋体" w:hAnsi="宋体" w:cs="宋体" w:eastAsia="宋体" w:hint="default"/>
                <w:spacing w:val="-45"/>
                <w:w w:val="100"/>
                <w:sz w:val="18"/>
                <w:szCs w:val="18"/>
              </w:rPr>
              <w:t>）。</w:t>
            </w:r>
            <w:r>
              <w:rPr>
                <w:rFonts w:ascii="宋体" w:hAnsi="宋体" w:cs="宋体" w:eastAsia="宋体" w:hint="default"/>
                <w:w w:val="100"/>
                <w:sz w:val="18"/>
                <w:szCs w:val="18"/>
              </w:rPr>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r>
        <w:trPr>
          <w:trHeight w:val="129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39"/>
              <w:jc w:val="left"/>
              <w:rPr>
                <w:rFonts w:ascii="Times New Roman" w:hAnsi="Times New Roman" w:cs="Times New Roman" w:eastAsia="Times New Roman" w:hint="default"/>
                <w:sz w:val="18"/>
                <w:szCs w:val="18"/>
              </w:rPr>
            </w:pPr>
            <w:r>
              <w:rPr>
                <w:rFonts w:ascii="宋体" w:hAnsi="宋体" w:cs="宋体" w:eastAsia="宋体" w:hint="default"/>
                <w:sz w:val="18"/>
                <w:szCs w:val="18"/>
              </w:rPr>
              <w:t>周亚辉</w:t>
            </w:r>
            <w:r>
              <w:rPr>
                <w:rFonts w:ascii="Times New Roman" w:hAnsi="Times New Roman" w:cs="Times New Roman" w:eastAsia="Times New Roman" w:hint="default"/>
                <w:sz w:val="18"/>
                <w:szCs w:val="18"/>
              </w:rPr>
              <w:t>;</w:t>
            </w:r>
            <w:r>
              <w:rPr>
                <w:rFonts w:ascii="宋体" w:hAnsi="宋体" w:cs="宋体" w:eastAsia="宋体" w:hint="default"/>
                <w:sz w:val="18"/>
                <w:szCs w:val="18"/>
              </w:rPr>
              <w:t>王立 伟</w:t>
            </w:r>
            <w:r>
              <w:rPr>
                <w:rFonts w:ascii="Times New Roman" w:hAnsi="Times New Roman" w:cs="Times New Roman" w:eastAsia="Times New Roman" w:hint="default"/>
                <w:sz w:val="18"/>
                <w:szCs w:val="18"/>
              </w:rPr>
              <w:t>;</w:t>
            </w:r>
            <w:r>
              <w:rPr>
                <w:rFonts w:ascii="宋体" w:hAnsi="宋体" w:cs="宋体" w:eastAsia="宋体" w:hint="default"/>
                <w:sz w:val="18"/>
                <w:szCs w:val="18"/>
              </w:rPr>
              <w:t>方汉</w:t>
            </w:r>
            <w:r>
              <w:rPr>
                <w:rFonts w:ascii="Times New Roman" w:hAnsi="Times New Roman" w:cs="Times New Roman" w:eastAsia="Times New Roman" w:hint="default"/>
                <w:sz w:val="18"/>
                <w:szCs w:val="18"/>
              </w:rPr>
              <w:t>;</w:t>
            </w:r>
            <w:r>
              <w:rPr>
                <w:rFonts w:ascii="宋体" w:hAnsi="宋体" w:cs="宋体" w:eastAsia="宋体" w:hint="default"/>
                <w:sz w:val="18"/>
                <w:szCs w:val="18"/>
              </w:rPr>
              <w:t>陈玮</w:t>
            </w:r>
            <w:r>
              <w:rPr>
                <w:rFonts w:ascii="Times New Roman" w:hAnsi="Times New Roman" w:cs="Times New Roman" w:eastAsia="Times New Roman" w:hint="default"/>
                <w:sz w:val="18"/>
                <w:szCs w:val="18"/>
              </w:rPr>
              <w:t>; </w:t>
            </w:r>
            <w:r>
              <w:rPr>
                <w:rFonts w:ascii="宋体" w:hAnsi="宋体" w:cs="宋体" w:eastAsia="宋体" w:hint="default"/>
                <w:sz w:val="18"/>
                <w:szCs w:val="18"/>
              </w:rPr>
              <w:t>张霆</w:t>
            </w:r>
            <w:r>
              <w:rPr>
                <w:rFonts w:ascii="Times New Roman" w:hAnsi="Times New Roman" w:cs="Times New Roman" w:eastAsia="Times New Roman" w:hint="default"/>
                <w:sz w:val="18"/>
                <w:szCs w:val="18"/>
              </w:rPr>
              <w:t>;</w:t>
            </w:r>
            <w:r>
              <w:rPr>
                <w:rFonts w:ascii="宋体" w:hAnsi="宋体" w:cs="宋体" w:eastAsia="宋体" w:hint="default"/>
                <w:sz w:val="18"/>
                <w:szCs w:val="18"/>
              </w:rPr>
              <w:t>李凤玲</w:t>
            </w:r>
            <w:r>
              <w:rPr>
                <w:rFonts w:ascii="Times New Roman" w:hAnsi="Times New Roman" w:cs="Times New Roman" w:eastAsia="Times New Roman" w:hint="default"/>
                <w:sz w:val="18"/>
                <w:szCs w:val="18"/>
              </w:rPr>
              <w:t>; </w:t>
            </w:r>
            <w:r>
              <w:rPr>
                <w:rFonts w:ascii="宋体" w:hAnsi="宋体" w:cs="宋体" w:eastAsia="宋体" w:hint="default"/>
                <w:sz w:val="18"/>
                <w:szCs w:val="18"/>
              </w:rPr>
              <w:t>罗建北</w:t>
            </w:r>
            <w:r>
              <w:rPr>
                <w:rFonts w:ascii="Times New Roman" w:hAnsi="Times New Roman" w:cs="Times New Roman" w:eastAsia="Times New Roman" w:hint="default"/>
                <w:sz w:val="18"/>
                <w:szCs w:val="18"/>
              </w:rPr>
              <w:t>;</w:t>
            </w:r>
            <w:r>
              <w:rPr>
                <w:rFonts w:ascii="宋体" w:hAnsi="宋体" w:cs="宋体" w:eastAsia="宋体" w:hint="default"/>
                <w:sz w:val="18"/>
                <w:szCs w:val="18"/>
              </w:rPr>
              <w:t>徐珊</w:t>
            </w:r>
            <w:r>
              <w:rPr>
                <w:rFonts w:ascii="Times New Roman" w:hAnsi="Times New Roman" w:cs="Times New Roman" w:eastAsia="Times New Roman"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填补被摊薄 即期回报的 承诺。公司全 体董事承诺：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3740"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23" w:right="21"/>
              <w:jc w:val="left"/>
              <w:rPr>
                <w:rFonts w:ascii="宋体" w:hAnsi="宋体" w:cs="宋体" w:eastAsia="宋体" w:hint="default"/>
                <w:sz w:val="18"/>
                <w:szCs w:val="18"/>
              </w:rPr>
            </w:pPr>
            <w:r>
              <w:rPr>
                <w:rFonts w:ascii="宋体" w:hAnsi="宋体" w:cs="宋体" w:eastAsia="宋体" w:hint="default"/>
                <w:sz w:val="18"/>
                <w:szCs w:val="18"/>
              </w:rPr>
              <w:t>北京盈瑞世 纪软件研发 </w:t>
            </w:r>
            <w:r>
              <w:rPr>
                <w:rFonts w:ascii="宋体" w:hAnsi="宋体" w:cs="宋体" w:eastAsia="宋体" w:hint="default"/>
                <w:spacing w:val="-2"/>
                <w:sz w:val="18"/>
                <w:szCs w:val="18"/>
              </w:rPr>
              <w:t>中心（有限合</w:t>
            </w:r>
            <w:r>
              <w:rPr>
                <w:rFonts w:ascii="宋体" w:hAnsi="宋体" w:cs="宋体" w:eastAsia="宋体" w:hint="default"/>
                <w:sz w:val="18"/>
                <w:szCs w:val="18"/>
              </w:rPr>
              <w:t>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北京昆仑</w:t>
            </w:r>
            <w:r>
              <w:rPr>
                <w:rFonts w:ascii="宋体" w:hAnsi="宋体" w:cs="宋体" w:eastAsia="宋体" w:hint="default"/>
                <w:sz w:val="18"/>
                <w:szCs w:val="18"/>
              </w:rPr>
              <w:t> 博观科技中 心（有限合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北京昆仑</w:t>
            </w:r>
            <w:r>
              <w:rPr>
                <w:rFonts w:ascii="宋体" w:hAnsi="宋体" w:cs="宋体" w:eastAsia="宋体" w:hint="default"/>
                <w:sz w:val="18"/>
                <w:szCs w:val="18"/>
              </w:rPr>
              <w:t> 博远科技中 心（有限合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华为投资</w:t>
            </w:r>
            <w:r>
              <w:rPr>
                <w:rFonts w:ascii="宋体" w:hAnsi="宋体" w:cs="宋体" w:eastAsia="宋体" w:hint="default"/>
                <w:sz w:val="18"/>
                <w:szCs w:val="18"/>
              </w:rPr>
              <w:t> 控股有限公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东方富海</w:t>
            </w:r>
          </w:p>
          <w:p>
            <w:pPr>
              <w:pStyle w:val="TableParagraph"/>
              <w:spacing w:line="312" w:lineRule="auto" w:before="3"/>
              <w:ind w:left="23" w:right="21"/>
              <w:jc w:val="left"/>
              <w:rPr>
                <w:rFonts w:ascii="宋体" w:hAnsi="宋体" w:cs="宋体" w:eastAsia="宋体" w:hint="default"/>
                <w:sz w:val="18"/>
                <w:szCs w:val="18"/>
              </w:rPr>
            </w:pPr>
            <w:r>
              <w:rPr>
                <w:rFonts w:ascii="宋体" w:hAnsi="宋体" w:cs="宋体" w:eastAsia="宋体" w:hint="default"/>
                <w:spacing w:val="-2"/>
                <w:sz w:val="18"/>
                <w:szCs w:val="18"/>
              </w:rPr>
              <w:t>（芜湖）股权</w:t>
            </w:r>
            <w:r>
              <w:rPr>
                <w:rFonts w:ascii="宋体" w:hAnsi="宋体" w:cs="宋体" w:eastAsia="宋体" w:hint="default"/>
                <w:sz w:val="18"/>
                <w:szCs w:val="18"/>
              </w:rPr>
              <w:t> </w:t>
            </w:r>
            <w:r>
              <w:rPr>
                <w:rFonts w:ascii="宋体" w:hAnsi="宋体" w:cs="宋体" w:eastAsia="宋体" w:hint="default"/>
                <w:spacing w:val="-2"/>
                <w:sz w:val="18"/>
                <w:szCs w:val="18"/>
              </w:rPr>
              <w:t>投资基金（有</w:t>
            </w:r>
            <w:r>
              <w:rPr>
                <w:rFonts w:ascii="宋体" w:hAnsi="宋体" w:cs="宋体" w:eastAsia="宋体" w:hint="default"/>
                <w:sz w:val="18"/>
                <w:szCs w:val="18"/>
              </w:rPr>
              <w:t> </w:t>
            </w:r>
            <w:r>
              <w:rPr>
                <w:rFonts w:ascii="宋体" w:hAnsi="宋体" w:cs="宋体" w:eastAsia="宋体" w:hint="default"/>
                <w:spacing w:val="-9"/>
                <w:sz w:val="18"/>
                <w:szCs w:val="18"/>
              </w:rPr>
              <w:t>限合伙）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天津</w:t>
            </w:r>
            <w:r>
              <w:rPr>
                <w:rFonts w:ascii="宋体" w:hAnsi="宋体" w:cs="宋体" w:eastAsia="宋体" w:hint="default"/>
                <w:sz w:val="18"/>
                <w:szCs w:val="18"/>
              </w:rPr>
              <w:t> 鼎麟科创股 权投资基金 </w:t>
            </w:r>
            <w:r>
              <w:rPr>
                <w:rFonts w:ascii="宋体" w:hAnsi="宋体" w:cs="宋体" w:eastAsia="宋体" w:hint="default"/>
                <w:spacing w:val="-2"/>
                <w:sz w:val="18"/>
                <w:szCs w:val="18"/>
              </w:rPr>
              <w:t>合伙企业（有</w:t>
            </w:r>
            <w:r>
              <w:rPr>
                <w:rFonts w:ascii="宋体" w:hAnsi="宋体" w:cs="宋体" w:eastAsia="宋体" w:hint="default"/>
                <w:sz w:val="18"/>
                <w:szCs w:val="18"/>
              </w:rPr>
              <w:t> </w:t>
            </w:r>
            <w:r>
              <w:rPr>
                <w:rFonts w:ascii="宋体" w:hAnsi="宋体" w:cs="宋体" w:eastAsia="宋体" w:hint="default"/>
                <w:spacing w:val="-9"/>
                <w:sz w:val="18"/>
                <w:szCs w:val="18"/>
              </w:rPr>
              <w:t>限合伙）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北京</w:t>
            </w:r>
            <w:r>
              <w:rPr>
                <w:rFonts w:ascii="宋体" w:hAnsi="宋体" w:cs="宋体" w:eastAsia="宋体" w:hint="default"/>
                <w:sz w:val="18"/>
                <w:szCs w:val="18"/>
              </w:rPr>
              <w:t> 银德创业投 </w:t>
            </w:r>
            <w:r>
              <w:rPr>
                <w:rFonts w:ascii="宋体" w:hAnsi="宋体" w:cs="宋体" w:eastAsia="宋体" w:hint="default"/>
                <w:spacing w:val="-2"/>
                <w:sz w:val="18"/>
                <w:szCs w:val="18"/>
              </w:rPr>
              <w:t>资中心（有限</w:t>
            </w:r>
            <w:r>
              <w:rPr>
                <w:rFonts w:ascii="宋体" w:hAnsi="宋体" w:cs="宋体" w:eastAsia="宋体" w:hint="default"/>
                <w:sz w:val="18"/>
                <w:szCs w:val="18"/>
              </w:rPr>
              <w:t> </w:t>
            </w:r>
            <w:r>
              <w:rPr>
                <w:rFonts w:ascii="宋体" w:hAnsi="宋体" w:cs="宋体" w:eastAsia="宋体" w:hint="default"/>
                <w:spacing w:val="-9"/>
                <w:sz w:val="18"/>
                <w:szCs w:val="18"/>
              </w:rPr>
              <w:t>合伙）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东方富</w:t>
            </w:r>
            <w:r>
              <w:rPr>
                <w:rFonts w:ascii="宋体" w:hAnsi="宋体" w:cs="宋体" w:eastAsia="宋体" w:hint="default"/>
                <w:sz w:val="18"/>
                <w:szCs w:val="18"/>
              </w:rPr>
              <w:t> </w:t>
            </w:r>
            <w:r>
              <w:rPr>
                <w:rFonts w:ascii="宋体" w:hAnsi="宋体" w:cs="宋体" w:eastAsia="宋体" w:hint="default"/>
                <w:spacing w:val="-2"/>
                <w:sz w:val="18"/>
                <w:szCs w:val="18"/>
              </w:rPr>
              <w:t>海（芜湖）二</w:t>
            </w:r>
            <w:r>
              <w:rPr>
                <w:rFonts w:ascii="宋体" w:hAnsi="宋体" w:cs="宋体" w:eastAsia="宋体" w:hint="default"/>
                <w:sz w:val="18"/>
                <w:szCs w:val="18"/>
              </w:rPr>
              <w:t> 号股权投资 </w:t>
            </w:r>
            <w:r>
              <w:rPr>
                <w:rFonts w:ascii="宋体" w:hAnsi="宋体" w:cs="宋体" w:eastAsia="宋体" w:hint="default"/>
                <w:spacing w:val="-2"/>
                <w:sz w:val="18"/>
                <w:szCs w:val="18"/>
              </w:rPr>
              <w:t>基金（有限合</w:t>
            </w:r>
            <w:r>
              <w:rPr>
                <w:rFonts w:ascii="宋体" w:hAnsi="宋体" w:cs="宋体" w:eastAsia="宋体" w:hint="default"/>
                <w:sz w:val="18"/>
                <w:szCs w:val="18"/>
              </w:rPr>
              <w:t> </w:t>
            </w:r>
            <w:r>
              <w:rPr>
                <w:rFonts w:ascii="宋体" w:hAnsi="宋体" w:cs="宋体" w:eastAsia="宋体" w:hint="default"/>
                <w:spacing w:val="-9"/>
                <w:sz w:val="18"/>
                <w:szCs w:val="18"/>
              </w:rPr>
              <w:t>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北京澜讯</w:t>
            </w:r>
            <w:r>
              <w:rPr>
                <w:rFonts w:ascii="宋体" w:hAnsi="宋体" w:cs="宋体" w:eastAsia="宋体" w:hint="default"/>
                <w:sz w:val="18"/>
                <w:szCs w:val="18"/>
              </w:rPr>
              <w:t> 科信投资顾 问有限公司</w:t>
            </w:r>
            <w:r>
              <w:rPr>
                <w:rFonts w:ascii="Times New Roman" w:hAnsi="Times New Roman" w:cs="Times New Roman" w:eastAsia="Times New Roman" w:hint="default"/>
                <w:sz w:val="18"/>
                <w:szCs w:val="18"/>
              </w:rPr>
              <w:t>; </w:t>
            </w:r>
            <w:r>
              <w:rPr>
                <w:rFonts w:ascii="宋体" w:hAnsi="宋体" w:cs="宋体" w:eastAsia="宋体" w:hint="default"/>
                <w:sz w:val="18"/>
                <w:szCs w:val="18"/>
              </w:rPr>
              <w:t>上海小村申 祥创业投资 </w:t>
            </w:r>
            <w:r>
              <w:rPr>
                <w:rFonts w:ascii="宋体" w:hAnsi="宋体" w:cs="宋体" w:eastAsia="宋体" w:hint="default"/>
                <w:spacing w:val="-2"/>
                <w:sz w:val="18"/>
                <w:szCs w:val="18"/>
              </w:rPr>
              <w:t>合伙企业（有</w:t>
            </w:r>
            <w:r>
              <w:rPr>
                <w:rFonts w:ascii="宋体" w:hAnsi="宋体" w:cs="宋体" w:eastAsia="宋体" w:hint="default"/>
                <w:sz w:val="18"/>
                <w:szCs w:val="18"/>
              </w:rPr>
              <w:t> </w:t>
            </w:r>
            <w:r>
              <w:rPr>
                <w:rFonts w:ascii="宋体" w:hAnsi="宋体" w:cs="宋体" w:eastAsia="宋体" w:hint="default"/>
                <w:spacing w:val="-9"/>
                <w:sz w:val="18"/>
                <w:szCs w:val="18"/>
              </w:rPr>
              <w:t>限合伙）</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杭州</w:t>
            </w:r>
            <w:r>
              <w:rPr>
                <w:rFonts w:ascii="宋体" w:hAnsi="宋体" w:cs="宋体" w:eastAsia="宋体" w:hint="default"/>
                <w:sz w:val="18"/>
                <w:szCs w:val="18"/>
              </w:rPr>
              <w:t> 星泰投资管 理有限公司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1"/>
              <w:jc w:val="left"/>
              <w:rPr>
                <w:rFonts w:ascii="宋体" w:hAnsi="宋体" w:cs="宋体" w:eastAsia="宋体" w:hint="default"/>
                <w:sz w:val="18"/>
                <w:szCs w:val="18"/>
              </w:rPr>
            </w:pPr>
            <w:r>
              <w:rPr>
                <w:rFonts w:ascii="宋体" w:hAnsi="宋体" w:cs="宋体" w:eastAsia="宋体" w:hint="default"/>
                <w:sz w:val="18"/>
                <w:szCs w:val="18"/>
              </w:rPr>
              <w:t>其将促使公 司董事会制 定持续稳定 的现金分红 </w:t>
            </w:r>
            <w:r>
              <w:rPr>
                <w:rFonts w:ascii="宋体" w:hAnsi="宋体" w:cs="宋体" w:eastAsia="宋体" w:hint="default"/>
                <w:spacing w:val="-2"/>
                <w:sz w:val="18"/>
                <w:szCs w:val="18"/>
              </w:rPr>
              <w:t>方案，在符合</w:t>
            </w:r>
          </w:p>
          <w:p>
            <w:pPr>
              <w:pStyle w:val="TableParagraph"/>
              <w:spacing w:line="240" w:lineRule="auto" w:before="17"/>
              <w:ind w:left="22" w:right="0"/>
              <w:jc w:val="left"/>
              <w:rPr>
                <w:rFonts w:ascii="宋体" w:hAnsi="宋体" w:cs="宋体" w:eastAsia="宋体" w:hint="default"/>
                <w:sz w:val="18"/>
                <w:szCs w:val="18"/>
              </w:rPr>
            </w:pPr>
            <w:r>
              <w:rPr>
                <w:rFonts w:ascii="宋体" w:hAnsi="宋体" w:cs="宋体" w:eastAsia="宋体" w:hint="default"/>
                <w:sz w:val="18"/>
                <w:szCs w:val="18"/>
              </w:rPr>
              <w:t>《公司法</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316" w:lineRule="auto" w:before="76"/>
              <w:ind w:left="22" w:right="12"/>
              <w:jc w:val="left"/>
              <w:rPr>
                <w:rFonts w:ascii="宋体" w:hAnsi="宋体" w:cs="宋体" w:eastAsia="宋体" w:hint="default"/>
                <w:sz w:val="18"/>
                <w:szCs w:val="18"/>
              </w:rPr>
            </w:pPr>
            <w:r>
              <w:rPr>
                <w:rFonts w:ascii="宋体" w:hAnsi="宋体" w:cs="宋体" w:eastAsia="宋体" w:hint="default"/>
                <w:sz w:val="18"/>
                <w:szCs w:val="18"/>
              </w:rPr>
              <w:t>《公司章 </w:t>
            </w:r>
            <w:r>
              <w:rPr>
                <w:rFonts w:ascii="宋体" w:hAnsi="宋体" w:cs="宋体" w:eastAsia="宋体" w:hint="default"/>
                <w:spacing w:val="-28"/>
                <w:sz w:val="18"/>
                <w:szCs w:val="18"/>
              </w:rPr>
              <w:t>程》、《分红回</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报规划》等规</w:t>
            </w:r>
            <w:r>
              <w:rPr>
                <w:rFonts w:ascii="宋体" w:hAnsi="宋体" w:cs="宋体" w:eastAsia="宋体" w:hint="default"/>
                <w:sz w:val="18"/>
                <w:szCs w:val="18"/>
              </w:rPr>
              <w:t> 定的情形下， 在公司上市 当年及上市 后的一个会 计年度，若公 司实现的基 本每股收益 或净资产收 益率低于上 市前一年度， 则该年度分 配的每股现 金股利不低 于上市前一 年度的水平</w:t>
            </w:r>
          </w:p>
          <w:p>
            <w:pPr>
              <w:pStyle w:val="TableParagraph"/>
              <w:spacing w:line="316" w:lineRule="auto" w:before="19"/>
              <w:ind w:left="22" w:right="12"/>
              <w:jc w:val="left"/>
              <w:rPr>
                <w:rFonts w:ascii="宋体" w:hAnsi="宋体" w:cs="宋体" w:eastAsia="宋体" w:hint="default"/>
                <w:sz w:val="18"/>
                <w:szCs w:val="18"/>
              </w:rPr>
            </w:pPr>
            <w:r>
              <w:rPr>
                <w:rFonts w:ascii="宋体" w:hAnsi="宋体" w:cs="宋体" w:eastAsia="宋体" w:hint="default"/>
                <w:sz w:val="18"/>
                <w:szCs w:val="18"/>
              </w:rPr>
              <w:t>（若上市后 公司股票发 生转增或者 送股等除权 事项的，每股 现金股利水 平相应进行 </w:t>
            </w:r>
            <w:r>
              <w:rPr>
                <w:rFonts w:ascii="宋体" w:hAnsi="宋体" w:cs="宋体" w:eastAsia="宋体" w:hint="default"/>
                <w:spacing w:val="-15"/>
                <w:sz w:val="18"/>
                <w:szCs w:val="18"/>
              </w:rPr>
              <w:t>调整）。其将</w:t>
            </w:r>
            <w:r>
              <w:rPr>
                <w:rFonts w:ascii="宋体" w:hAnsi="宋体" w:cs="宋体" w:eastAsia="宋体" w:hint="default"/>
                <w:sz w:val="18"/>
                <w:szCs w:val="18"/>
              </w:rPr>
              <w:t> 促使公司董 事会制定符 合上述承诺 的现金分红 方案，并将在 董事会表决 相关议案时 投赞成票。如 果其未能履 行上述承诺， 将在股东大 会及中国证</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2235"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92"/>
              <w:jc w:val="both"/>
              <w:rPr>
                <w:rFonts w:ascii="宋体" w:hAnsi="宋体" w:cs="宋体" w:eastAsia="宋体" w:hint="default"/>
                <w:sz w:val="18"/>
                <w:szCs w:val="18"/>
              </w:rPr>
            </w:pPr>
            <w:r>
              <w:rPr>
                <w:rFonts w:ascii="宋体" w:hAnsi="宋体" w:cs="宋体" w:eastAsia="宋体" w:hint="default"/>
                <w:sz w:val="18"/>
                <w:szCs w:val="18"/>
              </w:rPr>
              <w:t>监会指定报 刊上公开说 明未履行的 具体原因并 向股东和社 会公众投资 者道歉。</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673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10"/>
        <w:rPr>
          <w:rFonts w:ascii="Times New Roman" w:hAnsi="Times New Roman" w:cs="Times New Roman" w:eastAsia="Times New Roman" w:hint="default"/>
          <w:sz w:val="21"/>
          <w:szCs w:val="21"/>
        </w:rPr>
      </w:pPr>
    </w:p>
    <w:p>
      <w:pPr>
        <w:spacing w:line="314" w:lineRule="exact" w:before="29"/>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、公司资产或项目存在盈利预测，且报告期仍处在盈利预测期间，公司就资产或项目达到原盈利预测及</w:t>
      </w:r>
      <w:r>
        <w:rPr>
          <w:rFonts w:ascii="Microsoft JhengHei" w:hAnsi="Microsoft JhengHei" w:cs="Microsoft JhengHei" w:eastAsia="Microsoft JhengHei" w:hint="default"/>
          <w:b/>
          <w:bCs/>
          <w:spacing w:val="17"/>
          <w:sz w:val="21"/>
          <w:szCs w:val="21"/>
        </w:rPr>
        <w:t> </w:t>
      </w:r>
      <w:r>
        <w:rPr>
          <w:rFonts w:ascii="Microsoft JhengHei" w:hAnsi="Microsoft JhengHei" w:cs="Microsoft JhengHei" w:eastAsia="Microsoft JhengHei" w:hint="default"/>
          <w:b/>
          <w:bCs/>
          <w:spacing w:val="17"/>
          <w:sz w:val="21"/>
          <w:szCs w:val="21"/>
        </w:rPr>
      </w:r>
      <w:r>
        <w:rPr>
          <w:rFonts w:ascii="Microsoft JhengHei" w:hAnsi="Microsoft JhengHei" w:cs="Microsoft JhengHei" w:eastAsia="Microsoft JhengHei" w:hint="default"/>
          <w:b/>
          <w:bCs/>
          <w:sz w:val="21"/>
          <w:szCs w:val="21"/>
        </w:rPr>
        <w:t>其原因做出说明</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三、控股股东及其关联方对上市公司的非经营性占用资金情况</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line="340" w:lineRule="auto" w:before="0"/>
        <w:ind w:left="154" w:right="40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公司报告期不存在控股股东及其关联方对上市公司的非经营性占用资金。</w:t>
      </w:r>
    </w:p>
    <w:p>
      <w:pPr>
        <w:spacing w:line="240" w:lineRule="auto" w:before="5"/>
        <w:rPr>
          <w:rFonts w:ascii="宋体" w:hAnsi="宋体" w:cs="宋体" w:eastAsia="宋体" w:hint="default"/>
          <w:sz w:val="13"/>
          <w:szCs w:val="13"/>
        </w:rPr>
      </w:pPr>
    </w:p>
    <w:p>
      <w:pPr>
        <w:pStyle w:val="Heading2"/>
        <w:spacing w:line="240" w:lineRule="auto"/>
        <w:ind w:right="0"/>
        <w:jc w:val="left"/>
        <w:rPr>
          <w:b w:val="0"/>
          <w:bCs w:val="0"/>
        </w:rPr>
      </w:pP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六、董事会关于报告期会计政策、会计估计变更或重大会计差错更正的说明</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七、与上年度财务报告相比，合并报表范围发生变化的情况说明</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line="338" w:lineRule="auto" w:before="0"/>
        <w:ind w:left="154" w:right="61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公司报告期无合并报表范围发生变化的情况。</w:t>
      </w:r>
    </w:p>
    <w:p>
      <w:pPr>
        <w:spacing w:line="240" w:lineRule="auto" w:before="8"/>
        <w:rPr>
          <w:rFonts w:ascii="宋体" w:hAnsi="宋体" w:cs="宋体" w:eastAsia="宋体" w:hint="default"/>
          <w:sz w:val="13"/>
          <w:szCs w:val="13"/>
        </w:rPr>
      </w:pPr>
    </w:p>
    <w:p>
      <w:pPr>
        <w:pStyle w:val="Heading2"/>
        <w:spacing w:line="240" w:lineRule="auto"/>
        <w:ind w:right="0"/>
        <w:jc w:val="left"/>
        <w:rPr>
          <w:b w:val="0"/>
          <w:bCs w:val="0"/>
        </w:rPr>
      </w:pPr>
      <w:r>
        <w:rPr/>
        <w:t>八、聘任、解聘会计师事务所情况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现聘任的会计师事务所</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886"/>
        <w:gridCol w:w="5682"/>
      </w:tblGrid>
      <w:tr>
        <w:trPr>
          <w:trHeight w:val="402" w:hRule="exact"/>
        </w:trPr>
        <w:tc>
          <w:tcPr>
            <w:tcW w:w="3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3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886"/>
        <w:gridCol w:w="5682"/>
      </w:tblGrid>
      <w:tr>
        <w:trPr>
          <w:trHeight w:val="402" w:hRule="exact"/>
        </w:trPr>
        <w:tc>
          <w:tcPr>
            <w:tcW w:w="3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王友业、孙继伟</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是否改聘会计师事务所</w:t>
      </w:r>
    </w:p>
    <w:p>
      <w:pPr>
        <w:spacing w:line="338" w:lineRule="auto" w:before="117"/>
        <w:ind w:left="154" w:right="52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聘请内部控制审计会计师事务所、财务顾问或保荐人情况</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九、年度报告披露后面临暂停上市和终止上市情况</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十、破产重整相关事项</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line="338" w:lineRule="auto" w:before="0"/>
        <w:ind w:left="154" w:right="67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公司报告期未发生破产重整相关事项。</w:t>
      </w:r>
    </w:p>
    <w:p>
      <w:pPr>
        <w:spacing w:line="240" w:lineRule="auto" w:before="6"/>
        <w:rPr>
          <w:rFonts w:ascii="宋体" w:hAnsi="宋体" w:cs="宋体" w:eastAsia="宋体" w:hint="default"/>
          <w:sz w:val="13"/>
          <w:szCs w:val="13"/>
        </w:rPr>
      </w:pPr>
    </w:p>
    <w:p>
      <w:pPr>
        <w:pStyle w:val="Heading2"/>
        <w:spacing w:line="240" w:lineRule="auto"/>
        <w:ind w:right="0"/>
        <w:jc w:val="left"/>
        <w:rPr>
          <w:b w:val="0"/>
          <w:bCs w:val="0"/>
        </w:rPr>
      </w:pPr>
      <w:r>
        <w:rPr/>
        <w:t>十一、重大诉讼、仲裁事项</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pict>
          <v:group style="position:absolute;margin-left:134.960007pt;margin-top:53.251732pt;width:53.05pt;height:345.2pt;mso-position-horizontal-relative:page;mso-position-vertical-relative:paragraph;z-index:-965992" coordorigin="2699,1065" coordsize="1061,6904">
            <v:group style="position:absolute;left:2699;top:1065;width:1061;height:6904" coordorigin="2699,1065" coordsize="1061,6904">
              <v:shape style="position:absolute;left:2699;top:1065;width:1061;height:6904" coordorigin="2699,1065" coordsize="1061,6904" path="m2699,7969l3760,7969,3760,1065,2699,1065,2699,7969xe" filled="true" fillcolor="#ffffff" stroked="false">
                <v:path arrowok="t"/>
                <v:fill type="solid"/>
              </v:shape>
            </v:group>
            <v:group style="position:absolute;left:2722;top:4321;width:1016;height:393" coordorigin="2722,4321" coordsize="1016,393">
              <v:shape style="position:absolute;left:2722;top:4321;width:1016;height:393" coordorigin="2722,4321" coordsize="1016,393" path="m2722,4713l3737,4713,3737,4321,2722,4321,2722,4713xe" filled="true" fillcolor="#ffffff" stroked="false">
                <v:path arrowok="t"/>
                <v:fill type="solid"/>
              </v:shape>
            </v:group>
            <w10:wrap type="none"/>
          </v:group>
        </w:pict>
      </w: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60"/>
        <w:gridCol w:w="1072"/>
        <w:gridCol w:w="1248"/>
        <w:gridCol w:w="938"/>
        <w:gridCol w:w="1374"/>
        <w:gridCol w:w="1248"/>
        <w:gridCol w:w="1064"/>
        <w:gridCol w:w="1063"/>
      </w:tblGrid>
      <w:tr>
        <w:trPr>
          <w:trHeight w:val="714"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684" w:right="84" w:hanging="601"/>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 况</w:t>
            </w:r>
          </w:p>
        </w:tc>
        <w:tc>
          <w:tcPr>
            <w:tcW w:w="10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50" w:right="23" w:hanging="328"/>
              <w:jc w:val="left"/>
              <w:rPr>
                <w:rFonts w:ascii="宋体" w:hAnsi="宋体" w:cs="宋体" w:eastAsia="宋体" w:hint="default"/>
                <w:sz w:val="18"/>
                <w:szCs w:val="18"/>
              </w:rPr>
            </w:pPr>
            <w:r>
              <w:rPr>
                <w:rFonts w:ascii="宋体" w:hAnsi="宋体" w:cs="宋体" w:eastAsia="宋体" w:hint="default"/>
                <w:spacing w:val="-11"/>
                <w:sz w:val="18"/>
                <w:szCs w:val="18"/>
              </w:rPr>
              <w:t>涉案金额（万</w:t>
            </w:r>
            <w:r>
              <w:rPr>
                <w:rFonts w:ascii="宋体" w:hAnsi="宋体" w:cs="宋体" w:eastAsia="宋体" w:hint="default"/>
                <w:sz w:val="18"/>
                <w:szCs w:val="18"/>
              </w:rPr>
              <w:t> 元）</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7" w:right="78" w:hanging="360"/>
              <w:jc w:val="left"/>
              <w:rPr>
                <w:rFonts w:ascii="宋体" w:hAnsi="宋体" w:cs="宋体" w:eastAsia="宋体" w:hint="default"/>
                <w:sz w:val="18"/>
                <w:szCs w:val="18"/>
              </w:rPr>
            </w:pPr>
            <w:r>
              <w:rPr>
                <w:rFonts w:ascii="宋体" w:hAnsi="宋体" w:cs="宋体" w:eastAsia="宋体" w:hint="default"/>
                <w:sz w:val="18"/>
                <w:szCs w:val="18"/>
              </w:rPr>
              <w:t>是否形成预计 负债</w:t>
            </w:r>
          </w:p>
        </w:tc>
        <w:tc>
          <w:tcPr>
            <w:tcW w:w="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84" w:right="42"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31" w:right="80" w:hanging="15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 结果及影响</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68" w:right="108"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69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 发行人收到北京市 第一中级人民法院 的（</w:t>
            </w:r>
            <w:r>
              <w:rPr>
                <w:rFonts w:ascii="Times New Roman" w:hAnsi="Times New Roman" w:cs="Times New Roman" w:eastAsia="Times New Roman" w:hint="default"/>
                <w:sz w:val="18"/>
                <w:szCs w:val="18"/>
              </w:rPr>
              <w:t>2014</w:t>
            </w:r>
            <w:r>
              <w:rPr>
                <w:rFonts w:ascii="宋体" w:hAnsi="宋体" w:cs="宋体" w:eastAsia="宋体" w:hint="default"/>
                <w:sz w:val="18"/>
                <w:szCs w:val="18"/>
              </w:rPr>
              <w:t>）一中民 初字第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5146</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号《民</w:t>
            </w:r>
            <w:r>
              <w:rPr>
                <w:rFonts w:ascii="宋体" w:hAnsi="宋体" w:cs="宋体" w:eastAsia="宋体" w:hint="default"/>
                <w:sz w:val="18"/>
                <w:szCs w:val="18"/>
              </w:rPr>
              <w:t> 事应诉通知书》及 明河社出版有限公 司、完美世界（北 京）软件有限公司</w:t>
            </w:r>
          </w:p>
          <w:p>
            <w:pPr>
              <w:pStyle w:val="TableParagraph"/>
              <w:spacing w:line="309" w:lineRule="auto" w:before="22"/>
              <w:ind w:left="22" w:right="22"/>
              <w:jc w:val="left"/>
              <w:rPr>
                <w:rFonts w:ascii="宋体" w:hAnsi="宋体" w:cs="宋体" w:eastAsia="宋体" w:hint="default"/>
                <w:sz w:val="18"/>
                <w:szCs w:val="18"/>
              </w:rPr>
            </w:pPr>
            <w:r>
              <w:rPr>
                <w:rFonts w:ascii="宋体" w:hAnsi="宋体" w:cs="宋体" w:eastAsia="宋体" w:hint="default"/>
                <w:sz w:val="18"/>
                <w:szCs w:val="18"/>
              </w:rPr>
              <w:t>（以下合称</w:t>
            </w:r>
            <w:r>
              <w:rPr>
                <w:rFonts w:ascii="Times New Roman" w:hAnsi="Times New Roman" w:cs="Times New Roman" w:eastAsia="Times New Roman" w:hint="default"/>
                <w:sz w:val="18"/>
                <w:szCs w:val="18"/>
              </w:rPr>
              <w:t>“</w:t>
            </w:r>
            <w:r>
              <w:rPr>
                <w:rFonts w:ascii="宋体" w:hAnsi="宋体" w:cs="宋体" w:eastAsia="宋体" w:hint="default"/>
                <w:sz w:val="18"/>
                <w:szCs w:val="18"/>
              </w:rPr>
              <w:t>原 </w:t>
            </w:r>
            <w:r>
              <w:rPr>
                <w:rFonts w:ascii="宋体" w:hAnsi="宋体" w:cs="宋体" w:eastAsia="宋体" w:hint="default"/>
                <w:spacing w:val="-2"/>
                <w:sz w:val="18"/>
                <w:szCs w:val="18"/>
              </w:rPr>
              <w:t>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）起诉北京火谷</w:t>
            </w:r>
            <w:r>
              <w:rPr>
                <w:rFonts w:ascii="宋体" w:hAnsi="宋体" w:cs="宋体" w:eastAsia="宋体" w:hint="default"/>
                <w:sz w:val="18"/>
                <w:szCs w:val="18"/>
              </w:rPr>
              <w:t> 网络科技有限责任 公司、发行人、昆 仑在线及昆仑乐享</w:t>
            </w:r>
          </w:p>
          <w:p>
            <w:pPr>
              <w:pStyle w:val="TableParagraph"/>
              <w:spacing w:line="307" w:lineRule="auto" w:before="24"/>
              <w:ind w:left="22" w:right="22"/>
              <w:jc w:val="left"/>
              <w:rPr>
                <w:rFonts w:ascii="宋体" w:hAnsi="宋体" w:cs="宋体" w:eastAsia="宋体" w:hint="default"/>
                <w:sz w:val="18"/>
                <w:szCs w:val="18"/>
              </w:rPr>
            </w:pPr>
            <w:r>
              <w:rPr>
                <w:rFonts w:ascii="宋体" w:hAnsi="宋体" w:cs="宋体" w:eastAsia="宋体" w:hint="default"/>
                <w:sz w:val="18"/>
                <w:szCs w:val="18"/>
              </w:rPr>
              <w:t>（以下合称</w:t>
            </w:r>
            <w:r>
              <w:rPr>
                <w:rFonts w:ascii="Times New Roman" w:hAnsi="Times New Roman" w:cs="Times New Roman" w:eastAsia="Times New Roman" w:hint="default"/>
                <w:sz w:val="18"/>
                <w:szCs w:val="18"/>
              </w:rPr>
              <w:t>“</w:t>
            </w:r>
            <w:r>
              <w:rPr>
                <w:rFonts w:ascii="宋体" w:hAnsi="宋体" w:cs="宋体" w:eastAsia="宋体" w:hint="default"/>
                <w:sz w:val="18"/>
                <w:szCs w:val="18"/>
              </w:rPr>
              <w:t>被 </w:t>
            </w:r>
            <w:r>
              <w:rPr>
                <w:rFonts w:ascii="宋体" w:hAnsi="宋体" w:cs="宋体" w:eastAsia="宋体" w:hint="default"/>
                <w:spacing w:val="-2"/>
                <w:sz w:val="18"/>
                <w:szCs w:val="18"/>
              </w:rPr>
              <w:t>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）的《民事起诉</w:t>
            </w:r>
            <w:r>
              <w:rPr>
                <w:rFonts w:ascii="宋体" w:hAnsi="宋体" w:cs="宋体" w:eastAsia="宋体" w:hint="default"/>
                <w:sz w:val="18"/>
                <w:szCs w:val="18"/>
              </w:rPr>
              <w:t> </w:t>
            </w:r>
            <w:r>
              <w:rPr>
                <w:rFonts w:ascii="宋体" w:hAnsi="宋体" w:cs="宋体" w:eastAsia="宋体" w:hint="default"/>
                <w:spacing w:val="-13"/>
                <w:sz w:val="18"/>
                <w:szCs w:val="18"/>
              </w:rPr>
              <w:t>状》。原告称被告所</w:t>
            </w:r>
            <w:r>
              <w:rPr>
                <w:rFonts w:ascii="宋体" w:hAnsi="宋体" w:cs="宋体" w:eastAsia="宋体" w:hint="default"/>
                <w:sz w:val="18"/>
                <w:szCs w:val="18"/>
              </w:rPr>
              <w:t> 运营的网络游戏</w:t>
            </w:r>
          </w:p>
          <w:p>
            <w:pPr>
              <w:pStyle w:val="TableParagraph"/>
              <w:spacing w:line="307" w:lineRule="auto" w:before="26"/>
              <w:ind w:left="22" w:right="41"/>
              <w:jc w:val="both"/>
              <w:rPr>
                <w:rFonts w:ascii="宋体" w:hAnsi="宋体" w:cs="宋体" w:eastAsia="宋体" w:hint="default"/>
                <w:sz w:val="18"/>
                <w:szCs w:val="18"/>
              </w:rPr>
            </w:pPr>
            <w:r>
              <w:rPr>
                <w:rFonts w:ascii="宋体" w:hAnsi="宋体" w:cs="宋体" w:eastAsia="宋体" w:hint="default"/>
                <w:sz w:val="18"/>
                <w:szCs w:val="18"/>
              </w:rPr>
              <w:t>《武侠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传》侵犯 其著作权及不正当 竞争，要求：</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被 告立即停止侵权原</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543" w:right="0"/>
              <w:jc w:val="left"/>
              <w:rPr>
                <w:rFonts w:ascii="Times New Roman" w:hAnsi="Times New Roman" w:cs="Times New Roman" w:eastAsia="Times New Roman" w:hint="default"/>
                <w:sz w:val="18"/>
                <w:szCs w:val="18"/>
              </w:rPr>
            </w:pPr>
            <w:r>
              <w:rPr>
                <w:rFonts w:ascii="Times New Roman"/>
                <w:sz w:val="18"/>
              </w:rPr>
              <w:t>10,000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月</w:t>
            </w:r>
          </w:p>
          <w:p>
            <w:pPr>
              <w:pStyle w:val="TableParagraph"/>
              <w:spacing w:line="316" w:lineRule="auto" w:before="61"/>
              <w:ind w:left="22" w:right="5"/>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pacing w:val="-16"/>
                <w:sz w:val="18"/>
                <w:szCs w:val="18"/>
              </w:rPr>
              <w:t>日，该案</w:t>
            </w:r>
            <w:r>
              <w:rPr>
                <w:rFonts w:ascii="宋体" w:hAnsi="宋体" w:cs="宋体" w:eastAsia="宋体" w:hint="default"/>
                <w:sz w:val="18"/>
                <w:szCs w:val="18"/>
              </w:rPr>
              <w:t> 在北京市 第一中级 人民法院 进行了第 一次开庭 </w:t>
            </w:r>
            <w:r>
              <w:rPr>
                <w:rFonts w:ascii="宋体" w:hAnsi="宋体" w:cs="宋体" w:eastAsia="宋体" w:hint="default"/>
                <w:spacing w:val="-4"/>
                <w:sz w:val="18"/>
                <w:szCs w:val="18"/>
              </w:rPr>
              <w:t>审理，原告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律师当庭 提交了新 </w:t>
            </w:r>
            <w:r>
              <w:rPr>
                <w:rFonts w:ascii="宋体" w:hAnsi="宋体" w:cs="宋体" w:eastAsia="宋体" w:hint="default"/>
                <w:spacing w:val="-4"/>
                <w:sz w:val="18"/>
                <w:szCs w:val="18"/>
              </w:rPr>
              <w:t>的诉状，要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求四被告 共同赔偿 原告损失 的金额调 整为人民 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 被告律师 针对原告 诉讼请求 及理由方 面存在的</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暂无审理结果。 为充分保护公司 及公众股东的合 法权益，公司控 股股东、实际控 制人周亚辉已经 </w:t>
            </w:r>
            <w:r>
              <w:rPr>
                <w:rFonts w:ascii="宋体" w:hAnsi="宋体" w:cs="宋体" w:eastAsia="宋体" w:hint="default"/>
                <w:spacing w:val="-16"/>
                <w:sz w:val="18"/>
                <w:szCs w:val="18"/>
              </w:rPr>
              <w:t>出具承诺：“若昆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仑万维因上述诉 讼遭受损失，且 昆仑万维就此向 北京火谷网络科 技有限责任公司 进行全额追偿 后，北京火谷网 络科技有限责任 公司拒不履行相 关责任时，本人 将在北京火谷网 络科技有限责任 公司拒绝履行后 的 </w:t>
            </w:r>
            <w:r>
              <w:rPr>
                <w:rFonts w:ascii="Times New Roman" w:hAnsi="Times New Roman" w:cs="Times New Roman" w:eastAsia="Times New Roman" w:hint="default"/>
                <w:sz w:val="18"/>
                <w:szCs w:val="18"/>
              </w:rPr>
              <w:t>30 </w:t>
            </w:r>
            <w:r>
              <w:rPr>
                <w:rFonts w:ascii="宋体" w:hAnsi="宋体" w:cs="宋体" w:eastAsia="宋体" w:hint="default"/>
                <w:sz w:val="18"/>
                <w:szCs w:val="18"/>
              </w:rPr>
              <w:t>个工作日 内承担昆仑万维</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09"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年半年 </w:t>
            </w:r>
            <w:r>
              <w:rPr>
                <w:rFonts w:ascii="宋体" w:hAnsi="宋体" w:cs="宋体" w:eastAsia="宋体" w:hint="default"/>
                <w:spacing w:val="-12"/>
                <w:sz w:val="18"/>
                <w:szCs w:val="18"/>
              </w:rPr>
              <w:t>度报告，可见</w:t>
            </w:r>
            <w:r>
              <w:rPr>
                <w:rFonts w:ascii="宋体" w:hAnsi="宋体" w:cs="宋体" w:eastAsia="宋体" w:hint="default"/>
                <w:sz w:val="18"/>
                <w:szCs w:val="18"/>
              </w:rPr>
              <w:t> 巨潮资讯网</w:t>
            </w:r>
          </w:p>
          <w:p>
            <w:pPr>
              <w:pStyle w:val="TableParagraph"/>
              <w:spacing w:line="240" w:lineRule="auto" w:before="24"/>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hyperlink r:id="rId43">
              <w:r>
                <w:rPr>
                  <w:rFonts w:ascii="Times New Roman" w:hAnsi="Times New Roman" w:cs="Times New Roman" w:eastAsia="Times New Roman" w:hint="default"/>
                  <w:sz w:val="18"/>
                  <w:szCs w:val="18"/>
                </w:rPr>
                <w:t>http://www</w:t>
              </w:r>
            </w:hyperlink>
          </w:p>
          <w:p>
            <w:pPr>
              <w:pStyle w:val="TableParagraph"/>
              <w:spacing w:line="316" w:lineRule="auto" w:before="102"/>
              <w:ind w:left="22" w:right="43"/>
              <w:jc w:val="left"/>
              <w:rPr>
                <w:rFonts w:ascii="宋体" w:hAnsi="宋体" w:cs="宋体" w:eastAsia="宋体" w:hint="default"/>
                <w:sz w:val="18"/>
                <w:szCs w:val="18"/>
              </w:rPr>
            </w:pPr>
            <w:r>
              <w:rPr>
                <w:rFonts w:ascii="Times New Roman" w:hAnsi="Times New Roman" w:cs="Times New Roman" w:eastAsia="Times New Roman" w:hint="default"/>
                <w:sz w:val="18"/>
                <w:szCs w:val="18"/>
              </w:rPr>
              <w:t>.cninfo.com.c n/</w:t>
            </w:r>
            <w:r>
              <w:rPr>
                <w:rFonts w:ascii="宋体" w:hAnsi="宋体" w:cs="宋体" w:eastAsia="宋体" w:hint="default"/>
                <w:sz w:val="18"/>
                <w:szCs w:val="18"/>
              </w:rPr>
              <w:t>）</w:t>
            </w:r>
          </w:p>
        </w:tc>
      </w:tr>
    </w:tbl>
    <w:p>
      <w:pPr>
        <w:spacing w:after="0" w:line="316"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2"/>
        <w:rPr>
          <w:rFonts w:ascii="宋体" w:hAnsi="宋体" w:cs="宋体" w:eastAsia="宋体" w:hint="default"/>
          <w:sz w:val="28"/>
          <w:szCs w:val="28"/>
        </w:rPr>
      </w:pPr>
    </w:p>
    <w:p>
      <w:pPr>
        <w:spacing w:line="9118" w:lineRule="exact"/>
        <w:ind w:left="149" w:right="0" w:firstLine="0"/>
        <w:rPr>
          <w:rFonts w:ascii="宋体" w:hAnsi="宋体" w:cs="宋体" w:eastAsia="宋体" w:hint="default"/>
          <w:sz w:val="20"/>
          <w:szCs w:val="20"/>
        </w:rPr>
      </w:pPr>
      <w:r>
        <w:rPr>
          <w:rFonts w:ascii="宋体" w:hAnsi="宋体" w:cs="宋体" w:eastAsia="宋体" w:hint="default"/>
          <w:position w:val="-181"/>
          <w:sz w:val="20"/>
          <w:szCs w:val="20"/>
        </w:rPr>
        <w:pict>
          <v:group style="width:478.95pt;height:455.95pt;mso-position-horizontal-relative:char;mso-position-vertical-relative:line" coordorigin="0,0" coordsize="9579,9119">
            <v:group style="position:absolute;left:1570;top:14;width:1061;height:9090" coordorigin="1570,14" coordsize="1061,9090">
              <v:shape style="position:absolute;left:1570;top:14;width:1061;height:9090" coordorigin="1570,14" coordsize="1061,9090" path="m1570,9104l2631,9104,2631,14,1570,14,1570,9104xe" filled="true" fillcolor="#ffffff" stroked="false">
                <v:path arrowok="t"/>
                <v:fill type="solid"/>
              </v:shape>
            </v:group>
            <v:group style="position:absolute;left:10;top:10;width:1551;height:2" coordorigin="10,10" coordsize="1551,2">
              <v:shape style="position:absolute;left:10;top:10;width:1551;height:2" coordorigin="10,10" coordsize="1551,0" path="m10,10l1560,10e" filled="false" stroked="true" strokeweight=".48pt" strokecolor="#000000">
                <v:path arrowok="t"/>
              </v:shape>
            </v:group>
            <v:group style="position:absolute;left:1570;top:10;width:1062;height:2" coordorigin="1570,10" coordsize="1062,2">
              <v:shape style="position:absolute;left:1570;top:10;width:1062;height:2" coordorigin="1570,10" coordsize="1062,0" path="m1570,10l2632,10e" filled="false" stroked="true" strokeweight=".48pt" strokecolor="#000000">
                <v:path arrowok="t"/>
              </v:shape>
            </v:group>
            <v:group style="position:absolute;left:2642;top:10;width:1239;height:2" coordorigin="2642,10" coordsize="1239,2">
              <v:shape style="position:absolute;left:2642;top:10;width:1239;height:2" coordorigin="2642,10" coordsize="1239,0" path="m2642,10l3880,10e" filled="false" stroked="true" strokeweight=".48pt" strokecolor="#000000">
                <v:path arrowok="t"/>
              </v:shape>
            </v:group>
            <v:group style="position:absolute;left:3890;top:10;width:929;height:2" coordorigin="3890,10" coordsize="929,2">
              <v:shape style="position:absolute;left:3890;top:10;width:929;height:2" coordorigin="3890,10" coordsize="929,0" path="m3890,10l4819,10e" filled="false" stroked="true" strokeweight=".48pt" strokecolor="#000000">
                <v:path arrowok="t"/>
              </v:shape>
            </v:group>
            <v:group style="position:absolute;left:4828;top:10;width:1365;height:2" coordorigin="4828,10" coordsize="1365,2">
              <v:shape style="position:absolute;left:4828;top:10;width:1365;height:2" coordorigin="4828,10" coordsize="1365,0" path="m4828,10l6193,10e" filled="false" stroked="true" strokeweight=".48pt" strokecolor="#000000">
                <v:path arrowok="t"/>
              </v:shape>
            </v:group>
            <v:group style="position:absolute;left:6202;top:10;width:1239;height:2" coordorigin="6202,10" coordsize="1239,2">
              <v:shape style="position:absolute;left:6202;top:10;width:1239;height:2" coordorigin="6202,10" coordsize="1239,0" path="m6202,10l7441,10e" filled="false" stroked="true" strokeweight=".48pt" strokecolor="#000000">
                <v:path arrowok="t"/>
              </v:shape>
            </v:group>
            <v:group style="position:absolute;left:7451;top:10;width:1055;height:2" coordorigin="7451,10" coordsize="1055,2">
              <v:shape style="position:absolute;left:7451;top:10;width:1055;height:2" coordorigin="7451,10" coordsize="1055,0" path="m7451,10l8506,10e" filled="false" stroked="true" strokeweight=".48pt" strokecolor="#000000">
                <v:path arrowok="t"/>
              </v:shape>
            </v:group>
            <v:group style="position:absolute;left:8515;top:10;width:1054;height:2" coordorigin="8515,10" coordsize="1054,2">
              <v:shape style="position:absolute;left:8515;top:10;width:1054;height:2" coordorigin="8515,10" coordsize="1054,0" path="m8515,10l9569,10e" filled="false" stroked="true" strokeweight=".48pt" strokecolor="#000000">
                <v:path arrowok="t"/>
              </v:shape>
            </v:group>
            <v:group style="position:absolute;left:5;top:5;width:2;height:9109" coordorigin="5,5" coordsize="2,9109">
              <v:shape style="position:absolute;left:5;top:5;width:2;height:9109" coordorigin="5,5" coordsize="0,9109" path="m5,5l5,9114e" filled="false" stroked="true" strokeweight=".48pt" strokecolor="#000000">
                <v:path arrowok="t"/>
              </v:shape>
            </v:group>
            <v:group style="position:absolute;left:10;top:9109;width:1551;height:2" coordorigin="10,9109" coordsize="1551,2">
              <v:shape style="position:absolute;left:10;top:9109;width:1551;height:2" coordorigin="10,9109" coordsize="1551,0" path="m10,9109l1560,9109e" filled="false" stroked="true" strokeweight=".48004pt" strokecolor="#000000">
                <v:path arrowok="t"/>
              </v:shape>
            </v:group>
            <v:group style="position:absolute;left:1565;top:5;width:2;height:9109" coordorigin="1565,5" coordsize="2,9109">
              <v:shape style="position:absolute;left:1565;top:5;width:2;height:9109" coordorigin="1565,5" coordsize="0,9109" path="m1565,5l1565,9114e" filled="false" stroked="true" strokeweight=".48pt" strokecolor="#000000">
                <v:path arrowok="t"/>
              </v:shape>
            </v:group>
            <v:group style="position:absolute;left:1570;top:9109;width:1062;height:2" coordorigin="1570,9109" coordsize="1062,2">
              <v:shape style="position:absolute;left:1570;top:9109;width:1062;height:2" coordorigin="1570,9109" coordsize="1062,0" path="m1570,9109l2632,9109e" filled="false" stroked="true" strokeweight=".48004pt" strokecolor="#000000">
                <v:path arrowok="t"/>
              </v:shape>
            </v:group>
            <v:group style="position:absolute;left:2637;top:5;width:2;height:9109" coordorigin="2637,5" coordsize="2,9109">
              <v:shape style="position:absolute;left:2637;top:5;width:2;height:9109" coordorigin="2637,5" coordsize="0,9109" path="m2637,5l2637,9114e" filled="false" stroked="true" strokeweight=".48pt" strokecolor="#000000">
                <v:path arrowok="t"/>
              </v:shape>
            </v:group>
            <v:group style="position:absolute;left:2642;top:9109;width:1239;height:2" coordorigin="2642,9109" coordsize="1239,2">
              <v:shape style="position:absolute;left:2642;top:9109;width:1239;height:2" coordorigin="2642,9109" coordsize="1239,0" path="m2642,9109l3880,9109e" filled="false" stroked="true" strokeweight=".48004pt" strokecolor="#000000">
                <v:path arrowok="t"/>
              </v:shape>
            </v:group>
            <v:group style="position:absolute;left:3885;top:5;width:2;height:9109" coordorigin="3885,5" coordsize="2,9109">
              <v:shape style="position:absolute;left:3885;top:5;width:2;height:9109" coordorigin="3885,5" coordsize="0,9109" path="m3885,5l3885,9114e" filled="false" stroked="true" strokeweight=".48pt" strokecolor="#000000">
                <v:path arrowok="t"/>
              </v:shape>
            </v:group>
            <v:group style="position:absolute;left:3890;top:9109;width:929;height:2" coordorigin="3890,9109" coordsize="929,2">
              <v:shape style="position:absolute;left:3890;top:9109;width:929;height:2" coordorigin="3890,9109" coordsize="929,0" path="m3890,9109l4819,9109e" filled="false" stroked="true" strokeweight=".48004pt" strokecolor="#000000">
                <v:path arrowok="t"/>
              </v:shape>
            </v:group>
            <v:group style="position:absolute;left:4824;top:5;width:2;height:9109" coordorigin="4824,5" coordsize="2,9109">
              <v:shape style="position:absolute;left:4824;top:5;width:2;height:9109" coordorigin="4824,5" coordsize="0,9109" path="m4824,5l4824,9114e" filled="false" stroked="true" strokeweight=".48001pt" strokecolor="#000000">
                <v:path arrowok="t"/>
              </v:shape>
            </v:group>
            <v:group style="position:absolute;left:4828;top:9109;width:1365;height:2" coordorigin="4828,9109" coordsize="1365,2">
              <v:shape style="position:absolute;left:4828;top:9109;width:1365;height:2" coordorigin="4828,9109" coordsize="1365,0" path="m4828,9109l6193,9109e" filled="false" stroked="true" strokeweight=".48004pt" strokecolor="#000000">
                <v:path arrowok="t"/>
              </v:shape>
            </v:group>
            <v:group style="position:absolute;left:6198;top:5;width:2;height:9109" coordorigin="6198,5" coordsize="2,9109">
              <v:shape style="position:absolute;left:6198;top:5;width:2;height:9109" coordorigin="6198,5" coordsize="0,9109" path="m6198,5l6198,9114e" filled="false" stroked="true" strokeweight=".47998pt" strokecolor="#000000">
                <v:path arrowok="t"/>
              </v:shape>
            </v:group>
            <v:group style="position:absolute;left:6202;top:9109;width:1239;height:2" coordorigin="6202,9109" coordsize="1239,2">
              <v:shape style="position:absolute;left:6202;top:9109;width:1239;height:2" coordorigin="6202,9109" coordsize="1239,0" path="m6202,9109l7441,9109e" filled="false" stroked="true" strokeweight=".48004pt" strokecolor="#000000">
                <v:path arrowok="t"/>
              </v:shape>
            </v:group>
            <v:group style="position:absolute;left:7446;top:5;width:2;height:9109" coordorigin="7446,5" coordsize="2,9109">
              <v:shape style="position:absolute;left:7446;top:5;width:2;height:9109" coordorigin="7446,5" coordsize="0,9109" path="m7446,5l7446,9114e" filled="false" stroked="true" strokeweight=".48001pt" strokecolor="#000000">
                <v:path arrowok="t"/>
              </v:shape>
            </v:group>
            <v:group style="position:absolute;left:7451;top:9109;width:1055;height:2" coordorigin="7451,9109" coordsize="1055,2">
              <v:shape style="position:absolute;left:7451;top:9109;width:1055;height:2" coordorigin="7451,9109" coordsize="1055,0" path="m7451,9109l8506,9109e" filled="false" stroked="true" strokeweight=".48004pt" strokecolor="#000000">
                <v:path arrowok="t"/>
              </v:shape>
            </v:group>
            <v:group style="position:absolute;left:8510;top:5;width:2;height:9109" coordorigin="8510,5" coordsize="2,9109">
              <v:shape style="position:absolute;left:8510;top:5;width:2;height:9109" coordorigin="8510,5" coordsize="0,9109" path="m8510,5l8510,9114e" filled="false" stroked="true" strokeweight=".48001pt" strokecolor="#000000">
                <v:path arrowok="t"/>
              </v:shape>
            </v:group>
            <v:group style="position:absolute;left:8515;top:9109;width:1054;height:2" coordorigin="8515,9109" coordsize="1054,2">
              <v:shape style="position:absolute;left:8515;top:9109;width:1054;height:2" coordorigin="8515,9109" coordsize="1054,0" path="m8515,9109l9569,9109e" filled="false" stroked="true" strokeweight=".48004pt" strokecolor="#000000">
                <v:path arrowok="t"/>
              </v:shape>
            </v:group>
            <v:group style="position:absolute;left:9574;top:5;width:2;height:9109" coordorigin="9574,5" coordsize="2,9109">
              <v:shape style="position:absolute;left:9574;top:5;width:2;height:9109" coordorigin="9574,5" coordsize="0,9109" path="m9574,5l9574,9114e" filled="false" stroked="true" strokeweight=".48004pt" strokecolor="#000000">
                <v:path arrowok="t"/>
              </v:shape>
              <v:shape style="position:absolute;left:32;top:81;width:1504;height:891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告著作权及不正当</w:t>
                      </w:r>
                    </w:p>
                    <w:p>
                      <w:pPr>
                        <w:spacing w:line="312" w:lineRule="auto"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竞争行为，包括立 即停止运营侵权网 络游戏《武侠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w w:val="99"/>
                          <w:sz w:val="18"/>
                          <w:szCs w:val="18"/>
                        </w:rPr>
                        <w:t> </w:t>
                      </w:r>
                      <w:r>
                        <w:rPr>
                          <w:rFonts w:ascii="宋体" w:hAnsi="宋体" w:cs="宋体" w:eastAsia="宋体" w:hint="default"/>
                          <w:spacing w:val="-14"/>
                          <w:sz w:val="18"/>
                          <w:szCs w:val="18"/>
                        </w:rPr>
                        <w:t>传》，立即去除《武</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传》游戏中的 全部侵权内容，立 即从发行人、昆仑 在线官方网站服务 </w:t>
                      </w:r>
                      <w:r>
                        <w:rPr>
                          <w:rFonts w:ascii="宋体" w:hAnsi="宋体" w:cs="宋体" w:eastAsia="宋体" w:hint="default"/>
                          <w:spacing w:val="-12"/>
                          <w:sz w:val="18"/>
                          <w:szCs w:val="18"/>
                        </w:rPr>
                        <w:t>器删除《武侠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及停止该游戏客户 端下载服务，立即 停止向渠道商提供</w:t>
                      </w:r>
                    </w:p>
                    <w:p>
                      <w:pPr>
                        <w:spacing w:line="312" w:lineRule="auto" w:before="22"/>
                        <w:ind w:left="0" w:right="18" w:firstLine="0"/>
                        <w:jc w:val="left"/>
                        <w:rPr>
                          <w:rFonts w:ascii="宋体" w:hAnsi="宋体" w:cs="宋体" w:eastAsia="宋体" w:hint="default"/>
                          <w:sz w:val="18"/>
                          <w:szCs w:val="18"/>
                        </w:rPr>
                      </w:pPr>
                      <w:r>
                        <w:rPr>
                          <w:rFonts w:ascii="宋体" w:hAnsi="宋体" w:cs="宋体" w:eastAsia="宋体" w:hint="default"/>
                          <w:sz w:val="18"/>
                          <w:szCs w:val="18"/>
                        </w:rPr>
                        <w:t>《武侠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传》客户 端及通过渠道商提 供客户端下载服 务，立即删除侵权 原告著作权及不正 当竞争的内容表 述；</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被告在媒体 上向原告公开赔礼 道歉并消除影响；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被告向原告赔偿 损失共计 </w:t>
                      </w:r>
                      <w:r>
                        <w:rPr>
                          <w:rFonts w:ascii="Times New Roman" w:hAnsi="Times New Roman" w:cs="Times New Roman" w:eastAsia="Times New Roman" w:hint="default"/>
                          <w:sz w:val="18"/>
                          <w:szCs w:val="18"/>
                        </w:rPr>
                        <w:t>14,499,176.66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line="316" w:lineRule="auto" w:before="3"/>
                        <w:ind w:left="0" w:right="61"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并向原告赔偿合理 支出</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319,650.80</w:t>
                      </w:r>
                    </w:p>
                    <w:p>
                      <w:pPr>
                        <w:spacing w:line="248"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被告承担相关诉</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讼费用。</w:t>
                      </w:r>
                    </w:p>
                  </w:txbxContent>
                </v:textbox>
                <w10:wrap type="none"/>
              </v:shape>
              <v:shape style="position:absolute;left:3913;top:81;width:2199;height:7046" type="#_x0000_t202" filled="false" stroked="false">
                <v:textbox inset="0,0,0,0">
                  <w:txbxContent>
                    <w:p>
                      <w:pPr>
                        <w:tabs>
                          <w:tab w:pos="93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诸多模糊</w:t>
                        <w:tab/>
                        <w:t>因上述诉讼遭受</w:t>
                      </w:r>
                    </w:p>
                    <w:p>
                      <w:pPr>
                        <w:tabs>
                          <w:tab w:pos="938" w:val="left" w:leader="none"/>
                        </w:tabs>
                        <w:spacing w:line="319" w:lineRule="auto"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及瑕疵之</w:t>
                        <w:tab/>
                        <w:t>的全部损失，且 </w:t>
                      </w:r>
                      <w:r>
                        <w:rPr>
                          <w:rFonts w:ascii="宋体" w:hAnsi="宋体" w:cs="宋体" w:eastAsia="宋体" w:hint="default"/>
                          <w:spacing w:val="-4"/>
                          <w:sz w:val="18"/>
                          <w:szCs w:val="18"/>
                        </w:rPr>
                        <w:t>处，提出了</w:t>
                      </w:r>
                      <w:r>
                        <w:rPr>
                          <w:rFonts w:ascii="宋体" w:hAnsi="宋体" w:cs="宋体" w:eastAsia="宋体" w:hint="default"/>
                          <w:spacing w:val="-33"/>
                          <w:sz w:val="18"/>
                          <w:szCs w:val="18"/>
                        </w:rPr>
                        <w:t> </w:t>
                      </w:r>
                      <w:r>
                        <w:rPr>
                          <w:rFonts w:ascii="宋体" w:hAnsi="宋体" w:cs="宋体" w:eastAsia="宋体" w:hint="default"/>
                          <w:sz w:val="18"/>
                          <w:szCs w:val="18"/>
                        </w:rPr>
                        <w:t>在承担后不向昆</w:t>
                      </w:r>
                      <w:r>
                        <w:rPr>
                          <w:rFonts w:ascii="宋体" w:hAnsi="宋体" w:cs="宋体" w:eastAsia="宋体" w:hint="default"/>
                          <w:sz w:val="18"/>
                          <w:szCs w:val="18"/>
                        </w:rPr>
                        <w:t> 异议并要</w:t>
                        <w:tab/>
                      </w:r>
                      <w:r>
                        <w:rPr>
                          <w:rFonts w:ascii="宋体" w:hAnsi="宋体" w:cs="宋体" w:eastAsia="宋体" w:hint="default"/>
                          <w:spacing w:val="-13"/>
                          <w:sz w:val="18"/>
                          <w:szCs w:val="18"/>
                        </w:rPr>
                        <w:t>仑万维追偿。”</w:t>
                      </w:r>
                      <w:r>
                        <w:rPr>
                          <w:rFonts w:ascii="宋体" w:hAnsi="宋体" w:cs="宋体" w:eastAsia="宋体" w:hint="default"/>
                          <w:sz w:val="18"/>
                          <w:szCs w:val="18"/>
                        </w:rPr>
                        <w:t> 求原告进</w:t>
                      </w:r>
                    </w:p>
                    <w:p>
                      <w:pPr>
                        <w:spacing w:line="316" w:lineRule="auto" w:before="17"/>
                        <w:ind w:left="0" w:right="1313" w:firstLine="0"/>
                        <w:jc w:val="left"/>
                        <w:rPr>
                          <w:rFonts w:ascii="宋体" w:hAnsi="宋体" w:cs="宋体" w:eastAsia="宋体" w:hint="default"/>
                          <w:sz w:val="18"/>
                          <w:szCs w:val="18"/>
                        </w:rPr>
                      </w:pPr>
                      <w:r>
                        <w:rPr>
                          <w:rFonts w:ascii="宋体" w:hAnsi="宋体" w:cs="宋体" w:eastAsia="宋体" w:hint="default"/>
                          <w:spacing w:val="-4"/>
                          <w:sz w:val="18"/>
                          <w:szCs w:val="18"/>
                        </w:rPr>
                        <w:t>行明确，否</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则庭审无 法有效进 </w:t>
                      </w:r>
                      <w:r>
                        <w:rPr>
                          <w:rFonts w:ascii="宋体" w:hAnsi="宋体" w:cs="宋体" w:eastAsia="宋体" w:hint="default"/>
                          <w:spacing w:val="-4"/>
                          <w:sz w:val="18"/>
                          <w:szCs w:val="18"/>
                        </w:rPr>
                        <w:t>行；针对原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告变更诉 讼请求的 </w:t>
                      </w:r>
                      <w:r>
                        <w:rPr>
                          <w:rFonts w:ascii="宋体" w:hAnsi="宋体" w:cs="宋体" w:eastAsia="宋体" w:hint="default"/>
                          <w:spacing w:val="-4"/>
                          <w:sz w:val="18"/>
                          <w:szCs w:val="18"/>
                        </w:rPr>
                        <w:t>新情况，被</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告律师表 示需要新 的答辩期 重新组织 </w:t>
                      </w:r>
                      <w:r>
                        <w:rPr>
                          <w:rFonts w:ascii="宋体" w:hAnsi="宋体" w:cs="宋体" w:eastAsia="宋体" w:hint="default"/>
                          <w:spacing w:val="-4"/>
                          <w:sz w:val="18"/>
                          <w:szCs w:val="18"/>
                        </w:rPr>
                        <w:t>答辩，法院</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同意了被 告律师的 </w:t>
                      </w:r>
                      <w:r>
                        <w:rPr>
                          <w:rFonts w:ascii="宋体" w:hAnsi="宋体" w:cs="宋体" w:eastAsia="宋体" w:hint="default"/>
                          <w:spacing w:val="-4"/>
                          <w:sz w:val="18"/>
                          <w:szCs w:val="18"/>
                        </w:rPr>
                        <w:t>请求，本案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将择期再 次开庭审</w:t>
                      </w:r>
                    </w:p>
                    <w:p>
                      <w:pPr>
                        <w:spacing w:before="20"/>
                        <w:ind w:left="0" w:right="0" w:firstLine="0"/>
                        <w:jc w:val="left"/>
                        <w:rPr>
                          <w:rFonts w:ascii="宋体" w:hAnsi="宋体" w:cs="宋体" w:eastAsia="宋体" w:hint="default"/>
                          <w:sz w:val="18"/>
                          <w:szCs w:val="18"/>
                        </w:rPr>
                      </w:pPr>
                      <w:r>
                        <w:rPr>
                          <w:rFonts w:ascii="宋体" w:hAnsi="宋体" w:cs="宋体" w:eastAsia="宋体" w:hint="default"/>
                          <w:sz w:val="18"/>
                          <w:szCs w:val="18"/>
                        </w:rPr>
                        <w:t>理</w:t>
                      </w:r>
                    </w:p>
                  </w:txbxContent>
                </v:textbox>
                <w10:wrap type="none"/>
              </v:shape>
            </v:group>
          </v:group>
        </w:pict>
      </w:r>
      <w:r>
        <w:rPr>
          <w:rFonts w:ascii="宋体" w:hAnsi="宋体" w:cs="宋体" w:eastAsia="宋体" w:hint="default"/>
          <w:position w:val="-181"/>
          <w:sz w:val="20"/>
          <w:szCs w:val="20"/>
        </w:rPr>
      </w:r>
    </w:p>
    <w:p>
      <w:pPr>
        <w:spacing w:line="240" w:lineRule="auto" w:before="10"/>
        <w:rPr>
          <w:rFonts w:ascii="宋体" w:hAnsi="宋体" w:cs="宋体" w:eastAsia="宋体" w:hint="default"/>
          <w:sz w:val="17"/>
          <w:szCs w:val="17"/>
        </w:rPr>
      </w:pPr>
    </w:p>
    <w:p>
      <w:pPr>
        <w:pStyle w:val="Heading2"/>
        <w:spacing w:line="367" w:lineRule="exact"/>
        <w:ind w:right="0"/>
        <w:jc w:val="left"/>
        <w:rPr>
          <w:b w:val="0"/>
          <w:bCs w:val="0"/>
        </w:rPr>
      </w:pPr>
      <w:r>
        <w:rPr/>
        <w:pict>
          <v:shape style="position:absolute;margin-left:119.720001pt;margin-top:-466.827515pt;width:68.3pt;height:454.5pt;mso-position-horizontal-relative:page;mso-position-vertical-relative:paragraph;z-index:-96589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7"/>
                      <w:szCs w:val="17"/>
                    </w:rPr>
                  </w:pPr>
                </w:p>
                <w:p>
                  <w:pPr>
                    <w:spacing w:before="0"/>
                    <w:ind w:left="2" w:right="0" w:hanging="3"/>
                    <w:jc w:val="left"/>
                    <w:rPr>
                      <w:rFonts w:ascii="宋体" w:hAnsi="宋体" w:cs="宋体" w:eastAsia="宋体" w:hint="default"/>
                      <w:sz w:val="18"/>
                      <w:szCs w:val="18"/>
                    </w:rPr>
                  </w:pPr>
                  <w:r>
                    <w:rPr>
                      <w:rFonts w:ascii="宋体" w:hAnsi="宋体" w:cs="宋体" w:eastAsia="宋体" w:hint="default"/>
                      <w:sz w:val="18"/>
                      <w:szCs w:val="18"/>
                    </w:rPr>
                    <w:t>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2"/>
                    <w:ind w:left="2" w:right="0" w:firstLine="0"/>
                    <w:jc w:val="left"/>
                    <w:rPr>
                      <w:rFonts w:ascii="宋体" w:hAnsi="宋体" w:cs="宋体" w:eastAsia="宋体" w:hint="default"/>
                      <w:sz w:val="18"/>
                      <w:szCs w:val="18"/>
                    </w:rPr>
                  </w:pPr>
                  <w:r>
                    <w:rPr>
                      <w:rFonts w:ascii="宋体" w:hAnsi="宋体" w:cs="宋体" w:eastAsia="宋体" w:hint="default"/>
                      <w:sz w:val="18"/>
                      <w:szCs w:val="18"/>
                    </w:rPr>
                    <w:t>元；</w:t>
                  </w:r>
                </w:p>
              </w:txbxContent>
            </v:textbox>
            <w10:wrap type="none"/>
          </v:shape>
        </w:pict>
      </w:r>
      <w:r>
        <w:rPr/>
        <w:t>十二、处罚及整改情况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line="338" w:lineRule="auto" w:before="0"/>
        <w:ind w:left="154" w:right="68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公司报告期不存在处罚及整改情况。</w:t>
      </w:r>
    </w:p>
    <w:p>
      <w:pPr>
        <w:spacing w:line="240" w:lineRule="auto" w:before="8"/>
        <w:rPr>
          <w:rFonts w:ascii="宋体" w:hAnsi="宋体" w:cs="宋体" w:eastAsia="宋体" w:hint="default"/>
          <w:sz w:val="13"/>
          <w:szCs w:val="13"/>
        </w:rPr>
      </w:pPr>
    </w:p>
    <w:p>
      <w:pPr>
        <w:pStyle w:val="Heading2"/>
        <w:spacing w:line="240" w:lineRule="auto"/>
        <w:ind w:right="0"/>
        <w:jc w:val="left"/>
        <w:rPr>
          <w:b w:val="0"/>
          <w:bCs w:val="0"/>
        </w:rPr>
      </w:pPr>
      <w:r>
        <w:rPr/>
        <w:t>十三、公司及其控股股东、实际控制人的诚信状况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line="338" w:lineRule="auto" w:before="0"/>
        <w:ind w:left="154" w:right="7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报告期内公司及其控股股东、实际控制人不存在未履行的法院生效判决、所负数额较大的债务到期未清偿的情况。</w:t>
      </w:r>
    </w:p>
    <w:p>
      <w:pPr>
        <w:spacing w:line="240" w:lineRule="auto" w:before="9"/>
        <w:rPr>
          <w:rFonts w:ascii="宋体" w:hAnsi="宋体" w:cs="宋体" w:eastAsia="宋体" w:hint="default"/>
          <w:sz w:val="13"/>
          <w:szCs w:val="13"/>
        </w:rPr>
      </w:pPr>
    </w:p>
    <w:p>
      <w:pPr>
        <w:pStyle w:val="Heading2"/>
        <w:spacing w:line="240" w:lineRule="auto"/>
        <w:ind w:right="0"/>
        <w:jc w:val="left"/>
        <w:rPr>
          <w:b w:val="0"/>
          <w:bCs w:val="0"/>
        </w:rPr>
      </w:pPr>
      <w:r>
        <w:rPr/>
        <w:t>十四、公司股权激励计划、员工持股计划或其他员工激励措施的实施情况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line="338" w:lineRule="auto" w:before="0"/>
        <w:ind w:left="514" w:right="142"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日，制定了《股权激励计划实施考核管理办法》、《北京昆仑万维科技股份有限公司股票期权与限</w:t>
      </w:r>
    </w:p>
    <w:p>
      <w:pPr>
        <w:spacing w:after="0" w:line="338"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2"/>
        <w:rPr>
          <w:rFonts w:ascii="宋体" w:hAnsi="宋体" w:cs="宋体" w:eastAsia="宋体" w:hint="default"/>
          <w:sz w:val="25"/>
          <w:szCs w:val="25"/>
        </w:rPr>
      </w:pPr>
    </w:p>
    <w:p>
      <w:pPr>
        <w:spacing w:line="307" w:lineRule="auto" w:before="44"/>
        <w:ind w:left="154" w:right="152" w:firstLine="0"/>
        <w:jc w:val="both"/>
        <w:rPr>
          <w:rFonts w:ascii="宋体" w:hAnsi="宋体" w:cs="宋体" w:eastAsia="宋体" w:hint="default"/>
          <w:sz w:val="18"/>
          <w:szCs w:val="18"/>
        </w:rPr>
      </w:pPr>
      <w:r>
        <w:rPr>
          <w:rFonts w:ascii="宋体" w:hAnsi="宋体" w:cs="宋体" w:eastAsia="宋体" w:hint="default"/>
          <w:spacing w:val="-2"/>
          <w:sz w:val="18"/>
          <w:szCs w:val="18"/>
        </w:rPr>
        <w:t>制性股票激励计划（草案）》，决定对公司中层管理人员以及核心技术（业务）骨干等进行限制性股票以及期权激励，股票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来源为公司向激励对象定向发行公司股票。公司于</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日公布了《股权激励计划激励对象名单》（以上信息均已在巨潮资 </w:t>
      </w:r>
      <w:r>
        <w:rPr>
          <w:rFonts w:ascii="宋体" w:hAnsi="宋体" w:cs="宋体" w:eastAsia="宋体" w:hint="default"/>
          <w:spacing w:val="-1"/>
          <w:sz w:val="18"/>
          <w:szCs w:val="18"/>
        </w:rPr>
        <w:t>讯网上披露，详见公司于</w:t>
      </w: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31</w:t>
      </w:r>
      <w:r>
        <w:rPr>
          <w:rFonts w:ascii="宋体" w:hAnsi="宋体" w:cs="宋体" w:eastAsia="宋体" w:hint="default"/>
          <w:spacing w:val="-1"/>
          <w:sz w:val="18"/>
          <w:szCs w:val="18"/>
        </w:rPr>
        <w:t>日披露的相关公告）。</w:t>
      </w:r>
      <w:r>
        <w:rPr>
          <w:rFonts w:ascii="宋体" w:hAnsi="宋体" w:cs="宋体" w:eastAsia="宋体" w:hint="default"/>
          <w:spacing w:val="-6"/>
          <w:sz w:val="18"/>
          <w:szCs w:val="18"/>
        </w:rPr>
        <w:t> </w:t>
      </w:r>
      <w:r>
        <w:rPr>
          <w:rFonts w:ascii="宋体" w:hAnsi="宋体" w:cs="宋体" w:eastAsia="宋体" w:hint="default"/>
          <w:spacing w:val="-2"/>
          <w:sz w:val="18"/>
          <w:szCs w:val="18"/>
        </w:rPr>
        <w:t>上述股权激励计划已经经由公司董事会、公司监事会、公司股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东大会审议通过，并已报送主管机关，获得批准。</w:t>
      </w:r>
    </w:p>
    <w:p>
      <w:pPr>
        <w:spacing w:line="304" w:lineRule="auto" w:before="26"/>
        <w:ind w:left="154" w:right="151" w:firstLine="360"/>
        <w:jc w:val="both"/>
        <w:rPr>
          <w:rFonts w:ascii="宋体" w:hAnsi="宋体" w:cs="宋体" w:eastAsia="宋体" w:hint="default"/>
          <w:sz w:val="18"/>
          <w:szCs w:val="18"/>
        </w:rPr>
      </w:pPr>
      <w:r>
        <w:rPr>
          <w:rFonts w:ascii="宋体" w:hAnsi="宋体" w:cs="宋体" w:eastAsia="宋体" w:hint="default"/>
          <w:sz w:val="18"/>
          <w:szCs w:val="18"/>
        </w:rPr>
        <w:t>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r>
        <w:rPr>
          <w:rFonts w:ascii="宋体" w:hAnsi="宋体" w:cs="宋体" w:eastAsia="宋体" w:hint="default"/>
          <w:sz w:val="18"/>
          <w:szCs w:val="18"/>
        </w:rPr>
        <w:t>日正式向股权激励对象授予了股票期权及限制性股票，因部分激励对象因个人原因放弃或减少所授 予的期权和限制性股票，公司最终授予股票和期权的激励对象名单较此前公布的有所调整，最终公司向</w:t>
      </w:r>
      <w:r>
        <w:rPr>
          <w:rFonts w:ascii="Times New Roman" w:hAnsi="Times New Roman" w:cs="Times New Roman" w:eastAsia="Times New Roman" w:hint="default"/>
          <w:sz w:val="18"/>
          <w:szCs w:val="18"/>
        </w:rPr>
        <w:t>1</w:t>
      </w:r>
      <w:r>
        <w:rPr>
          <w:rFonts w:ascii="宋体" w:hAnsi="宋体" w:cs="宋体" w:eastAsia="宋体" w:hint="default"/>
          <w:sz w:val="18"/>
          <w:szCs w:val="18"/>
        </w:rPr>
        <w:t>名激励对象以每股 </w:t>
      </w:r>
      <w:r>
        <w:rPr>
          <w:rFonts w:ascii="Times New Roman" w:hAnsi="Times New Roman" w:cs="Times New Roman" w:eastAsia="Times New Roman" w:hint="default"/>
          <w:sz w:val="18"/>
          <w:szCs w:val="18"/>
        </w:rPr>
        <w:t>79.46</w:t>
      </w:r>
      <w:r>
        <w:rPr>
          <w:rFonts w:ascii="宋体" w:hAnsi="宋体" w:cs="宋体" w:eastAsia="宋体" w:hint="default"/>
          <w:sz w:val="18"/>
          <w:szCs w:val="18"/>
        </w:rPr>
        <w:t>元的行权价格授予了</w:t>
      </w:r>
      <w:r>
        <w:rPr>
          <w:rFonts w:ascii="Times New Roman" w:hAnsi="Times New Roman" w:cs="Times New Roman" w:eastAsia="Times New Roman" w:hint="default"/>
          <w:sz w:val="18"/>
          <w:szCs w:val="18"/>
        </w:rPr>
        <w:t>5</w:t>
      </w:r>
      <w:r>
        <w:rPr>
          <w:rFonts w:ascii="宋体" w:hAnsi="宋体" w:cs="宋体" w:eastAsia="宋体" w:hint="default"/>
          <w:sz w:val="18"/>
          <w:szCs w:val="18"/>
        </w:rPr>
        <w:t>万股股票期权，向</w:t>
      </w:r>
      <w:r>
        <w:rPr>
          <w:rFonts w:ascii="Times New Roman" w:hAnsi="Times New Roman" w:cs="Times New Roman" w:eastAsia="Times New Roman" w:hint="default"/>
          <w:sz w:val="18"/>
          <w:szCs w:val="18"/>
        </w:rPr>
        <w:t>46</w:t>
      </w:r>
      <w:r>
        <w:rPr>
          <w:rFonts w:ascii="宋体" w:hAnsi="宋体" w:cs="宋体" w:eastAsia="宋体" w:hint="default"/>
          <w:sz w:val="18"/>
          <w:szCs w:val="18"/>
        </w:rPr>
        <w:t>名激励对象以每股</w:t>
      </w:r>
      <w:r>
        <w:rPr>
          <w:rFonts w:ascii="Times New Roman" w:hAnsi="Times New Roman" w:cs="Times New Roman" w:eastAsia="Times New Roman" w:hint="default"/>
          <w:sz w:val="18"/>
          <w:szCs w:val="18"/>
        </w:rPr>
        <w:t>36.69</w:t>
      </w:r>
      <w:r>
        <w:rPr>
          <w:rFonts w:ascii="宋体" w:hAnsi="宋体" w:cs="宋体" w:eastAsia="宋体" w:hint="default"/>
          <w:sz w:val="18"/>
          <w:szCs w:val="18"/>
        </w:rPr>
        <w:t>元的价格授予了</w:t>
      </w:r>
      <w:r>
        <w:rPr>
          <w:rFonts w:ascii="Times New Roman" w:hAnsi="Times New Roman" w:cs="Times New Roman" w:eastAsia="Times New Roman" w:hint="default"/>
          <w:sz w:val="18"/>
          <w:szCs w:val="18"/>
        </w:rPr>
        <w:t>723.1</w:t>
      </w:r>
      <w:r>
        <w:rPr>
          <w:rFonts w:ascii="宋体" w:hAnsi="宋体" w:cs="宋体" w:eastAsia="宋体" w:hint="default"/>
          <w:sz w:val="18"/>
          <w:szCs w:val="18"/>
        </w:rPr>
        <w:t>万股限制性股票。激励对象如 </w:t>
      </w:r>
      <w:r>
        <w:rPr>
          <w:rFonts w:ascii="宋体" w:hAnsi="宋体" w:cs="宋体" w:eastAsia="宋体" w:hint="default"/>
          <w:spacing w:val="-2"/>
          <w:sz w:val="18"/>
          <w:szCs w:val="18"/>
        </w:rPr>
        <w:t>满足考核条件，应在股票或期权授予日起满</w:t>
      </w:r>
      <w:r>
        <w:rPr>
          <w:rFonts w:ascii="Times New Roman" w:hAnsi="Times New Roman" w:cs="Times New Roman" w:eastAsia="Times New Roman" w:hint="default"/>
          <w:spacing w:val="-2"/>
          <w:sz w:val="18"/>
          <w:szCs w:val="18"/>
        </w:rPr>
        <w:t>12</w:t>
      </w:r>
      <w:r>
        <w:rPr>
          <w:rFonts w:ascii="宋体" w:hAnsi="宋体" w:cs="宋体" w:eastAsia="宋体" w:hint="default"/>
          <w:spacing w:val="-2"/>
          <w:sz w:val="18"/>
          <w:szCs w:val="18"/>
        </w:rPr>
        <w:t>个月后的未来</w:t>
      </w:r>
      <w:r>
        <w:rPr>
          <w:rFonts w:ascii="Times New Roman" w:hAnsi="Times New Roman" w:cs="Times New Roman" w:eastAsia="Times New Roman" w:hint="default"/>
          <w:spacing w:val="-2"/>
          <w:sz w:val="18"/>
          <w:szCs w:val="18"/>
        </w:rPr>
        <w:t>48</w:t>
      </w:r>
      <w:r>
        <w:rPr>
          <w:rFonts w:ascii="宋体" w:hAnsi="宋体" w:cs="宋体" w:eastAsia="宋体" w:hint="default"/>
          <w:spacing w:val="-2"/>
          <w:sz w:val="18"/>
          <w:szCs w:val="18"/>
        </w:rPr>
        <w:t>个月内分四期解锁股票或行权；若激励对象当期未满足考核条</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2"/>
          <w:sz w:val="18"/>
          <w:szCs w:val="18"/>
        </w:rPr>
        <w:t>件，则其当期的行权额度将被取消，限制性股票解锁额度将由公司回购并注销（以上信息均已在巨潮资讯网上披露，详见公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日披露的相关公告）。</w:t>
      </w:r>
    </w:p>
    <w:p>
      <w:pPr>
        <w:spacing w:line="300" w:lineRule="auto" w:before="9"/>
        <w:ind w:left="154" w:right="151" w:firstLine="360"/>
        <w:jc w:val="both"/>
        <w:rPr>
          <w:rFonts w:ascii="宋体" w:hAnsi="宋体" w:cs="宋体" w:eastAsia="宋体" w:hint="default"/>
          <w:sz w:val="18"/>
          <w:szCs w:val="18"/>
        </w:rPr>
      </w:pPr>
      <w:r>
        <w:rPr>
          <w:rFonts w:ascii="宋体" w:hAnsi="宋体" w:cs="宋体" w:eastAsia="宋体" w:hint="default"/>
          <w:spacing w:val="-2"/>
          <w:sz w:val="18"/>
          <w:szCs w:val="18"/>
        </w:rPr>
        <w:t>公司向激励对象授予限制性股票后，公司持有限制性股票的股东人数有所增加，原股东的持股比例相应有所变动。</w:t>
      </w:r>
      <w:r>
        <w:rPr>
          <w:rFonts w:ascii="Times New Roman" w:hAnsi="Times New Roman" w:cs="Times New Roman" w:eastAsia="Times New Roman" w:hint="default"/>
          <w:spacing w:val="-2"/>
          <w:sz w:val="18"/>
          <w:szCs w:val="18"/>
        </w:rPr>
        <w:t>2015</w:t>
      </w:r>
      <w:r>
        <w:rPr>
          <w:rFonts w:ascii="Times New Roman" w:hAnsi="Times New Roman" w:cs="Times New Roman" w:eastAsia="Times New Roman" w:hint="default"/>
          <w:sz w:val="18"/>
          <w:szCs w:val="18"/>
        </w:rPr>
        <w:t> </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11</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11</w:t>
      </w:r>
      <w:r>
        <w:rPr>
          <w:rFonts w:ascii="宋体" w:hAnsi="宋体" w:cs="宋体" w:eastAsia="宋体" w:hint="default"/>
          <w:spacing w:val="-2"/>
          <w:sz w:val="18"/>
          <w:szCs w:val="18"/>
        </w:rPr>
        <w:t>日，公司以资本公积金转赠股份的方式向全体股东派送</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年上半年度权益，派送完成后激励对象所持有的限制性</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股票增至</w:t>
      </w:r>
      <w:r>
        <w:rPr>
          <w:rFonts w:ascii="Times New Roman" w:hAnsi="Times New Roman" w:cs="Times New Roman" w:eastAsia="Times New Roman" w:hint="default"/>
          <w:sz w:val="18"/>
          <w:szCs w:val="18"/>
        </w:rPr>
        <w:t>28,377,881</w:t>
      </w:r>
      <w:r>
        <w:rPr>
          <w:rFonts w:ascii="宋体" w:hAnsi="宋体" w:cs="宋体" w:eastAsia="宋体" w:hint="default"/>
          <w:sz w:val="18"/>
          <w:szCs w:val="18"/>
        </w:rPr>
        <w:t>股，占公司当前总股本的</w:t>
      </w:r>
      <w:r>
        <w:rPr>
          <w:rFonts w:ascii="Times New Roman" w:hAnsi="Times New Roman" w:cs="Times New Roman" w:eastAsia="Times New Roman" w:hint="default"/>
          <w:sz w:val="18"/>
          <w:szCs w:val="18"/>
        </w:rPr>
        <w:t>2.52%</w:t>
      </w:r>
      <w:r>
        <w:rPr>
          <w:rFonts w:ascii="宋体" w:hAnsi="宋体" w:cs="宋体" w:eastAsia="宋体" w:hint="default"/>
          <w:sz w:val="18"/>
          <w:szCs w:val="18"/>
        </w:rPr>
        <w:t>。（详见公司于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4</w:t>
      </w:r>
      <w:r>
        <w:rPr>
          <w:rFonts w:ascii="宋体" w:hAnsi="宋体" w:cs="宋体" w:eastAsia="宋体" w:hint="default"/>
          <w:sz w:val="18"/>
          <w:szCs w:val="18"/>
        </w:rPr>
        <w:t>日在巨潮资讯网披露的相关公告）。</w:t>
      </w:r>
    </w:p>
    <w:p>
      <w:pPr>
        <w:spacing w:line="316" w:lineRule="auto" w:before="53"/>
        <w:ind w:left="154" w:right="153" w:firstLine="290"/>
        <w:jc w:val="both"/>
        <w:rPr>
          <w:rFonts w:ascii="宋体" w:hAnsi="宋体" w:cs="宋体" w:eastAsia="宋体" w:hint="default"/>
          <w:sz w:val="18"/>
          <w:szCs w:val="18"/>
        </w:rPr>
      </w:pPr>
      <w:r>
        <w:rPr>
          <w:rFonts w:ascii="宋体" w:hAnsi="宋体" w:cs="宋体" w:eastAsia="宋体" w:hint="default"/>
          <w:spacing w:val="-1"/>
          <w:sz w:val="18"/>
          <w:szCs w:val="18"/>
        </w:rPr>
        <w:t>激励计划股票期权与限制性股票的成本将在经常性损益中列支，对公司财务状况和经营成果的最终影响将以会计师事务</w:t>
      </w:r>
      <w:r>
        <w:rPr>
          <w:rFonts w:ascii="宋体" w:hAnsi="宋体" w:cs="宋体" w:eastAsia="宋体" w:hint="default"/>
          <w:sz w:val="18"/>
          <w:szCs w:val="18"/>
        </w:rPr>
        <w:t> 所出具的年度审计报告为准。</w:t>
      </w:r>
    </w:p>
    <w:p>
      <w:pPr>
        <w:spacing w:line="240" w:lineRule="auto" w:before="11"/>
        <w:rPr>
          <w:rFonts w:ascii="宋体" w:hAnsi="宋体" w:cs="宋体" w:eastAsia="宋体" w:hint="default"/>
          <w:sz w:val="14"/>
          <w:szCs w:val="14"/>
        </w:rPr>
      </w:pPr>
    </w:p>
    <w:p>
      <w:pPr>
        <w:pStyle w:val="Heading2"/>
        <w:spacing w:line="240" w:lineRule="auto"/>
        <w:ind w:right="0"/>
        <w:jc w:val="both"/>
        <w:rPr>
          <w:b w:val="0"/>
          <w:bCs w:val="0"/>
        </w:rPr>
      </w:pPr>
      <w:r>
        <w:rPr/>
        <w:t>十五、重大关联交易</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、与日常经营相关的关联交易</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40" w:lineRule="auto" w:before="0"/>
        <w:ind w:left="154" w:right="49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公司报告期未发生与日常经营相关的关联交易。</w:t>
      </w:r>
    </w:p>
    <w:p>
      <w:pPr>
        <w:spacing w:line="240" w:lineRule="auto" w:before="11"/>
        <w:rPr>
          <w:rFonts w:ascii="宋体" w:hAnsi="宋体" w:cs="宋体" w:eastAsia="宋体" w:hint="default"/>
          <w:sz w:val="15"/>
          <w:szCs w:val="15"/>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、资产或股权收购、出售发生的关联交易</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both"/>
        <w:rPr>
          <w:rFonts w:ascii="宋体" w:hAnsi="宋体" w:cs="宋体" w:eastAsia="宋体" w:hint="default"/>
          <w:sz w:val="18"/>
          <w:szCs w:val="18"/>
        </w:rPr>
      </w:pPr>
      <w:r>
        <w:rPr/>
        <w:pict>
          <v:shape style="position:absolute;margin-left:263.497009pt;margin-top:17.531706pt;width:72.55pt;height:50.8pt;mso-position-horizontal-relative:page;mso-position-vertical-relative:paragraph;z-index:-96587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（万元）</w:t>
                  </w:r>
                </w:p>
              </w:txbxContent>
            </v:textbox>
            <w10:wrap type="none"/>
          </v:shape>
        </w:pict>
      </w:r>
      <w:r>
        <w:rPr/>
        <w:pict>
          <v:shape style="position:absolute;margin-left:303.339996pt;margin-top:17.531706pt;width:72.5pt;height:50.8pt;mso-position-horizontal-relative:page;mso-position-vertical-relative:paragraph;z-index:-965848"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（万元）</w:t>
                  </w:r>
                </w:p>
              </w:txbxContent>
            </v:textbox>
            <w10:wrap type="none"/>
          </v:shape>
        </w:pict>
      </w: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850"/>
        <w:gridCol w:w="751"/>
        <w:gridCol w:w="798"/>
        <w:gridCol w:w="800"/>
        <w:gridCol w:w="798"/>
        <w:gridCol w:w="796"/>
        <w:gridCol w:w="798"/>
        <w:gridCol w:w="797"/>
        <w:gridCol w:w="796"/>
        <w:gridCol w:w="796"/>
        <w:gridCol w:w="798"/>
        <w:gridCol w:w="796"/>
      </w:tblGrid>
      <w:tr>
        <w:trPr>
          <w:trHeight w:val="1025" w:hRule="exact"/>
        </w:trPr>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50"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80" w:right="98" w:hanging="180"/>
              <w:jc w:val="left"/>
              <w:rPr>
                <w:rFonts w:ascii="宋体" w:hAnsi="宋体" w:cs="宋体" w:eastAsia="宋体" w:hint="default"/>
                <w:sz w:val="18"/>
                <w:szCs w:val="18"/>
              </w:rPr>
            </w:pPr>
            <w:r>
              <w:rPr>
                <w:rFonts w:ascii="宋体" w:hAnsi="宋体" w:cs="宋体" w:eastAsia="宋体" w:hint="default"/>
                <w:sz w:val="18"/>
                <w:szCs w:val="18"/>
              </w:rPr>
              <w:t>关联关 系</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关联交易 类型</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4" w:right="35"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3"/>
              <w:jc w:val="left"/>
              <w:rPr>
                <w:rFonts w:ascii="宋体" w:hAnsi="宋体" w:cs="宋体" w:eastAsia="宋体" w:hint="default"/>
                <w:sz w:val="18"/>
                <w:szCs w:val="18"/>
              </w:rPr>
            </w:pPr>
            <w:r>
              <w:rPr>
                <w:rFonts w:ascii="宋体" w:hAnsi="宋体" w:cs="宋体" w:eastAsia="宋体" w:hint="default"/>
                <w:sz w:val="18"/>
                <w:szCs w:val="18"/>
              </w:rPr>
              <w:t>关联交易 定价原则</w:t>
            </w:r>
          </w:p>
        </w:tc>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31" w:firstLine="9"/>
              <w:jc w:val="both"/>
              <w:rPr>
                <w:rFonts w:ascii="宋体" w:hAnsi="宋体" w:cs="宋体" w:eastAsia="宋体" w:hint="default"/>
                <w:sz w:val="18"/>
                <w:szCs w:val="18"/>
              </w:rPr>
            </w:pPr>
            <w:r>
              <w:rPr>
                <w:rFonts w:ascii="宋体" w:hAnsi="宋体" w:cs="宋体" w:eastAsia="宋体" w:hint="default"/>
                <w:sz w:val="18"/>
                <w:szCs w:val="18"/>
              </w:rPr>
              <w:t>转让资产 的账面价 值</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37" w:firstLine="10"/>
              <w:jc w:val="both"/>
              <w:rPr>
                <w:rFonts w:ascii="宋体" w:hAnsi="宋体" w:cs="宋体" w:eastAsia="宋体" w:hint="default"/>
                <w:sz w:val="18"/>
                <w:szCs w:val="18"/>
              </w:rPr>
            </w:pPr>
            <w:r>
              <w:rPr>
                <w:rFonts w:ascii="宋体" w:hAnsi="宋体" w:cs="宋体" w:eastAsia="宋体" w:hint="default"/>
                <w:sz w:val="18"/>
                <w:szCs w:val="18"/>
              </w:rPr>
              <w:t>转让资产 的评估价 值</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转让价格</w:t>
            </w:r>
          </w:p>
          <w:p>
            <w:pPr>
              <w:pStyle w:val="TableParagraph"/>
              <w:spacing w:line="240" w:lineRule="auto" w:before="76"/>
              <w:ind w:left="3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2" w:right="33"/>
              <w:jc w:val="left"/>
              <w:rPr>
                <w:rFonts w:ascii="宋体" w:hAnsi="宋体" w:cs="宋体" w:eastAsia="宋体" w:hint="default"/>
                <w:sz w:val="18"/>
                <w:szCs w:val="18"/>
              </w:rPr>
            </w:pPr>
            <w:r>
              <w:rPr>
                <w:rFonts w:ascii="宋体" w:hAnsi="宋体" w:cs="宋体" w:eastAsia="宋体" w:hint="default"/>
                <w:sz w:val="18"/>
                <w:szCs w:val="18"/>
              </w:rPr>
              <w:t>关联交易 结算方式</w:t>
            </w:r>
          </w:p>
        </w:tc>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交易损益</w:t>
            </w:r>
          </w:p>
          <w:p>
            <w:pPr>
              <w:pStyle w:val="TableParagraph"/>
              <w:spacing w:line="240" w:lineRule="auto" w:before="76"/>
              <w:ind w:left="3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274"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95"/>
              <w:jc w:val="both"/>
              <w:rPr>
                <w:rFonts w:ascii="宋体" w:hAnsi="宋体" w:cs="宋体" w:eastAsia="宋体" w:hint="default"/>
                <w:sz w:val="18"/>
                <w:szCs w:val="18"/>
              </w:rPr>
            </w:pPr>
            <w:r>
              <w:rPr>
                <w:rFonts w:ascii="宋体" w:hAnsi="宋体" w:cs="宋体" w:eastAsia="宋体" w:hint="default"/>
                <w:sz w:val="18"/>
                <w:szCs w:val="18"/>
              </w:rPr>
              <w:t>珠海富海 铧创信息 技术创业 投资基金</w:t>
            </w:r>
          </w:p>
          <w:p>
            <w:pPr>
              <w:pStyle w:val="TableParagraph"/>
              <w:spacing w:line="319" w:lineRule="auto" w:before="19"/>
              <w:ind w:left="22" w:right="95"/>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4" w:right="175"/>
              <w:jc w:val="both"/>
              <w:rPr>
                <w:rFonts w:ascii="宋体" w:hAnsi="宋体" w:cs="宋体" w:eastAsia="宋体" w:hint="default"/>
                <w:sz w:val="18"/>
                <w:szCs w:val="18"/>
              </w:rPr>
            </w:pPr>
            <w:r>
              <w:rPr>
                <w:rFonts w:ascii="宋体" w:hAnsi="宋体" w:cs="宋体" w:eastAsia="宋体" w:hint="default"/>
                <w:sz w:val="18"/>
                <w:szCs w:val="18"/>
              </w:rPr>
              <w:t>交易对 方执行 事务合 伙人陈 玮是本 公司董 事</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43"/>
              <w:jc w:val="right"/>
              <w:rPr>
                <w:rFonts w:ascii="宋体" w:hAnsi="宋体" w:cs="宋体" w:eastAsia="宋体" w:hint="default"/>
                <w:sz w:val="18"/>
                <w:szCs w:val="18"/>
              </w:rPr>
            </w:pPr>
            <w:r>
              <w:rPr>
                <w:rFonts w:ascii="宋体" w:hAnsi="宋体" w:cs="宋体" w:eastAsia="宋体" w:hint="default"/>
                <w:sz w:val="18"/>
                <w:szCs w:val="18"/>
              </w:rPr>
              <w:t>股权转让</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47"/>
              <w:jc w:val="right"/>
              <w:rPr>
                <w:rFonts w:ascii="宋体" w:hAnsi="宋体" w:cs="宋体" w:eastAsia="宋体" w:hint="default"/>
                <w:sz w:val="18"/>
                <w:szCs w:val="18"/>
              </w:rPr>
            </w:pPr>
            <w:r>
              <w:rPr>
                <w:rFonts w:ascii="宋体" w:hAnsi="宋体" w:cs="宋体" w:eastAsia="宋体" w:hint="default"/>
                <w:sz w:val="18"/>
                <w:szCs w:val="18"/>
              </w:rPr>
              <w:t>股权转让</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 w:right="45"/>
              <w:jc w:val="both"/>
              <w:rPr>
                <w:rFonts w:ascii="宋体" w:hAnsi="宋体" w:cs="宋体" w:eastAsia="宋体" w:hint="default"/>
                <w:sz w:val="18"/>
                <w:szCs w:val="18"/>
              </w:rPr>
            </w:pPr>
            <w:r>
              <w:rPr>
                <w:rFonts w:ascii="宋体" w:hAnsi="宋体" w:cs="宋体" w:eastAsia="宋体" w:hint="default"/>
                <w:sz w:val="18"/>
                <w:szCs w:val="18"/>
              </w:rPr>
              <w:t>交易各方 协商最终 转让价格</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772.08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1,700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927.92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2015-102</w:t>
            </w:r>
          </w:p>
        </w:tc>
      </w:tr>
      <w:tr>
        <w:trPr>
          <w:trHeight w:val="2274"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95"/>
              <w:jc w:val="both"/>
              <w:rPr>
                <w:rFonts w:ascii="宋体" w:hAnsi="宋体" w:cs="宋体" w:eastAsia="宋体" w:hint="default"/>
                <w:sz w:val="18"/>
                <w:szCs w:val="18"/>
              </w:rPr>
            </w:pPr>
            <w:r>
              <w:rPr>
                <w:rFonts w:ascii="宋体" w:hAnsi="宋体" w:cs="宋体" w:eastAsia="宋体" w:hint="default"/>
                <w:sz w:val="18"/>
                <w:szCs w:val="18"/>
              </w:rPr>
              <w:t>珠海富海 铧创信息 技术创业 投资基金</w:t>
            </w:r>
          </w:p>
          <w:p>
            <w:pPr>
              <w:pStyle w:val="TableParagraph"/>
              <w:spacing w:line="319" w:lineRule="auto" w:before="19"/>
              <w:ind w:left="22" w:right="95"/>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4" w:right="175"/>
              <w:jc w:val="both"/>
              <w:rPr>
                <w:rFonts w:ascii="宋体" w:hAnsi="宋体" w:cs="宋体" w:eastAsia="宋体" w:hint="default"/>
                <w:sz w:val="18"/>
                <w:szCs w:val="18"/>
              </w:rPr>
            </w:pPr>
            <w:r>
              <w:rPr>
                <w:rFonts w:ascii="宋体" w:hAnsi="宋体" w:cs="宋体" w:eastAsia="宋体" w:hint="default"/>
                <w:sz w:val="18"/>
                <w:szCs w:val="18"/>
              </w:rPr>
              <w:t>交易对 方执行 事务合 伙人陈 玮是本 公司董 事</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43"/>
              <w:jc w:val="right"/>
              <w:rPr>
                <w:rFonts w:ascii="宋体" w:hAnsi="宋体" w:cs="宋体" w:eastAsia="宋体" w:hint="default"/>
                <w:sz w:val="18"/>
                <w:szCs w:val="18"/>
              </w:rPr>
            </w:pPr>
            <w:r>
              <w:rPr>
                <w:rFonts w:ascii="宋体" w:hAnsi="宋体" w:cs="宋体" w:eastAsia="宋体" w:hint="default"/>
                <w:sz w:val="18"/>
                <w:szCs w:val="18"/>
              </w:rPr>
              <w:t>股权转让</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47"/>
              <w:jc w:val="right"/>
              <w:rPr>
                <w:rFonts w:ascii="宋体" w:hAnsi="宋体" w:cs="宋体" w:eastAsia="宋体" w:hint="default"/>
                <w:sz w:val="18"/>
                <w:szCs w:val="18"/>
              </w:rPr>
            </w:pPr>
            <w:r>
              <w:rPr>
                <w:rFonts w:ascii="宋体" w:hAnsi="宋体" w:cs="宋体" w:eastAsia="宋体" w:hint="default"/>
                <w:sz w:val="18"/>
                <w:szCs w:val="18"/>
              </w:rPr>
              <w:t>股权转让</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45"/>
              <w:jc w:val="both"/>
              <w:rPr>
                <w:rFonts w:ascii="宋体" w:hAnsi="宋体" w:cs="宋体" w:eastAsia="宋体" w:hint="default"/>
                <w:sz w:val="18"/>
                <w:szCs w:val="18"/>
              </w:rPr>
            </w:pPr>
            <w:r>
              <w:rPr>
                <w:rFonts w:ascii="宋体" w:hAnsi="宋体" w:cs="宋体" w:eastAsia="宋体" w:hint="default"/>
                <w:sz w:val="18"/>
                <w:szCs w:val="18"/>
              </w:rPr>
              <w:t>交易各方 协商最终 转让价格</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3,076.92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4,000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923.08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2015-082</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850"/>
        <w:gridCol w:w="751"/>
        <w:gridCol w:w="798"/>
        <w:gridCol w:w="800"/>
        <w:gridCol w:w="798"/>
        <w:gridCol w:w="796"/>
        <w:gridCol w:w="798"/>
        <w:gridCol w:w="797"/>
        <w:gridCol w:w="796"/>
        <w:gridCol w:w="796"/>
        <w:gridCol w:w="798"/>
        <w:gridCol w:w="796"/>
      </w:tblGrid>
      <w:tr>
        <w:trPr>
          <w:trHeight w:val="2274"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95"/>
              <w:jc w:val="both"/>
              <w:rPr>
                <w:rFonts w:ascii="宋体" w:hAnsi="宋体" w:cs="宋体" w:eastAsia="宋体" w:hint="default"/>
                <w:sz w:val="18"/>
                <w:szCs w:val="18"/>
              </w:rPr>
            </w:pPr>
            <w:r>
              <w:rPr>
                <w:rFonts w:ascii="宋体" w:hAnsi="宋体" w:cs="宋体" w:eastAsia="宋体" w:hint="default"/>
                <w:sz w:val="18"/>
                <w:szCs w:val="18"/>
              </w:rPr>
              <w:t>扬州市富 海永成股 权投资合 伙企业</w:t>
            </w:r>
          </w:p>
          <w:p>
            <w:pPr>
              <w:pStyle w:val="TableParagraph"/>
              <w:spacing w:line="319" w:lineRule="auto" w:before="17"/>
              <w:ind w:left="22" w:right="95"/>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4" w:right="175"/>
              <w:jc w:val="both"/>
              <w:rPr>
                <w:rFonts w:ascii="宋体" w:hAnsi="宋体" w:cs="宋体" w:eastAsia="宋体" w:hint="default"/>
                <w:sz w:val="18"/>
                <w:szCs w:val="18"/>
              </w:rPr>
            </w:pPr>
            <w:r>
              <w:rPr>
                <w:rFonts w:ascii="宋体" w:hAnsi="宋体" w:cs="宋体" w:eastAsia="宋体" w:hint="default"/>
                <w:sz w:val="18"/>
                <w:szCs w:val="18"/>
              </w:rPr>
              <w:t>交易对 方执行 事务合 伙人陈 玮是本 公司董 事</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股权转让</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股权转让</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45"/>
              <w:jc w:val="both"/>
              <w:rPr>
                <w:rFonts w:ascii="宋体" w:hAnsi="宋体" w:cs="宋体" w:eastAsia="宋体" w:hint="default"/>
                <w:sz w:val="18"/>
                <w:szCs w:val="18"/>
              </w:rPr>
            </w:pPr>
            <w:r>
              <w:rPr>
                <w:rFonts w:ascii="宋体" w:hAnsi="宋体" w:cs="宋体" w:eastAsia="宋体" w:hint="default"/>
                <w:sz w:val="18"/>
                <w:szCs w:val="18"/>
              </w:rPr>
              <w:t>交易各方 协商最终 转让价格</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1,384.62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358" w:right="0"/>
              <w:jc w:val="left"/>
              <w:rPr>
                <w:rFonts w:ascii="Times New Roman" w:hAnsi="Times New Roman" w:cs="Times New Roman" w:eastAsia="Times New Roman" w:hint="default"/>
                <w:sz w:val="18"/>
                <w:szCs w:val="18"/>
              </w:rPr>
            </w:pPr>
            <w:r>
              <w:rPr>
                <w:rFonts w:ascii="Times New Roman"/>
                <w:sz w:val="18"/>
              </w:rPr>
              <w:t>1,800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68" w:right="0"/>
              <w:jc w:val="left"/>
              <w:rPr>
                <w:rFonts w:ascii="Times New Roman" w:hAnsi="Times New Roman" w:cs="Times New Roman" w:eastAsia="Times New Roman" w:hint="default"/>
                <w:sz w:val="18"/>
                <w:szCs w:val="18"/>
              </w:rPr>
            </w:pPr>
            <w:r>
              <w:rPr>
                <w:rFonts w:ascii="Times New Roman"/>
                <w:sz w:val="18"/>
              </w:rPr>
              <w:t>415.38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2015-082</w:t>
            </w:r>
          </w:p>
        </w:tc>
      </w:tr>
      <w:tr>
        <w:trPr>
          <w:trHeight w:val="714" w:hRule="exact"/>
        </w:trPr>
        <w:tc>
          <w:tcPr>
            <w:tcW w:w="320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5"/>
              <w:jc w:val="left"/>
              <w:rPr>
                <w:rFonts w:ascii="宋体" w:hAnsi="宋体" w:cs="宋体" w:eastAsia="宋体" w:hint="default"/>
                <w:sz w:val="18"/>
                <w:szCs w:val="18"/>
              </w:rPr>
            </w:pPr>
            <w:r>
              <w:rPr>
                <w:rFonts w:ascii="宋体" w:hAnsi="宋体" w:cs="宋体" w:eastAsia="宋体" w:hint="default"/>
                <w:sz w:val="18"/>
                <w:szCs w:val="18"/>
              </w:rPr>
              <w:t>转让价格与账面价值或评估价值差异较 大的原因（如有）</w:t>
            </w:r>
          </w:p>
        </w:tc>
        <w:tc>
          <w:tcPr>
            <w:tcW w:w="637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320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对公司经营成果与财务状况的影响情况</w:t>
            </w:r>
          </w:p>
        </w:tc>
        <w:tc>
          <w:tcPr>
            <w:tcW w:w="637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增加投资收益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2266.38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714" w:hRule="exact"/>
        </w:trPr>
        <w:tc>
          <w:tcPr>
            <w:tcW w:w="320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5"/>
              <w:jc w:val="left"/>
              <w:rPr>
                <w:rFonts w:ascii="宋体" w:hAnsi="宋体" w:cs="宋体" w:eastAsia="宋体" w:hint="default"/>
                <w:sz w:val="18"/>
                <w:szCs w:val="18"/>
              </w:rPr>
            </w:pPr>
            <w:r>
              <w:rPr>
                <w:rFonts w:ascii="宋体" w:hAnsi="宋体" w:cs="宋体" w:eastAsia="宋体" w:hint="default"/>
                <w:sz w:val="18"/>
                <w:szCs w:val="18"/>
              </w:rPr>
              <w:t>如相关交易涉及业绩约定的，报告期内 的业绩实现情况</w:t>
            </w:r>
          </w:p>
        </w:tc>
        <w:tc>
          <w:tcPr>
            <w:tcW w:w="637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、共同对外投资的关联交易</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40" w:lineRule="auto" w:before="0"/>
        <w:ind w:left="154" w:right="61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公司报告期未发生共同对外投资的关联交易。</w:t>
      </w:r>
    </w:p>
    <w:p>
      <w:pPr>
        <w:spacing w:line="240" w:lineRule="auto" w:before="1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、关联债权债务往来</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9"/>
          <w:szCs w:val="19"/>
        </w:rPr>
      </w:pPr>
    </w:p>
    <w:p>
      <w:pPr>
        <w:spacing w:line="338" w:lineRule="auto" w:before="0"/>
        <w:ind w:left="154" w:right="68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是否存在非经营性关联债权债务往来</w:t>
      </w:r>
    </w:p>
    <w:p>
      <w:pPr>
        <w:spacing w:line="340" w:lineRule="auto" w:before="42"/>
        <w:ind w:left="154" w:right="59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公司报告期不存在非经营性关联债权债务往来。</w:t>
      </w:r>
    </w:p>
    <w:p>
      <w:pPr>
        <w:spacing w:line="240" w:lineRule="auto" w:before="1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、其他重大关联交易</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line="338" w:lineRule="auto" w:before="0"/>
        <w:ind w:left="154" w:right="70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公司报告期无其他重大关联交易。</w:t>
      </w:r>
    </w:p>
    <w:p>
      <w:pPr>
        <w:spacing w:line="240" w:lineRule="auto" w:before="8"/>
        <w:rPr>
          <w:rFonts w:ascii="宋体" w:hAnsi="宋体" w:cs="宋体" w:eastAsia="宋体" w:hint="default"/>
          <w:sz w:val="13"/>
          <w:szCs w:val="13"/>
        </w:rPr>
      </w:pPr>
    </w:p>
    <w:p>
      <w:pPr>
        <w:pStyle w:val="Heading2"/>
        <w:spacing w:line="240" w:lineRule="auto"/>
        <w:ind w:right="0"/>
        <w:jc w:val="left"/>
        <w:rPr>
          <w:b w:val="0"/>
          <w:bCs w:val="0"/>
        </w:rPr>
      </w:pPr>
      <w:r>
        <w:rPr/>
        <w:t>十六、重大合同及其履行情况</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、托管、承包、租赁事项情况</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）托管情况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40" w:lineRule="auto" w:before="0"/>
        <w:ind w:left="154" w:right="74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公司报告期不存在托管情况。</w:t>
      </w:r>
    </w:p>
    <w:p>
      <w:pPr>
        <w:spacing w:line="240" w:lineRule="auto" w:before="12"/>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）承包情况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line="338" w:lineRule="auto" w:before="0"/>
        <w:ind w:left="154" w:right="74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公司报告期不存在承包情况。</w:t>
      </w:r>
    </w:p>
    <w:p>
      <w:pPr>
        <w:spacing w:after="0" w:line="338"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）租赁情况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line="338" w:lineRule="auto" w:before="0"/>
        <w:ind w:left="154" w:right="76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租赁情况说明</w:t>
      </w:r>
    </w:p>
    <w:p>
      <w:pPr>
        <w:spacing w:line="300" w:lineRule="auto" w:before="42"/>
        <w:ind w:left="154" w:right="159" w:firstLine="360"/>
        <w:jc w:val="both"/>
        <w:rPr>
          <w:rFonts w:ascii="宋体" w:hAnsi="宋体" w:cs="宋体" w:eastAsia="宋体" w:hint="default"/>
          <w:sz w:val="18"/>
          <w:szCs w:val="18"/>
        </w:rPr>
      </w:pPr>
      <w:r>
        <w:rPr>
          <w:rFonts w:ascii="宋体" w:hAnsi="宋体" w:cs="宋体" w:eastAsia="宋体" w:hint="default"/>
          <w:sz w:val="18"/>
          <w:szCs w:val="18"/>
        </w:rPr>
        <w:t>公司与北京中蓝恒丰投资管理有限公司签订了租赁协议，承租北京市东单蓝景德公寓地上合计</w:t>
      </w:r>
      <w:r>
        <w:rPr>
          <w:rFonts w:ascii="Times New Roman" w:hAnsi="Times New Roman" w:cs="Times New Roman" w:eastAsia="Times New Roman" w:hint="default"/>
          <w:sz w:val="18"/>
          <w:szCs w:val="18"/>
        </w:rPr>
        <w:t>8,582.61</w:t>
      </w:r>
      <w:r>
        <w:rPr>
          <w:rFonts w:ascii="宋体" w:hAnsi="宋体" w:cs="宋体" w:eastAsia="宋体" w:hint="default"/>
          <w:sz w:val="18"/>
          <w:szCs w:val="18"/>
        </w:rPr>
        <w:t>平方米以及地下 </w:t>
      </w:r>
      <w:r>
        <w:rPr>
          <w:rFonts w:ascii="Times New Roman" w:hAnsi="Times New Roman" w:cs="Times New Roman" w:eastAsia="Times New Roman" w:hint="default"/>
          <w:sz w:val="18"/>
          <w:szCs w:val="18"/>
        </w:rPr>
        <w:t>736</w:t>
      </w:r>
      <w:r>
        <w:rPr>
          <w:rFonts w:ascii="宋体" w:hAnsi="宋体" w:cs="宋体" w:eastAsia="宋体" w:hint="default"/>
          <w:sz w:val="18"/>
          <w:szCs w:val="18"/>
        </w:rPr>
        <w:t>平方米建筑面积的房产，作为公司办公场所，报告期内租赁协议处于正常履行中。根据租赁协议，公司</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年度需支付 的租金总额为人民币</w:t>
      </w:r>
      <w:r>
        <w:rPr>
          <w:rFonts w:ascii="Times New Roman" w:hAnsi="Times New Roman" w:cs="Times New Roman" w:eastAsia="Times New Roman" w:hint="default"/>
          <w:sz w:val="18"/>
          <w:szCs w:val="18"/>
        </w:rPr>
        <w:t>14,347,452</w:t>
      </w:r>
      <w:r>
        <w:rPr>
          <w:rFonts w:ascii="宋体" w:hAnsi="宋体" w:cs="宋体" w:eastAsia="宋体" w:hint="default"/>
          <w:sz w:val="18"/>
          <w:szCs w:val="18"/>
        </w:rPr>
        <w:t>元。</w:t>
      </w:r>
    </w:p>
    <w:p>
      <w:pPr>
        <w:spacing w:before="53"/>
        <w:ind w:left="154" w:right="0" w:firstLine="0"/>
        <w:jc w:val="left"/>
        <w:rPr>
          <w:rFonts w:ascii="宋体" w:hAnsi="宋体" w:cs="宋体" w:eastAsia="宋体" w:hint="default"/>
          <w:sz w:val="18"/>
          <w:szCs w:val="18"/>
        </w:rPr>
      </w:pPr>
      <w:r>
        <w:rPr>
          <w:rFonts w:ascii="宋体" w:hAnsi="宋体" w:cs="宋体" w:eastAsia="宋体" w:hint="default"/>
          <w:sz w:val="18"/>
          <w:szCs w:val="18"/>
        </w:rPr>
        <w:t>为公司带来的损益达到公司报告期利润总额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以上的项目</w:t>
      </w:r>
    </w:p>
    <w:p>
      <w:pPr>
        <w:spacing w:before="10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公司报告期不存在为公司带来的损益达到公司报告期利润总额</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以上的租赁项目。</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、重大担保</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）担保情况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26"/>
        <w:gridCol w:w="924"/>
        <w:gridCol w:w="1296"/>
        <w:gridCol w:w="1063"/>
        <w:gridCol w:w="1035"/>
        <w:gridCol w:w="1049"/>
        <w:gridCol w:w="792"/>
        <w:gridCol w:w="780"/>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31"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99"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46"/>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926"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35"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公司与子公司之间担保情况</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6"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51"/>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8"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19,563.52</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0"/>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北京昆仑乐享网络技 术有限公司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0"/>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北京昆仑在线网络科 技有限公司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0"/>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北京昆仑乐享网络技 术有限公司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0"/>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北京昆仑在线网络科 技有限公司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100"/>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81"/>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83"/>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59,563.52</w:t>
            </w:r>
          </w:p>
        </w:tc>
      </w:tr>
      <w:tr>
        <w:trPr>
          <w:trHeight w:val="402" w:hRule="exact"/>
        </w:trPr>
        <w:tc>
          <w:tcPr>
            <w:tcW w:w="26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w:t>
            </w:r>
          </w:p>
        </w:tc>
        <w:tc>
          <w:tcPr>
            <w:tcW w:w="22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报告期末对子公司实际担</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59,563.52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09"/>
        <w:gridCol w:w="917"/>
        <w:gridCol w:w="917"/>
        <w:gridCol w:w="1313"/>
        <w:gridCol w:w="1044"/>
        <w:gridCol w:w="1054"/>
        <w:gridCol w:w="1045"/>
        <w:gridCol w:w="786"/>
        <w:gridCol w:w="790"/>
      </w:tblGrid>
      <w:tr>
        <w:trPr>
          <w:trHeight w:val="367" w:hRule="exact"/>
        </w:trPr>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0" w:type="dxa"/>
            <w:gridSpan w:val="2"/>
            <w:tcBorders>
              <w:top w:val="single" w:sz="4" w:space="0" w:color="000000"/>
              <w:left w:val="single" w:sz="4" w:space="0" w:color="000000"/>
              <w:bottom w:val="single" w:sz="4" w:space="0" w:color="000000"/>
              <w:right w:val="single" w:sz="4" w:space="0" w:color="000000"/>
            </w:tcBorders>
          </w:tcPr>
          <w:p>
            <w:pP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
        </w:tc>
      </w:tr>
      <w:tr>
        <w:trPr>
          <w:trHeight w:val="397"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4"/>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3"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25" w:right="66"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1"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7"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07"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8"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917"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05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r>
      <w:tr>
        <w:trPr>
          <w:trHeight w:val="397"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3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22" w:right="83"/>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59,563.52</w:t>
            </w:r>
          </w:p>
        </w:tc>
      </w:tr>
      <w:tr>
        <w:trPr>
          <w:trHeight w:val="714" w:hRule="exact"/>
        </w:trPr>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59,563.52</w:t>
            </w:r>
          </w:p>
        </w:tc>
      </w:tr>
      <w:tr>
        <w:trPr>
          <w:trHeight w:val="407"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22.23%</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担保金额（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责任的情况说明（如有）</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）违规对外担保情况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40" w:lineRule="auto" w:before="0"/>
        <w:ind w:left="154" w:right="6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公司报告期无违规对外担保情况。</w:t>
      </w:r>
    </w:p>
    <w:p>
      <w:pPr>
        <w:spacing w:line="240" w:lineRule="auto" w:before="1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、委托他人进行现金资产管理情况</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）委托理财情况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01"/>
        <w:gridCol w:w="832"/>
        <w:gridCol w:w="838"/>
        <w:gridCol w:w="876"/>
        <w:gridCol w:w="804"/>
        <w:gridCol w:w="804"/>
        <w:gridCol w:w="803"/>
        <w:gridCol w:w="804"/>
        <w:gridCol w:w="804"/>
        <w:gridCol w:w="802"/>
        <w:gridCol w:w="804"/>
        <w:gridCol w:w="599"/>
      </w:tblGrid>
      <w:tr>
        <w:trPr>
          <w:trHeight w:val="1337"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4" w:right="34" w:hanging="270"/>
              <w:jc w:val="left"/>
              <w:rPr>
                <w:rFonts w:ascii="宋体" w:hAnsi="宋体" w:cs="宋体" w:eastAsia="宋体" w:hint="default"/>
                <w:sz w:val="18"/>
                <w:szCs w:val="18"/>
              </w:rPr>
            </w:pPr>
            <w:r>
              <w:rPr>
                <w:rFonts w:ascii="宋体" w:hAnsi="宋体" w:cs="宋体" w:eastAsia="宋体" w:hint="default"/>
                <w:sz w:val="18"/>
                <w:szCs w:val="18"/>
              </w:rPr>
              <w:t>受托人名 称</w:t>
            </w:r>
          </w:p>
        </w:tc>
        <w:tc>
          <w:tcPr>
            <w:tcW w:w="8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30" w:right="49" w:hanging="180"/>
              <w:jc w:val="left"/>
              <w:rPr>
                <w:rFonts w:ascii="宋体" w:hAnsi="宋体" w:cs="宋体" w:eastAsia="宋体" w:hint="default"/>
                <w:sz w:val="18"/>
                <w:szCs w:val="18"/>
              </w:rPr>
            </w:pPr>
            <w:r>
              <w:rPr>
                <w:rFonts w:ascii="宋体" w:hAnsi="宋体" w:cs="宋体" w:eastAsia="宋体" w:hint="default"/>
                <w:sz w:val="18"/>
                <w:szCs w:val="18"/>
              </w:rPr>
              <w:t>是否关联 交易</w:t>
            </w:r>
          </w:p>
        </w:tc>
        <w:tc>
          <w:tcPr>
            <w:tcW w:w="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sz w:val="18"/>
                <w:szCs w:val="18"/>
              </w:rPr>
              <w:t>产品类型</w:t>
            </w:r>
          </w:p>
        </w:tc>
        <w:tc>
          <w:tcPr>
            <w:tcW w:w="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3" w:right="71" w:hanging="180"/>
              <w:jc w:val="left"/>
              <w:rPr>
                <w:rFonts w:ascii="宋体" w:hAnsi="宋体" w:cs="宋体" w:eastAsia="宋体" w:hint="default"/>
                <w:sz w:val="18"/>
                <w:szCs w:val="18"/>
              </w:rPr>
            </w:pPr>
            <w:r>
              <w:rPr>
                <w:rFonts w:ascii="宋体" w:hAnsi="宋体" w:cs="宋体" w:eastAsia="宋体" w:hint="default"/>
                <w:sz w:val="18"/>
                <w:szCs w:val="18"/>
              </w:rPr>
              <w:t>委托理财 金额</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7" w:right="0"/>
              <w:jc w:val="left"/>
              <w:rPr>
                <w:rFonts w:ascii="宋体" w:hAnsi="宋体" w:cs="宋体" w:eastAsia="宋体" w:hint="default"/>
                <w:sz w:val="18"/>
                <w:szCs w:val="18"/>
              </w:rPr>
            </w:pPr>
            <w:r>
              <w:rPr>
                <w:rFonts w:ascii="宋体" w:hAnsi="宋体" w:cs="宋体" w:eastAsia="宋体" w:hint="default"/>
                <w:sz w:val="18"/>
                <w:szCs w:val="18"/>
              </w:rPr>
              <w:t>起始日期</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7" w:right="0"/>
              <w:jc w:val="left"/>
              <w:rPr>
                <w:rFonts w:ascii="宋体" w:hAnsi="宋体" w:cs="宋体" w:eastAsia="宋体" w:hint="default"/>
                <w:sz w:val="18"/>
                <w:szCs w:val="18"/>
              </w:rPr>
            </w:pPr>
            <w:r>
              <w:rPr>
                <w:rFonts w:ascii="宋体" w:hAnsi="宋体" w:cs="宋体" w:eastAsia="宋体" w:hint="default"/>
                <w:sz w:val="18"/>
                <w:szCs w:val="18"/>
              </w:rPr>
              <w:t>终止日期</w:t>
            </w:r>
          </w:p>
        </w:tc>
        <w:tc>
          <w:tcPr>
            <w:tcW w:w="8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17" w:right="35" w:hanging="180"/>
              <w:jc w:val="left"/>
              <w:rPr>
                <w:rFonts w:ascii="宋体" w:hAnsi="宋体" w:cs="宋体" w:eastAsia="宋体" w:hint="default"/>
                <w:sz w:val="18"/>
                <w:szCs w:val="18"/>
              </w:rPr>
            </w:pPr>
            <w:r>
              <w:rPr>
                <w:rFonts w:ascii="宋体" w:hAnsi="宋体" w:cs="宋体" w:eastAsia="宋体" w:hint="default"/>
                <w:sz w:val="18"/>
                <w:szCs w:val="18"/>
              </w:rPr>
              <w:t>报酬确定 方式</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6" w:right="36"/>
              <w:jc w:val="center"/>
              <w:rPr>
                <w:rFonts w:ascii="宋体" w:hAnsi="宋体" w:cs="宋体" w:eastAsia="宋体" w:hint="default"/>
                <w:sz w:val="18"/>
                <w:szCs w:val="18"/>
              </w:rPr>
            </w:pPr>
            <w:r>
              <w:rPr>
                <w:rFonts w:ascii="宋体" w:hAnsi="宋体" w:cs="宋体" w:eastAsia="宋体" w:hint="default"/>
                <w:sz w:val="18"/>
                <w:szCs w:val="18"/>
              </w:rPr>
              <w:t>本期实际 收回本金 金额</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5" w:right="36"/>
              <w:jc w:val="left"/>
              <w:rPr>
                <w:rFonts w:ascii="宋体" w:hAnsi="宋体" w:cs="宋体" w:eastAsia="宋体" w:hint="default"/>
                <w:sz w:val="18"/>
                <w:szCs w:val="18"/>
              </w:rPr>
            </w:pPr>
            <w:r>
              <w:rPr>
                <w:rFonts w:ascii="宋体" w:hAnsi="宋体" w:cs="宋体" w:eastAsia="宋体" w:hint="default"/>
                <w:sz w:val="18"/>
                <w:szCs w:val="18"/>
              </w:rPr>
              <w:t>计提减值 准备金额</w:t>
            </w:r>
          </w:p>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（如有）</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35"/>
              <w:jc w:val="right"/>
              <w:rPr>
                <w:rFonts w:ascii="宋体" w:hAnsi="宋体" w:cs="宋体" w:eastAsia="宋体" w:hint="default"/>
                <w:sz w:val="18"/>
                <w:szCs w:val="18"/>
              </w:rPr>
            </w:pPr>
            <w:r>
              <w:rPr>
                <w:rFonts w:ascii="宋体" w:hAnsi="宋体" w:cs="宋体" w:eastAsia="宋体" w:hint="default"/>
                <w:sz w:val="18"/>
                <w:szCs w:val="18"/>
              </w:rPr>
              <w:t>预计收益</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5" w:right="36"/>
              <w:jc w:val="center"/>
              <w:rPr>
                <w:rFonts w:ascii="宋体" w:hAnsi="宋体" w:cs="宋体" w:eastAsia="宋体" w:hint="default"/>
                <w:sz w:val="18"/>
                <w:szCs w:val="18"/>
              </w:rPr>
            </w:pPr>
            <w:r>
              <w:rPr>
                <w:rFonts w:ascii="宋体" w:hAnsi="宋体" w:cs="宋体" w:eastAsia="宋体" w:hint="default"/>
                <w:sz w:val="18"/>
                <w:szCs w:val="18"/>
              </w:rPr>
              <w:t>报告期实 际损益金 额</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3" w:right="23"/>
              <w:jc w:val="both"/>
              <w:rPr>
                <w:rFonts w:ascii="宋体" w:hAnsi="宋体" w:cs="宋体" w:eastAsia="宋体" w:hint="default"/>
                <w:sz w:val="18"/>
                <w:szCs w:val="18"/>
              </w:rPr>
            </w:pPr>
            <w:r>
              <w:rPr>
                <w:rFonts w:ascii="宋体" w:hAnsi="宋体" w:cs="宋体" w:eastAsia="宋体" w:hint="default"/>
                <w:sz w:val="18"/>
                <w:szCs w:val="18"/>
              </w:rPr>
              <w:t>报告期 损益实 际收回 情况</w:t>
            </w:r>
          </w:p>
        </w:tc>
      </w:tr>
      <w:tr>
        <w:trPr>
          <w:trHeight w:val="403"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江苏银行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保本浮动</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47" w:right="0"/>
              <w:jc w:val="left"/>
              <w:rPr>
                <w:rFonts w:ascii="Times New Roman" w:hAnsi="Times New Roman" w:cs="Times New Roman" w:eastAsia="Times New Roman" w:hint="default"/>
                <w:sz w:val="18"/>
                <w:szCs w:val="18"/>
              </w:rPr>
            </w:pPr>
            <w:r>
              <w:rPr>
                <w:rFonts w:ascii="Times New Roman"/>
                <w:sz w:val="18"/>
              </w:rPr>
              <w:t>14,000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3" w:right="0"/>
              <w:jc w:val="left"/>
              <w:rPr>
                <w:rFonts w:ascii="宋体" w:hAnsi="宋体" w:cs="宋体" w:eastAsia="宋体" w:hint="default"/>
                <w:sz w:val="18"/>
                <w:szCs w:val="18"/>
              </w:rPr>
            </w:pPr>
            <w:r>
              <w:rPr>
                <w:rFonts w:ascii="宋体" w:hAnsi="宋体" w:cs="宋体" w:eastAsia="宋体" w:hint="default"/>
                <w:sz w:val="18"/>
                <w:szCs w:val="18"/>
              </w:rPr>
              <w:t>收益扣除</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6" w:right="0"/>
              <w:jc w:val="left"/>
              <w:rPr>
                <w:rFonts w:ascii="Times New Roman" w:hAnsi="Times New Roman" w:cs="Times New Roman" w:eastAsia="Times New Roman" w:hint="default"/>
                <w:sz w:val="18"/>
                <w:szCs w:val="18"/>
              </w:rPr>
            </w:pPr>
            <w:r>
              <w:rPr>
                <w:rFonts w:ascii="Times New Roman"/>
                <w:sz w:val="18"/>
              </w:rPr>
              <w:t>14,000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151.81</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5" w:right="0"/>
              <w:jc w:val="left"/>
              <w:rPr>
                <w:rFonts w:ascii="Times New Roman" w:hAnsi="Times New Roman" w:cs="Times New Roman" w:eastAsia="Times New Roman" w:hint="default"/>
                <w:sz w:val="18"/>
                <w:szCs w:val="18"/>
              </w:rPr>
            </w:pPr>
            <w:r>
              <w:rPr>
                <w:rFonts w:ascii="Times New Roman"/>
                <w:sz w:val="18"/>
              </w:rPr>
              <w:t>151.81</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全额收</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801"/>
        <w:gridCol w:w="832"/>
        <w:gridCol w:w="838"/>
        <w:gridCol w:w="876"/>
        <w:gridCol w:w="804"/>
        <w:gridCol w:w="804"/>
        <w:gridCol w:w="803"/>
        <w:gridCol w:w="804"/>
        <w:gridCol w:w="804"/>
        <w:gridCol w:w="802"/>
        <w:gridCol w:w="804"/>
        <w:gridCol w:w="599"/>
      </w:tblGrid>
      <w:tr>
        <w:trPr>
          <w:trHeight w:val="674"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46"/>
              <w:jc w:val="left"/>
              <w:rPr>
                <w:rFonts w:ascii="宋体" w:hAnsi="宋体" w:cs="宋体" w:eastAsia="宋体" w:hint="default"/>
                <w:sz w:val="18"/>
                <w:szCs w:val="18"/>
              </w:rPr>
            </w:pPr>
            <w:r>
              <w:rPr>
                <w:rFonts w:ascii="宋体" w:hAnsi="宋体" w:cs="宋体" w:eastAsia="宋体" w:hint="default"/>
                <w:sz w:val="18"/>
                <w:szCs w:val="18"/>
              </w:rPr>
              <w:t>北京中关 村支行</w:t>
            </w:r>
          </w:p>
        </w:tc>
        <w:tc>
          <w:tcPr>
            <w:tcW w:w="8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收益型</w:t>
            </w:r>
          </w:p>
        </w:tc>
        <w:tc>
          <w:tcPr>
            <w:tcW w:w="876" w:type="dxa"/>
            <w:tcBorders>
              <w:top w:val="single" w:sz="4" w:space="0" w:color="000000"/>
              <w:left w:val="single" w:sz="4" w:space="0" w:color="000000"/>
              <w:bottom w:val="single" w:sz="4" w:space="0" w:color="000000"/>
              <w:right w:val="single" w:sz="4" w:space="0" w:color="000000"/>
            </w:tcBorders>
          </w:tcPr>
          <w:p>
            <w:pP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47"/>
              <w:jc w:val="left"/>
              <w:rPr>
                <w:rFonts w:ascii="宋体" w:hAnsi="宋体" w:cs="宋体" w:eastAsia="宋体" w:hint="default"/>
                <w:sz w:val="18"/>
                <w:szCs w:val="18"/>
              </w:rPr>
            </w:pPr>
            <w:r>
              <w:rPr>
                <w:rFonts w:ascii="宋体" w:hAnsi="宋体" w:cs="宋体" w:eastAsia="宋体" w:hint="default"/>
                <w:sz w:val="18"/>
                <w:szCs w:val="18"/>
              </w:rPr>
              <w:t>销售费、 托管费</w:t>
            </w:r>
          </w:p>
        </w:tc>
        <w:tc>
          <w:tcPr>
            <w:tcW w:w="804" w:type="dxa"/>
            <w:tcBorders>
              <w:top w:val="single" w:sz="4" w:space="0" w:color="000000"/>
              <w:left w:val="single" w:sz="4" w:space="0" w:color="000000"/>
              <w:bottom w:val="single" w:sz="4" w:space="0" w:color="000000"/>
              <w:right w:val="single" w:sz="4" w:space="0" w:color="000000"/>
            </w:tcBorders>
          </w:tcPr>
          <w:p>
            <w:pP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804" w:type="dxa"/>
            <w:tcBorders>
              <w:top w:val="single" w:sz="4" w:space="0" w:color="000000"/>
              <w:left w:val="single" w:sz="4" w:space="0" w:color="000000"/>
              <w:bottom w:val="single" w:sz="4" w:space="0" w:color="000000"/>
              <w:right w:val="single" w:sz="4" w:space="0" w:color="000000"/>
            </w:tcBorders>
          </w:tcPr>
          <w:p>
            <w:pP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回</w:t>
            </w:r>
          </w:p>
        </w:tc>
      </w:tr>
      <w:tr>
        <w:trPr>
          <w:trHeight w:val="1650"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江苏银行 股份有限 公司北京 中关村支 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6"/>
              <w:ind w:left="22" w:right="83"/>
              <w:jc w:val="left"/>
              <w:rPr>
                <w:rFonts w:ascii="宋体" w:hAnsi="宋体" w:cs="宋体" w:eastAsia="宋体" w:hint="default"/>
                <w:sz w:val="18"/>
                <w:szCs w:val="18"/>
              </w:rPr>
            </w:pPr>
            <w:r>
              <w:rPr>
                <w:rFonts w:ascii="宋体" w:hAnsi="宋体" w:cs="宋体" w:eastAsia="宋体" w:hint="default"/>
                <w:sz w:val="18"/>
                <w:szCs w:val="18"/>
              </w:rPr>
              <w:t>保本浮动 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42.35</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42.35</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6"/>
              <w:ind w:left="22" w:right="24"/>
              <w:jc w:val="left"/>
              <w:rPr>
                <w:rFonts w:ascii="宋体" w:hAnsi="宋体" w:cs="宋体" w:eastAsia="宋体" w:hint="default"/>
                <w:sz w:val="18"/>
                <w:szCs w:val="18"/>
              </w:rPr>
            </w:pPr>
            <w:r>
              <w:rPr>
                <w:rFonts w:ascii="宋体" w:hAnsi="宋体" w:cs="宋体" w:eastAsia="宋体" w:hint="default"/>
                <w:sz w:val="18"/>
                <w:szCs w:val="18"/>
              </w:rPr>
              <w:t>全额收 回</w:t>
            </w:r>
          </w:p>
        </w:tc>
      </w:tr>
      <w:tr>
        <w:trPr>
          <w:trHeight w:val="1650"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江苏银行 股份有限 公司北京 中关村支 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83"/>
              <w:jc w:val="left"/>
              <w:rPr>
                <w:rFonts w:ascii="宋体" w:hAnsi="宋体" w:cs="宋体" w:eastAsia="宋体" w:hint="default"/>
                <w:sz w:val="18"/>
                <w:szCs w:val="18"/>
              </w:rPr>
            </w:pPr>
            <w:r>
              <w:rPr>
                <w:rFonts w:ascii="宋体" w:hAnsi="宋体" w:cs="宋体" w:eastAsia="宋体" w:hint="default"/>
                <w:sz w:val="18"/>
                <w:szCs w:val="18"/>
              </w:rPr>
              <w:t>非保本浮 动收益型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30.07</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30.07</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24"/>
              <w:jc w:val="left"/>
              <w:rPr>
                <w:rFonts w:ascii="宋体" w:hAnsi="宋体" w:cs="宋体" w:eastAsia="宋体" w:hint="default"/>
                <w:sz w:val="18"/>
                <w:szCs w:val="18"/>
              </w:rPr>
            </w:pPr>
            <w:r>
              <w:rPr>
                <w:rFonts w:ascii="宋体" w:hAnsi="宋体" w:cs="宋体" w:eastAsia="宋体" w:hint="default"/>
                <w:sz w:val="18"/>
                <w:szCs w:val="18"/>
              </w:rPr>
              <w:t>全额收 回</w:t>
            </w:r>
          </w:p>
        </w:tc>
      </w:tr>
      <w:tr>
        <w:trPr>
          <w:trHeight w:val="1650"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江苏银行 股份有限 公司北京 中关村支 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83"/>
              <w:jc w:val="left"/>
              <w:rPr>
                <w:rFonts w:ascii="宋体" w:hAnsi="宋体" w:cs="宋体" w:eastAsia="宋体" w:hint="default"/>
                <w:sz w:val="18"/>
                <w:szCs w:val="18"/>
              </w:rPr>
            </w:pPr>
            <w:r>
              <w:rPr>
                <w:rFonts w:ascii="宋体" w:hAnsi="宋体" w:cs="宋体" w:eastAsia="宋体" w:hint="default"/>
                <w:sz w:val="18"/>
                <w:szCs w:val="18"/>
              </w:rPr>
              <w:t>非保本浮 动收益型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3.29</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3.29</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24"/>
              <w:jc w:val="left"/>
              <w:rPr>
                <w:rFonts w:ascii="宋体" w:hAnsi="宋体" w:cs="宋体" w:eastAsia="宋体" w:hint="default"/>
                <w:sz w:val="18"/>
                <w:szCs w:val="18"/>
              </w:rPr>
            </w:pPr>
            <w:r>
              <w:rPr>
                <w:rFonts w:ascii="宋体" w:hAnsi="宋体" w:cs="宋体" w:eastAsia="宋体" w:hint="default"/>
                <w:sz w:val="18"/>
                <w:szCs w:val="18"/>
              </w:rPr>
              <w:t>全额收 回</w:t>
            </w:r>
          </w:p>
        </w:tc>
      </w:tr>
      <w:tr>
        <w:trPr>
          <w:trHeight w:val="1650"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江苏银行 股份有限 公司北京 中关村支 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83"/>
              <w:jc w:val="left"/>
              <w:rPr>
                <w:rFonts w:ascii="宋体" w:hAnsi="宋体" w:cs="宋体" w:eastAsia="宋体" w:hint="default"/>
                <w:sz w:val="18"/>
                <w:szCs w:val="18"/>
              </w:rPr>
            </w:pPr>
            <w:r>
              <w:rPr>
                <w:rFonts w:ascii="宋体" w:hAnsi="宋体" w:cs="宋体" w:eastAsia="宋体" w:hint="default"/>
                <w:sz w:val="18"/>
                <w:szCs w:val="18"/>
              </w:rPr>
              <w:t>非保本浮 动收益型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11.28</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11.28</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24"/>
              <w:jc w:val="left"/>
              <w:rPr>
                <w:rFonts w:ascii="宋体" w:hAnsi="宋体" w:cs="宋体" w:eastAsia="宋体" w:hint="default"/>
                <w:sz w:val="18"/>
                <w:szCs w:val="18"/>
              </w:rPr>
            </w:pPr>
            <w:r>
              <w:rPr>
                <w:rFonts w:ascii="宋体" w:hAnsi="宋体" w:cs="宋体" w:eastAsia="宋体" w:hint="default"/>
                <w:sz w:val="18"/>
                <w:szCs w:val="18"/>
              </w:rPr>
              <w:t>全额收 回</w:t>
            </w:r>
          </w:p>
        </w:tc>
      </w:tr>
      <w:tr>
        <w:trPr>
          <w:trHeight w:val="1338"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南京银行 股份有限 公司北京 分行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83"/>
              <w:jc w:val="left"/>
              <w:rPr>
                <w:rFonts w:ascii="宋体" w:hAnsi="宋体" w:cs="宋体" w:eastAsia="宋体" w:hint="default"/>
                <w:sz w:val="18"/>
                <w:szCs w:val="18"/>
              </w:rPr>
            </w:pPr>
            <w:r>
              <w:rPr>
                <w:rFonts w:ascii="宋体" w:hAnsi="宋体" w:cs="宋体" w:eastAsia="宋体" w:hint="default"/>
                <w:sz w:val="18"/>
                <w:szCs w:val="18"/>
              </w:rPr>
              <w:t>非保本浮 动收益型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15,000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15,000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66.16</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66.16</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24"/>
              <w:jc w:val="left"/>
              <w:rPr>
                <w:rFonts w:ascii="宋体" w:hAnsi="宋体" w:cs="宋体" w:eastAsia="宋体" w:hint="default"/>
                <w:sz w:val="18"/>
                <w:szCs w:val="18"/>
              </w:rPr>
            </w:pPr>
            <w:r>
              <w:rPr>
                <w:rFonts w:ascii="宋体" w:hAnsi="宋体" w:cs="宋体" w:eastAsia="宋体" w:hint="default"/>
                <w:sz w:val="18"/>
                <w:szCs w:val="18"/>
              </w:rPr>
              <w:t>全额收 回</w:t>
            </w:r>
          </w:p>
        </w:tc>
      </w:tr>
      <w:tr>
        <w:trPr>
          <w:trHeight w:val="1650"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江苏银行 股份有限 公司北京 中关村支 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83"/>
              <w:jc w:val="left"/>
              <w:rPr>
                <w:rFonts w:ascii="宋体" w:hAnsi="宋体" w:cs="宋体" w:eastAsia="宋体" w:hint="default"/>
                <w:sz w:val="18"/>
                <w:szCs w:val="18"/>
              </w:rPr>
            </w:pPr>
            <w:r>
              <w:rPr>
                <w:rFonts w:ascii="宋体" w:hAnsi="宋体" w:cs="宋体" w:eastAsia="宋体" w:hint="default"/>
                <w:sz w:val="18"/>
                <w:szCs w:val="18"/>
              </w:rPr>
              <w:t>非保本浮 动收益型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28.97</w:t>
            </w:r>
          </w:p>
        </w:tc>
        <w:tc>
          <w:tcPr>
            <w:tcW w:w="804" w:type="dxa"/>
            <w:tcBorders>
              <w:top w:val="single" w:sz="4" w:space="0" w:color="000000"/>
              <w:left w:val="single" w:sz="4" w:space="0" w:color="000000"/>
              <w:bottom w:val="single" w:sz="4" w:space="0" w:color="000000"/>
              <w:right w:val="single" w:sz="4" w:space="0" w:color="000000"/>
            </w:tcBorders>
          </w:tcPr>
          <w:p>
            <w:pP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24"/>
              <w:jc w:val="left"/>
              <w:rPr>
                <w:rFonts w:ascii="宋体" w:hAnsi="宋体" w:cs="宋体" w:eastAsia="宋体" w:hint="default"/>
                <w:sz w:val="18"/>
                <w:szCs w:val="18"/>
              </w:rPr>
            </w:pPr>
            <w:r>
              <w:rPr>
                <w:rFonts w:ascii="宋体" w:hAnsi="宋体" w:cs="宋体" w:eastAsia="宋体" w:hint="default"/>
                <w:sz w:val="18"/>
                <w:szCs w:val="18"/>
              </w:rPr>
              <w:t>未到期 未收回</w:t>
            </w:r>
          </w:p>
        </w:tc>
      </w:tr>
      <w:tr>
        <w:trPr>
          <w:trHeight w:val="1338"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南京银行 股份有限 公司北京 北辰支行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83"/>
              <w:jc w:val="left"/>
              <w:rPr>
                <w:rFonts w:ascii="宋体" w:hAnsi="宋体" w:cs="宋体" w:eastAsia="宋体" w:hint="default"/>
                <w:sz w:val="18"/>
                <w:szCs w:val="18"/>
              </w:rPr>
            </w:pPr>
            <w:r>
              <w:rPr>
                <w:rFonts w:ascii="宋体" w:hAnsi="宋体" w:cs="宋体" w:eastAsia="宋体" w:hint="default"/>
                <w:sz w:val="18"/>
                <w:szCs w:val="18"/>
              </w:rPr>
              <w:t>保本浮动 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20,000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20,000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80.55</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80.55</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24"/>
              <w:jc w:val="left"/>
              <w:rPr>
                <w:rFonts w:ascii="宋体" w:hAnsi="宋体" w:cs="宋体" w:eastAsia="宋体" w:hint="default"/>
                <w:sz w:val="18"/>
                <w:szCs w:val="18"/>
              </w:rPr>
            </w:pPr>
            <w:r>
              <w:rPr>
                <w:rFonts w:ascii="宋体" w:hAnsi="宋体" w:cs="宋体" w:eastAsia="宋体" w:hint="default"/>
                <w:sz w:val="18"/>
                <w:szCs w:val="18"/>
              </w:rPr>
              <w:t>全额收 回</w:t>
            </w:r>
          </w:p>
        </w:tc>
      </w:tr>
      <w:tr>
        <w:trPr>
          <w:trHeight w:val="1650" w:hRule="exact"/>
        </w:trPr>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6"/>
              <w:jc w:val="both"/>
              <w:rPr>
                <w:rFonts w:ascii="宋体" w:hAnsi="宋体" w:cs="宋体" w:eastAsia="宋体" w:hint="default"/>
                <w:sz w:val="18"/>
                <w:szCs w:val="18"/>
              </w:rPr>
            </w:pPr>
            <w:r>
              <w:rPr>
                <w:rFonts w:ascii="宋体" w:hAnsi="宋体" w:cs="宋体" w:eastAsia="宋体" w:hint="default"/>
                <w:sz w:val="18"/>
                <w:szCs w:val="18"/>
              </w:rPr>
              <w:t>江苏银行 股份有限 公司北京 中关村支 行</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83"/>
              <w:jc w:val="left"/>
              <w:rPr>
                <w:rFonts w:ascii="宋体" w:hAnsi="宋体" w:cs="宋体" w:eastAsia="宋体" w:hint="default"/>
                <w:sz w:val="18"/>
                <w:szCs w:val="18"/>
              </w:rPr>
            </w:pPr>
            <w:r>
              <w:rPr>
                <w:rFonts w:ascii="宋体" w:hAnsi="宋体" w:cs="宋体" w:eastAsia="宋体" w:hint="default"/>
                <w:sz w:val="18"/>
                <w:szCs w:val="18"/>
              </w:rPr>
              <w:t>保本浮动 收益型</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6,000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47"/>
              <w:jc w:val="both"/>
              <w:rPr>
                <w:rFonts w:ascii="宋体" w:hAnsi="宋体" w:cs="宋体" w:eastAsia="宋体" w:hint="default"/>
                <w:sz w:val="18"/>
                <w:szCs w:val="18"/>
              </w:rPr>
            </w:pPr>
            <w:r>
              <w:rPr>
                <w:rFonts w:ascii="宋体" w:hAnsi="宋体" w:cs="宋体" w:eastAsia="宋体" w:hint="default"/>
                <w:sz w:val="18"/>
                <w:szCs w:val="18"/>
              </w:rPr>
              <w:t>收益扣除 销售费、 托管费</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65.06</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65.06</w:t>
            </w:r>
          </w:p>
        </w:tc>
        <w:tc>
          <w:tcPr>
            <w:tcW w:w="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24"/>
              <w:jc w:val="left"/>
              <w:rPr>
                <w:rFonts w:ascii="宋体" w:hAnsi="宋体" w:cs="宋体" w:eastAsia="宋体" w:hint="default"/>
                <w:sz w:val="18"/>
                <w:szCs w:val="18"/>
              </w:rPr>
            </w:pPr>
            <w:r>
              <w:rPr>
                <w:rFonts w:ascii="宋体" w:hAnsi="宋体" w:cs="宋体" w:eastAsia="宋体" w:hint="default"/>
                <w:sz w:val="18"/>
                <w:szCs w:val="18"/>
              </w:rPr>
              <w:t>全额收 回</w:t>
            </w:r>
          </w:p>
        </w:tc>
      </w:tr>
      <w:tr>
        <w:trPr>
          <w:trHeight w:val="402" w:hRule="exact"/>
        </w:trPr>
        <w:tc>
          <w:tcPr>
            <w:tcW w:w="247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72,500</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72,500</w:t>
            </w:r>
          </w:p>
        </w:tc>
        <w:tc>
          <w:tcPr>
            <w:tcW w:w="804"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479.54</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450.57</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470"/>
        <w:gridCol w:w="7100"/>
      </w:tblGrid>
      <w:tr>
        <w:trPr>
          <w:trHeight w:val="402" w:hRule="exact"/>
        </w:trPr>
        <w:tc>
          <w:tcPr>
            <w:tcW w:w="2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委托理财资金来源</w:t>
            </w: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闲置募集资金、自有资金</w:t>
            </w:r>
          </w:p>
        </w:tc>
      </w:tr>
      <w:tr>
        <w:trPr>
          <w:trHeight w:val="714" w:hRule="exact"/>
        </w:trPr>
        <w:tc>
          <w:tcPr>
            <w:tcW w:w="2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逾期未收回的本金和收益累计 金额</w:t>
            </w: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涉诉情况（如适用）</w:t>
            </w: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24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319" w:lineRule="auto"/>
              <w:ind w:left="22" w:right="95"/>
              <w:jc w:val="left"/>
              <w:rPr>
                <w:rFonts w:ascii="Times New Roman" w:hAnsi="Times New Roman" w:cs="Times New Roman" w:eastAsia="Times New Roman" w:hint="default"/>
                <w:sz w:val="18"/>
                <w:szCs w:val="18"/>
              </w:rPr>
            </w:pPr>
            <w:r>
              <w:rPr>
                <w:rFonts w:ascii="宋体" w:hAnsi="宋体" w:cs="宋体" w:eastAsia="宋体" w:hint="default"/>
                <w:sz w:val="18"/>
                <w:szCs w:val="18"/>
              </w:rPr>
              <w:t>委托理财审批董事会公告披露 日期（如有</w:t>
            </w:r>
            <w:r>
              <w:rPr>
                <w:rFonts w:ascii="Times New Roman" w:hAnsi="Times New Roman" w:cs="Times New Roman" w:eastAsia="Times New Roman" w:hint="default"/>
                <w:sz w:val="18"/>
                <w:szCs w:val="18"/>
              </w:rPr>
              <w:t>)</w:t>
            </w: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470" w:type="dxa"/>
            <w:vMerge/>
            <w:tcBorders>
              <w:left w:val="single" w:sz="4" w:space="0" w:color="000000"/>
              <w:right w:val="single" w:sz="4" w:space="0" w:color="000000"/>
            </w:tcBorders>
            <w:shd w:val="clear" w:color="auto" w:fill="D2D2D2"/>
          </w:tcPr>
          <w:p>
            <w:pP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470" w:type="dxa"/>
            <w:vMerge/>
            <w:tcBorders>
              <w:left w:val="single" w:sz="4" w:space="0" w:color="000000"/>
              <w:bottom w:val="single" w:sz="4" w:space="0" w:color="000000"/>
              <w:right w:val="single" w:sz="4" w:space="0" w:color="000000"/>
            </w:tcBorders>
            <w:shd w:val="clear" w:color="auto" w:fill="D2D2D2"/>
          </w:tcPr>
          <w:p>
            <w:pP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14" w:hRule="exact"/>
        </w:trPr>
        <w:tc>
          <w:tcPr>
            <w:tcW w:w="2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5"/>
              <w:jc w:val="left"/>
              <w:rPr>
                <w:rFonts w:ascii="Times New Roman" w:hAnsi="Times New Roman" w:cs="Times New Roman" w:eastAsia="Times New Roman" w:hint="default"/>
                <w:sz w:val="18"/>
                <w:szCs w:val="18"/>
              </w:rPr>
            </w:pPr>
            <w:r>
              <w:rPr>
                <w:rFonts w:ascii="宋体" w:hAnsi="宋体" w:cs="宋体" w:eastAsia="宋体" w:hint="default"/>
                <w:sz w:val="18"/>
                <w:szCs w:val="18"/>
              </w:rPr>
              <w:t>委托理财审批股东会公告披露 日期（如有</w:t>
            </w:r>
            <w:r>
              <w:rPr>
                <w:rFonts w:ascii="Times New Roman" w:hAnsi="Times New Roman" w:cs="Times New Roman" w:eastAsia="Times New Roman" w:hint="default"/>
                <w:sz w:val="18"/>
                <w:szCs w:val="18"/>
              </w:rPr>
              <w:t>)</w:t>
            </w: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14" w:hRule="exact"/>
        </w:trPr>
        <w:tc>
          <w:tcPr>
            <w:tcW w:w="2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未来是否还有委托理财计划</w:t>
            </w:r>
          </w:p>
        </w:tc>
        <w:tc>
          <w:tcPr>
            <w:tcW w:w="71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44"/>
              <w:jc w:val="left"/>
              <w:rPr>
                <w:rFonts w:ascii="宋体" w:hAnsi="宋体" w:cs="宋体" w:eastAsia="宋体" w:hint="default"/>
                <w:sz w:val="18"/>
                <w:szCs w:val="18"/>
              </w:rPr>
            </w:pPr>
            <w:r>
              <w:rPr>
                <w:rFonts w:ascii="宋体" w:hAnsi="宋体" w:cs="宋体" w:eastAsia="宋体" w:hint="default"/>
                <w:sz w:val="18"/>
                <w:szCs w:val="18"/>
              </w:rPr>
              <w:t>公司将严格按照《深圳证券交易所创业板上市公司规范运作指引》募集资金管理规定及董 事会决议合理安排委托理财资金，尽最大努力提高资金的使用效率。</w:t>
            </w:r>
          </w:p>
        </w:tc>
      </w:tr>
    </w:tbl>
    <w:p>
      <w:pPr>
        <w:spacing w:line="240" w:lineRule="auto" w:before="10"/>
        <w:rPr>
          <w:rFonts w:ascii="Times New Roman" w:hAnsi="Times New Roman" w:cs="Times New Roman" w:eastAsia="Times New Roman" w:hint="default"/>
          <w:sz w:val="21"/>
          <w:szCs w:val="21"/>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）委托贷款情况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40" w:lineRule="auto" w:before="0"/>
        <w:ind w:left="154" w:right="74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公司报告期不存在委托贷款。</w:t>
      </w:r>
    </w:p>
    <w:p>
      <w:pPr>
        <w:spacing w:line="240" w:lineRule="auto" w:before="1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、其他重大合同</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9"/>
          <w:szCs w:val="19"/>
        </w:rPr>
      </w:pPr>
    </w:p>
    <w:p>
      <w:pPr>
        <w:spacing w:line="338" w:lineRule="auto" w:before="0"/>
        <w:ind w:left="154" w:right="70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公司报告期不存在其他重大合同。</w:t>
      </w:r>
    </w:p>
    <w:p>
      <w:pPr>
        <w:spacing w:line="240" w:lineRule="auto" w:before="6"/>
        <w:rPr>
          <w:rFonts w:ascii="宋体" w:hAnsi="宋体" w:cs="宋体" w:eastAsia="宋体" w:hint="default"/>
          <w:sz w:val="13"/>
          <w:szCs w:val="13"/>
        </w:rPr>
      </w:pPr>
    </w:p>
    <w:p>
      <w:pPr>
        <w:pStyle w:val="Heading2"/>
        <w:spacing w:line="240" w:lineRule="auto"/>
        <w:ind w:right="0"/>
        <w:jc w:val="left"/>
        <w:rPr>
          <w:b w:val="0"/>
          <w:bCs w:val="0"/>
        </w:rPr>
      </w:pPr>
      <w:r>
        <w:rPr/>
        <w:t>十七、其他重大事项的说明</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line="340" w:lineRule="auto" w:before="0"/>
        <w:ind w:left="154" w:right="61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公司报告期不存在需要说明的其他重大事项。</w:t>
      </w:r>
    </w:p>
    <w:p>
      <w:pPr>
        <w:spacing w:line="240" w:lineRule="auto" w:before="5"/>
        <w:rPr>
          <w:rFonts w:ascii="宋体" w:hAnsi="宋体" w:cs="宋体" w:eastAsia="宋体" w:hint="default"/>
          <w:sz w:val="13"/>
          <w:szCs w:val="13"/>
        </w:rPr>
      </w:pPr>
    </w:p>
    <w:p>
      <w:pPr>
        <w:pStyle w:val="Heading2"/>
        <w:spacing w:line="240" w:lineRule="auto"/>
        <w:ind w:right="0"/>
        <w:jc w:val="left"/>
        <w:rPr>
          <w:b w:val="0"/>
          <w:bCs w:val="0"/>
        </w:rPr>
      </w:pPr>
      <w:r>
        <w:rPr/>
        <w:t>十八、公司子公司重大事项</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十九、社会责任情况</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line="338" w:lineRule="auto" w:before="0"/>
        <w:ind w:left="154" w:right="343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详见公司在巨潮资讯网</w:t>
      </w:r>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上披露的</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年度社会责任报告</w:t>
      </w:r>
      <w:r>
        <w:rPr>
          <w:rFonts w:ascii="宋体" w:hAnsi="宋体" w:cs="宋体" w:eastAsia="宋体" w:hint="default"/>
          <w:w w:val="99"/>
          <w:sz w:val="18"/>
          <w:szCs w:val="18"/>
        </w:rPr>
        <w:t> </w:t>
      </w:r>
      <w:r>
        <w:rPr>
          <w:rFonts w:ascii="宋体" w:hAnsi="宋体" w:cs="宋体" w:eastAsia="宋体" w:hint="default"/>
          <w:sz w:val="18"/>
          <w:szCs w:val="18"/>
        </w:rPr>
        <w:t>上市公司及其子公司是否属于国家环境保护部门规定的重污染行业</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r>
        <w:rPr/>
        <w:t>二十、公司债券相关情况</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line="357" w:lineRule="auto" w:before="0"/>
        <w:ind w:left="154" w:right="1132"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457" w:lineRule="exact"/>
        <w:ind w:left="2966" w:right="0"/>
        <w:jc w:val="left"/>
        <w:rPr>
          <w:b w:val="0"/>
          <w:bCs w:val="0"/>
        </w:rPr>
      </w:pPr>
      <w:bookmarkStart w:name="_TOC_250005" w:id="6"/>
      <w:r>
        <w:rPr/>
        <w:t>第六节 </w:t>
      </w:r>
      <w:r>
        <w:rPr>
          <w:spacing w:val="7"/>
        </w:rPr>
        <w:t> </w:t>
      </w:r>
      <w:r>
        <w:rPr/>
        <w:t>股份变动及股东情况</w:t>
      </w:r>
      <w:bookmarkEnd w:id="6"/>
      <w:r>
        <w:rPr>
          <w:b w:val="0"/>
          <w:bCs w:val="0"/>
        </w:rPr>
      </w:r>
    </w:p>
    <w:p>
      <w:pPr>
        <w:spacing w:line="240" w:lineRule="auto" w:before="12"/>
        <w:rPr>
          <w:rFonts w:ascii="Microsoft JhengHei" w:hAnsi="Microsoft JhengHei" w:cs="Microsoft JhengHei" w:eastAsia="Microsoft JhengHei" w:hint="default"/>
          <w:b/>
          <w:bCs/>
          <w:sz w:val="25"/>
          <w:szCs w:val="25"/>
        </w:rPr>
      </w:pPr>
    </w:p>
    <w:p>
      <w:pPr>
        <w:pStyle w:val="Heading2"/>
        <w:spacing w:line="367" w:lineRule="exact"/>
        <w:ind w:right="0"/>
        <w:jc w:val="left"/>
        <w:rPr>
          <w:b w:val="0"/>
          <w:bCs w:val="0"/>
        </w:rPr>
      </w:pPr>
      <w:r>
        <w:rPr/>
        <w:t>一、股份变动情况</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、股份变动情况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228"/>
        <w:gridCol w:w="823"/>
        <w:gridCol w:w="824"/>
        <w:gridCol w:w="822"/>
        <w:gridCol w:w="822"/>
        <w:gridCol w:w="822"/>
        <w:gridCol w:w="822"/>
        <w:gridCol w:w="822"/>
        <w:gridCol w:w="794"/>
        <w:gridCol w:w="794"/>
      </w:tblGrid>
      <w:tr>
        <w:trPr>
          <w:trHeight w:val="402" w:hRule="exact"/>
        </w:trPr>
        <w:tc>
          <w:tcPr>
            <w:tcW w:w="2228" w:type="dxa"/>
            <w:vMerge w:val="restart"/>
            <w:tcBorders>
              <w:top w:val="single" w:sz="4" w:space="0" w:color="000000"/>
              <w:left w:val="single" w:sz="4" w:space="0" w:color="000000"/>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9"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4" w:hRule="exact"/>
        </w:trPr>
        <w:tc>
          <w:tcPr>
            <w:tcW w:w="2228" w:type="dxa"/>
            <w:vMerge/>
            <w:tcBorders>
              <w:left w:val="single" w:sz="4" w:space="0" w:color="000000"/>
              <w:bottom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6" w:right="43"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7,231,000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635,286,7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15</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642,517,7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852,517,7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75.63%</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7,231,000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635,286,7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15</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642,517,7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852,517,7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75.63%</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84,416,78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246,874,8</w:t>
            </w:r>
          </w:p>
          <w:p>
            <w:pPr>
              <w:pStyle w:val="TableParagraph"/>
              <w:spacing w:line="240" w:lineRule="auto" w:before="105"/>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331,291,5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29.39%</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3"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125,583,2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15</w:t>
            </w: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7,231,000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388,411,9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04</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z w:val="18"/>
              </w:rPr>
              <w:t>521,226,1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19</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46.24%</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204,713,2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78</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274,713,2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274,713,2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24.37%</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204,713,2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78</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274,713,2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274,713,2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24.37%</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24"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77,231,00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839,999,9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93</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917,230,9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93</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left"/>
              <w:rPr>
                <w:rFonts w:ascii="Times New Roman" w:hAnsi="Times New Roman" w:cs="Times New Roman" w:eastAsia="Times New Roman" w:hint="default"/>
                <w:sz w:val="18"/>
                <w:szCs w:val="18"/>
              </w:rPr>
            </w:pPr>
            <w:r>
              <w:rPr>
                <w:rFonts w:ascii="Times New Roman"/>
                <w:sz w:val="18"/>
              </w:rPr>
              <w:t>1,127,230</w:t>
            </w:r>
          </w:p>
          <w:p>
            <w:pPr>
              <w:pStyle w:val="TableParagraph"/>
              <w:spacing w:line="240" w:lineRule="auto" w:before="105"/>
              <w:ind w:left="447" w:right="0"/>
              <w:jc w:val="left"/>
              <w:rPr>
                <w:rFonts w:ascii="Times New Roman" w:hAnsi="Times New Roman" w:cs="Times New Roman" w:eastAsia="Times New Roman" w:hint="default"/>
                <w:sz w:val="18"/>
                <w:szCs w:val="18"/>
              </w:rPr>
            </w:pPr>
            <w:r>
              <w:rPr>
                <w:rFonts w:ascii="Times New Roman"/>
                <w:sz w:val="18"/>
              </w:rPr>
              <w:t>,993</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1"/>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日，公司在深交所创业板上市，发行</w:t>
      </w:r>
      <w:r>
        <w:rPr>
          <w:rFonts w:ascii="Times New Roman" w:hAnsi="Times New Roman" w:cs="Times New Roman" w:eastAsia="Times New Roman" w:hint="default"/>
          <w:sz w:val="18"/>
          <w:szCs w:val="18"/>
        </w:rPr>
        <w:t>7000</w:t>
      </w:r>
      <w:r>
        <w:rPr>
          <w:rFonts w:ascii="宋体" w:hAnsi="宋体" w:cs="宋体" w:eastAsia="宋体" w:hint="default"/>
          <w:sz w:val="18"/>
          <w:szCs w:val="18"/>
        </w:rPr>
        <w:t>万股流通股；</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r>
        <w:rPr>
          <w:rFonts w:ascii="宋体" w:hAnsi="宋体" w:cs="宋体" w:eastAsia="宋体" w:hint="default"/>
          <w:sz w:val="18"/>
          <w:szCs w:val="18"/>
        </w:rPr>
        <w:t>日，公司向内部中层管理人员定向发行</w:t>
      </w:r>
      <w:r>
        <w:rPr>
          <w:rFonts w:ascii="Times New Roman" w:hAnsi="Times New Roman" w:cs="Times New Roman" w:eastAsia="Times New Roman" w:hint="default"/>
          <w:sz w:val="18"/>
          <w:szCs w:val="18"/>
        </w:rPr>
        <w:t>723.1</w:t>
      </w:r>
      <w:r>
        <w:rPr>
          <w:rFonts w:ascii="宋体" w:hAnsi="宋体" w:cs="宋体" w:eastAsia="宋体" w:hint="default"/>
          <w:sz w:val="18"/>
          <w:szCs w:val="18"/>
        </w:rPr>
        <w:t>万股限制激励股；</w:t>
      </w:r>
    </w:p>
    <w:p>
      <w:pPr>
        <w:spacing w:line="340" w:lineRule="auto" w:before="63"/>
        <w:ind w:left="154" w:right="29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日，公司使用资本公积金向全体股东转增股份，共计转增</w:t>
      </w:r>
      <w:r>
        <w:rPr>
          <w:rFonts w:ascii="Times New Roman" w:hAnsi="Times New Roman" w:cs="Times New Roman" w:eastAsia="Times New Roman" w:hint="default"/>
          <w:sz w:val="18"/>
          <w:szCs w:val="18"/>
        </w:rPr>
        <w:t>839,999,993</w:t>
      </w:r>
      <w:r>
        <w:rPr>
          <w:rFonts w:ascii="宋体" w:hAnsi="宋体" w:cs="宋体" w:eastAsia="宋体" w:hint="default"/>
          <w:sz w:val="18"/>
          <w:szCs w:val="18"/>
        </w:rPr>
        <w:t>股。 股份变动的批准情况</w:t>
      </w:r>
    </w:p>
    <w:p>
      <w:pPr>
        <w:spacing w:line="338" w:lineRule="auto" w:before="41"/>
        <w:ind w:left="154" w:right="22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公司上市首次公开发行</w:t>
      </w:r>
      <w:r>
        <w:rPr>
          <w:rFonts w:ascii="Times New Roman" w:hAnsi="Times New Roman" w:cs="Times New Roman" w:eastAsia="Times New Roman" w:hint="default"/>
          <w:sz w:val="18"/>
          <w:szCs w:val="18"/>
        </w:rPr>
        <w:t>7000</w:t>
      </w:r>
      <w:r>
        <w:rPr>
          <w:rFonts w:ascii="宋体" w:hAnsi="宋体" w:cs="宋体" w:eastAsia="宋体" w:hint="default"/>
          <w:sz w:val="18"/>
          <w:szCs w:val="18"/>
        </w:rPr>
        <w:t>万流通股，已经经由中国证券监督管理委员会于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4</w:t>
      </w:r>
      <w:r>
        <w:rPr>
          <w:rFonts w:ascii="宋体" w:hAnsi="宋体" w:cs="宋体" w:eastAsia="宋体" w:hint="default"/>
          <w:sz w:val="18"/>
          <w:szCs w:val="18"/>
        </w:rPr>
        <w:t>日核准；</w:t>
      </w:r>
    </w:p>
    <w:p>
      <w:pPr>
        <w:spacing w:line="217"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公司定向发行的激励股权以及资本公积金转股，均已经由公司独立董事、公司董事会、公司股东大会审议通过，相关公告披</w:t>
      </w:r>
    </w:p>
    <w:p>
      <w:pPr>
        <w:spacing w:line="340" w:lineRule="auto" w:before="76"/>
        <w:ind w:left="154" w:right="4947" w:firstLine="0"/>
        <w:jc w:val="left"/>
        <w:rPr>
          <w:rFonts w:ascii="宋体" w:hAnsi="宋体" w:cs="宋体" w:eastAsia="宋体" w:hint="default"/>
          <w:sz w:val="18"/>
          <w:szCs w:val="18"/>
        </w:rPr>
      </w:pPr>
      <w:r>
        <w:rPr>
          <w:rFonts w:ascii="宋体" w:hAnsi="宋体" w:cs="宋体" w:eastAsia="宋体" w:hint="default"/>
          <w:sz w:val="18"/>
          <w:szCs w:val="18"/>
        </w:rPr>
        <w:t>露在证监会指定的巨潮资讯网上（</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w:t>
      </w:r>
      <w:r>
        <w:rPr>
          <w:rFonts w:ascii="宋体" w:hAnsi="宋体" w:cs="宋体" w:eastAsia="宋体" w:hint="default"/>
          <w:w w:val="99"/>
          <w:sz w:val="18"/>
          <w:szCs w:val="18"/>
        </w:rPr>
        <w:t> </w:t>
      </w:r>
      <w:r>
        <w:rPr>
          <w:rFonts w:ascii="宋体" w:hAnsi="宋体" w:cs="宋体" w:eastAsia="宋体" w:hint="default"/>
          <w:sz w:val="18"/>
          <w:szCs w:val="18"/>
        </w:rPr>
        <w:t>股份变动的过户情况</w:t>
      </w:r>
    </w:p>
    <w:p>
      <w:pPr>
        <w:spacing w:line="338" w:lineRule="auto" w:before="41"/>
        <w:ind w:left="154" w:right="252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上述发行的</w:t>
      </w:r>
      <w:r>
        <w:rPr>
          <w:rFonts w:ascii="Times New Roman" w:hAnsi="Times New Roman" w:cs="Times New Roman" w:eastAsia="Times New Roman" w:hint="default"/>
          <w:sz w:val="18"/>
          <w:szCs w:val="18"/>
        </w:rPr>
        <w:t>7000</w:t>
      </w:r>
      <w:r>
        <w:rPr>
          <w:rFonts w:ascii="宋体" w:hAnsi="宋体" w:cs="宋体" w:eastAsia="宋体" w:hint="default"/>
          <w:sz w:val="18"/>
          <w:szCs w:val="18"/>
        </w:rPr>
        <w:t>万股流通股、</w:t>
      </w:r>
      <w:r>
        <w:rPr>
          <w:rFonts w:ascii="Times New Roman" w:hAnsi="Times New Roman" w:cs="Times New Roman" w:eastAsia="Times New Roman" w:hint="default"/>
          <w:sz w:val="18"/>
          <w:szCs w:val="18"/>
        </w:rPr>
        <w:t>723.1</w:t>
      </w:r>
      <w:r>
        <w:rPr>
          <w:rFonts w:ascii="宋体" w:hAnsi="宋体" w:cs="宋体" w:eastAsia="宋体" w:hint="default"/>
          <w:sz w:val="18"/>
          <w:szCs w:val="18"/>
        </w:rPr>
        <w:t>万股激励股、</w:t>
      </w:r>
      <w:r>
        <w:rPr>
          <w:rFonts w:ascii="Times New Roman" w:hAnsi="Times New Roman" w:cs="Times New Roman" w:eastAsia="Times New Roman" w:hint="default"/>
          <w:sz w:val="18"/>
          <w:szCs w:val="18"/>
        </w:rPr>
        <w:t>839,999,993</w:t>
      </w:r>
      <w:r>
        <w:rPr>
          <w:rFonts w:ascii="宋体" w:hAnsi="宋体" w:cs="宋体" w:eastAsia="宋体" w:hint="default"/>
          <w:sz w:val="18"/>
          <w:szCs w:val="18"/>
        </w:rPr>
        <w:t>股公积金转股，均已完成过户。</w:t>
      </w:r>
    </w:p>
    <w:p>
      <w:pPr>
        <w:spacing w:before="22"/>
        <w:ind w:left="154" w:right="0" w:firstLine="0"/>
        <w:jc w:val="left"/>
        <w:rPr>
          <w:rFonts w:ascii="宋体" w:hAnsi="宋体" w:cs="宋体" w:eastAsia="宋体" w:hint="default"/>
          <w:sz w:val="18"/>
          <w:szCs w:val="18"/>
        </w:rPr>
      </w:pPr>
      <w:r>
        <w:rPr>
          <w:rFonts w:ascii="宋体" w:hAnsi="宋体" w:cs="宋体" w:eastAsia="宋体" w:hint="default"/>
          <w:sz w:val="18"/>
          <w:szCs w:val="18"/>
        </w:rPr>
        <w:t>股份变动对最近一年和最近一期基本每股收益和稀释每股收益、归属于公司普通股股东的每股净资产等财务指标的影响</w:t>
      </w:r>
    </w:p>
    <w:p>
      <w:pPr>
        <w:spacing w:after="0"/>
        <w:jc w:val="left"/>
        <w:rPr>
          <w:rFonts w:ascii="宋体" w:hAnsi="宋体" w:cs="宋体" w:eastAsia="宋体" w:hint="default"/>
          <w:sz w:val="18"/>
          <w:szCs w:val="18"/>
        </w:rPr>
        <w:sectPr>
          <w:footerReference w:type="default" r:id="rId44"/>
          <w:pgSz w:w="11910" w:h="16840"/>
          <w:pgMar w:footer="979" w:header="747" w:top="1060" w:bottom="1160" w:left="980" w:right="980"/>
          <w:pgNumType w:start="70"/>
        </w:sectPr>
      </w:pPr>
    </w:p>
    <w:p>
      <w:pPr>
        <w:spacing w:line="240" w:lineRule="auto" w:before="13"/>
        <w:rPr>
          <w:rFonts w:ascii="宋体" w:hAnsi="宋体" w:cs="宋体" w:eastAsia="宋体" w:hint="default"/>
          <w:sz w:val="25"/>
          <w:szCs w:val="25"/>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0" w:lineRule="auto" w:before="101"/>
        <w:ind w:left="154" w:right="137" w:firstLine="0"/>
        <w:jc w:val="left"/>
        <w:rPr>
          <w:rFonts w:ascii="宋体" w:hAnsi="宋体" w:cs="宋体" w:eastAsia="宋体" w:hint="default"/>
          <w:sz w:val="18"/>
          <w:szCs w:val="18"/>
        </w:rPr>
      </w:pPr>
      <w:r>
        <w:rPr>
          <w:rFonts w:ascii="宋体" w:hAnsi="宋体" w:cs="宋体" w:eastAsia="宋体" w:hint="default"/>
          <w:sz w:val="18"/>
          <w:szCs w:val="18"/>
        </w:rPr>
        <w:t>由于股份总数增加，根据《企业会计准则第 </w:t>
      </w:r>
      <w:r>
        <w:rPr>
          <w:rFonts w:ascii="Times New Roman" w:hAnsi="Times New Roman" w:cs="Times New Roman" w:eastAsia="Times New Roman" w:hint="default"/>
          <w:sz w:val="18"/>
          <w:szCs w:val="18"/>
        </w:rPr>
        <w:t>34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每股收益》以及《公开发行证券的公司信息披露编报规则第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净资产 </w:t>
      </w:r>
      <w:r>
        <w:rPr>
          <w:rFonts w:ascii="宋体" w:hAnsi="宋体" w:cs="宋体" w:eastAsia="宋体" w:hint="default"/>
          <w:spacing w:val="-2"/>
          <w:sz w:val="18"/>
          <w:szCs w:val="18"/>
        </w:rPr>
        <w:t>收益率和每股收益的计算及披露》的相关规定，公司对</w:t>
      </w:r>
      <w:r>
        <w:rPr>
          <w:rFonts w:ascii="Times New Roman" w:hAnsi="Times New Roman" w:cs="Times New Roman" w:eastAsia="Times New Roman" w:hint="default"/>
          <w:spacing w:val="-2"/>
          <w:sz w:val="18"/>
          <w:szCs w:val="18"/>
        </w:rPr>
        <w:t>2014</w:t>
      </w:r>
      <w:r>
        <w:rPr>
          <w:rFonts w:ascii="宋体" w:hAnsi="宋体" w:cs="宋体" w:eastAsia="宋体" w:hint="default"/>
          <w:spacing w:val="-2"/>
          <w:sz w:val="18"/>
          <w:szCs w:val="18"/>
        </w:rPr>
        <w:t>年度和</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年半年度的基本每股收益进行了重新计算，</w:t>
      </w:r>
      <w:r>
        <w:rPr>
          <w:rFonts w:ascii="Times New Roman" w:hAnsi="Times New Roman" w:cs="Times New Roman" w:eastAsia="Times New Roman" w:hint="default"/>
          <w:spacing w:val="-2"/>
          <w:sz w:val="18"/>
          <w:szCs w:val="18"/>
        </w:rPr>
        <w:t>2014</w:t>
      </w:r>
      <w:r>
        <w:rPr>
          <w:rFonts w:ascii="宋体" w:hAnsi="宋体" w:cs="宋体" w:eastAsia="宋体" w:hint="default"/>
          <w:spacing w:val="-2"/>
          <w:sz w:val="18"/>
          <w:szCs w:val="18"/>
        </w:rPr>
        <w:t>年度</w:t>
      </w:r>
      <w:r>
        <w:rPr>
          <w:rFonts w:ascii="宋体" w:hAnsi="宋体" w:cs="宋体" w:eastAsia="宋体" w:hint="default"/>
          <w:spacing w:val="-54"/>
          <w:sz w:val="18"/>
          <w:szCs w:val="18"/>
        </w:rPr>
        <w:t> </w:t>
      </w:r>
      <w:r>
        <w:rPr>
          <w:rFonts w:ascii="宋体" w:hAnsi="宋体" w:cs="宋体" w:eastAsia="宋体" w:hint="default"/>
          <w:sz w:val="18"/>
          <w:szCs w:val="18"/>
        </w:rPr>
        <w:t>的基本每股收益由</w:t>
      </w:r>
      <w:r>
        <w:rPr>
          <w:rFonts w:ascii="Times New Roman" w:hAnsi="Times New Roman" w:cs="Times New Roman" w:eastAsia="Times New Roman" w:hint="default"/>
          <w:sz w:val="18"/>
          <w:szCs w:val="18"/>
        </w:rPr>
        <w:t>1.55</w:t>
      </w:r>
      <w:r>
        <w:rPr>
          <w:rFonts w:ascii="宋体" w:hAnsi="宋体" w:cs="宋体" w:eastAsia="宋体" w:hint="default"/>
          <w:sz w:val="18"/>
          <w:szCs w:val="18"/>
        </w:rPr>
        <w:t>元调整为</w:t>
      </w:r>
      <w:r>
        <w:rPr>
          <w:rFonts w:ascii="Times New Roman" w:hAnsi="Times New Roman" w:cs="Times New Roman" w:eastAsia="Times New Roman" w:hint="default"/>
          <w:sz w:val="18"/>
          <w:szCs w:val="18"/>
        </w:rPr>
        <w:t>0.39</w:t>
      </w:r>
      <w:r>
        <w:rPr>
          <w:rFonts w:ascii="宋体" w:hAnsi="宋体" w:cs="宋体" w:eastAsia="宋体" w:hint="default"/>
          <w:sz w:val="18"/>
          <w:szCs w:val="18"/>
        </w:rPr>
        <w:t>元，</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年半年度的基本每股收益由</w:t>
      </w:r>
      <w:r>
        <w:rPr>
          <w:rFonts w:ascii="Times New Roman" w:hAnsi="Times New Roman" w:cs="Times New Roman" w:eastAsia="Times New Roman" w:hint="default"/>
          <w:sz w:val="18"/>
          <w:szCs w:val="18"/>
        </w:rPr>
        <w:t>0.7</w:t>
      </w:r>
      <w:r>
        <w:rPr>
          <w:rFonts w:ascii="宋体" w:hAnsi="宋体" w:cs="宋体" w:eastAsia="宋体" w:hint="default"/>
          <w:sz w:val="18"/>
          <w:szCs w:val="18"/>
        </w:rPr>
        <w:t>元调整为</w:t>
      </w:r>
      <w:r>
        <w:rPr>
          <w:rFonts w:ascii="Times New Roman" w:hAnsi="Times New Roman" w:cs="Times New Roman" w:eastAsia="Times New Roman" w:hint="default"/>
          <w:sz w:val="18"/>
          <w:szCs w:val="18"/>
        </w:rPr>
        <w:t>0.17</w:t>
      </w:r>
      <w:r>
        <w:rPr>
          <w:rFonts w:ascii="宋体" w:hAnsi="宋体" w:cs="宋体" w:eastAsia="宋体" w:hint="default"/>
          <w:sz w:val="18"/>
          <w:szCs w:val="18"/>
        </w:rPr>
        <w:t>元。 归属于公司普通股股东的每股净资产，</w:t>
      </w:r>
      <w:r>
        <w:rPr>
          <w:rFonts w:ascii="Times New Roman" w:hAnsi="Times New Roman" w:cs="Times New Roman" w:eastAsia="Times New Roman" w:hint="default"/>
          <w:sz w:val="18"/>
          <w:szCs w:val="18"/>
        </w:rPr>
        <w:t>2014</w:t>
      </w:r>
      <w:r>
        <w:rPr>
          <w:rFonts w:ascii="宋体" w:hAnsi="宋体" w:cs="宋体" w:eastAsia="宋体" w:hint="default"/>
          <w:sz w:val="18"/>
          <w:szCs w:val="18"/>
        </w:rPr>
        <w:t>年度报告期末为</w:t>
      </w:r>
      <w:r>
        <w:rPr>
          <w:rFonts w:ascii="Times New Roman" w:hAnsi="Times New Roman" w:cs="Times New Roman" w:eastAsia="Times New Roman" w:hint="default"/>
          <w:sz w:val="18"/>
          <w:szCs w:val="18"/>
        </w:rPr>
        <w:t>4.82</w:t>
      </w:r>
      <w:r>
        <w:rPr>
          <w:rFonts w:ascii="宋体" w:hAnsi="宋体" w:cs="宋体" w:eastAsia="宋体" w:hint="default"/>
          <w:sz w:val="18"/>
          <w:szCs w:val="18"/>
        </w:rPr>
        <w:t>元，</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年度报告期末为</w:t>
      </w:r>
      <w:r>
        <w:rPr>
          <w:rFonts w:ascii="Times New Roman" w:hAnsi="Times New Roman" w:cs="Times New Roman" w:eastAsia="Times New Roman" w:hint="default"/>
          <w:sz w:val="18"/>
          <w:szCs w:val="18"/>
        </w:rPr>
        <w:t>2.44</w:t>
      </w:r>
      <w:r>
        <w:rPr>
          <w:rFonts w:ascii="宋体" w:hAnsi="宋体" w:cs="宋体" w:eastAsia="宋体" w:hint="default"/>
          <w:sz w:val="18"/>
          <w:szCs w:val="18"/>
        </w:rPr>
        <w:t>元。</w:t>
      </w:r>
    </w:p>
    <w:p>
      <w:pPr>
        <w:spacing w:before="53"/>
        <w:ind w:left="154" w:right="0" w:firstLine="0"/>
        <w:jc w:val="left"/>
        <w:rPr>
          <w:rFonts w:ascii="宋体" w:hAnsi="宋体" w:cs="宋体" w:eastAsia="宋体" w:hint="default"/>
          <w:sz w:val="18"/>
          <w:szCs w:val="18"/>
        </w:rPr>
      </w:pPr>
      <w:r>
        <w:rPr>
          <w:rFonts w:ascii="宋体" w:hAnsi="宋体" w:cs="宋体" w:eastAsia="宋体" w:hint="default"/>
          <w:sz w:val="18"/>
          <w:szCs w:val="18"/>
        </w:rPr>
        <w:t>公司认为必要或证券监管机构要求披露的其他内容</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、限售股份变动情况</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79"/>
        <w:gridCol w:w="1349"/>
        <w:gridCol w:w="1349"/>
        <w:gridCol w:w="1349"/>
        <w:gridCol w:w="1349"/>
        <w:gridCol w:w="1350"/>
        <w:gridCol w:w="1345"/>
      </w:tblGrid>
      <w:tr>
        <w:trPr>
          <w:trHeight w:val="714" w:hRule="exact"/>
        </w:trPr>
        <w:tc>
          <w:tcPr>
            <w:tcW w:w="1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3"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78" w:right="39"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78" w:right="38"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 w:right="0"/>
              <w:jc w:val="left"/>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100,793,792</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294,768,966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395,562,758</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盈瑞世纪</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51,066,210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149,341,875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200,408,085</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14,873,654</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43,497,635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58,371,289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9,915,769</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28,998,422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38,914,191</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昆仑博观</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8,071,436</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23,604,716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31,676,152</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昆仑博远</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6,802,218</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19,892,919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26,695,137</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华为控股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6,300,000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18,424,195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24,724,195</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东方富海（芜湖）</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3,470,519</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10,149,448</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13,619,967</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银德创投</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2,692,310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7,873,594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10,565,904</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鼎麟科创</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2,692,310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7,873,594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10,565,904</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
              <w:jc w:val="left"/>
              <w:rPr>
                <w:rFonts w:ascii="宋体" w:hAnsi="宋体" w:cs="宋体" w:eastAsia="宋体" w:hint="default"/>
                <w:sz w:val="18"/>
                <w:szCs w:val="18"/>
              </w:rPr>
            </w:pPr>
            <w:r>
              <w:rPr>
                <w:rFonts w:ascii="宋体" w:hAnsi="宋体" w:cs="宋体" w:eastAsia="宋体" w:hint="default"/>
                <w:sz w:val="18"/>
                <w:szCs w:val="18"/>
              </w:rPr>
              <w:t>东方富海（芜湖） 二号</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1,487,365</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4,349,762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5,837,127</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澜讯科信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1,487,365</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4,349,762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5,837,127</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小村申祥</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173,526</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507,473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680,999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79"/>
        <w:gridCol w:w="1349"/>
        <w:gridCol w:w="1349"/>
        <w:gridCol w:w="1349"/>
        <w:gridCol w:w="1349"/>
        <w:gridCol w:w="1350"/>
        <w:gridCol w:w="1345"/>
      </w:tblGrid>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星泰投资</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173,526</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507,473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680,999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限售承诺</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股权激励员工</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28,377,881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28,377,881</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激励计划锁定期</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402" w:hRule="exact"/>
        </w:trPr>
        <w:tc>
          <w:tcPr>
            <w:tcW w:w="1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210,000,000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642,517,715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852,517,715</w:t>
            </w:r>
          </w:p>
        </w:tc>
        <w:tc>
          <w:tcPr>
            <w:tcW w:w="13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8"/>
          <w:szCs w:val="18"/>
        </w:rPr>
      </w:pPr>
    </w:p>
    <w:p>
      <w:pPr>
        <w:pStyle w:val="Heading2"/>
        <w:spacing w:line="367" w:lineRule="exact"/>
        <w:ind w:right="0"/>
        <w:jc w:val="left"/>
        <w:rPr>
          <w:b w:val="0"/>
          <w:bCs w:val="0"/>
        </w:rPr>
      </w:pPr>
      <w:r>
        <w:rPr/>
        <w:t>二、证券发行与上市情况</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、报告期内证券发行（不含优先股）情况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13"/>
        <w:gridCol w:w="1292"/>
        <w:gridCol w:w="1295"/>
        <w:gridCol w:w="1296"/>
        <w:gridCol w:w="1296"/>
        <w:gridCol w:w="1295"/>
        <w:gridCol w:w="1682"/>
      </w:tblGrid>
      <w:tr>
        <w:trPr>
          <w:trHeight w:val="714" w:hRule="exact"/>
        </w:trPr>
        <w:tc>
          <w:tcPr>
            <w:tcW w:w="14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1" w:right="70" w:hanging="361"/>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2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62" w:right="22" w:hanging="440"/>
              <w:jc w:val="left"/>
              <w:rPr>
                <w:rFonts w:ascii="宋体" w:hAnsi="宋体" w:cs="宋体" w:eastAsia="宋体" w:hint="default"/>
                <w:sz w:val="18"/>
                <w:szCs w:val="18"/>
              </w:rPr>
            </w:pPr>
            <w:r>
              <w:rPr>
                <w:rFonts w:ascii="宋体" w:hAnsi="宋体" w:cs="宋体" w:eastAsia="宋体" w:hint="default"/>
                <w:spacing w:val="-4"/>
                <w:sz w:val="18"/>
                <w:szCs w:val="18"/>
              </w:rPr>
              <w:t>发行价格（或利</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率）</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2"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1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62" w:right="101" w:hanging="361"/>
              <w:jc w:val="left"/>
              <w:rPr>
                <w:rFonts w:ascii="宋体" w:hAnsi="宋体" w:cs="宋体" w:eastAsia="宋体" w:hint="default"/>
                <w:sz w:val="18"/>
                <w:szCs w:val="18"/>
              </w:rPr>
            </w:pPr>
            <w:r>
              <w:rPr>
                <w:rFonts w:ascii="宋体" w:hAnsi="宋体" w:cs="宋体" w:eastAsia="宋体" w:hint="default"/>
                <w:sz w:val="18"/>
                <w:szCs w:val="18"/>
              </w:rPr>
              <w:t>获准上市交易 数量</w:t>
            </w:r>
          </w:p>
        </w:tc>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6"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2"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714" w:hRule="exact"/>
        </w:trPr>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70,000,000</w:t>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限制性激励股</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36.69</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7,231,000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7,231,000</w:t>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402" w:hRule="exact"/>
        </w:trPr>
        <w:tc>
          <w:tcPr>
            <w:tcW w:w="957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报告期内证券发行（不含优先股）情况的说明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、公司股份总数及股东结构的变动、公司资产和负债结构的变动情况说明</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1"/>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日，公司在深交所创业板上市，发行</w:t>
      </w:r>
      <w:r>
        <w:rPr>
          <w:rFonts w:ascii="Times New Roman" w:hAnsi="Times New Roman" w:cs="Times New Roman" w:eastAsia="Times New Roman" w:hint="default"/>
          <w:sz w:val="18"/>
          <w:szCs w:val="18"/>
        </w:rPr>
        <w:t>7000</w:t>
      </w:r>
      <w:r>
        <w:rPr>
          <w:rFonts w:ascii="宋体" w:hAnsi="宋体" w:cs="宋体" w:eastAsia="宋体" w:hint="default"/>
          <w:sz w:val="18"/>
          <w:szCs w:val="18"/>
        </w:rPr>
        <w:t>万股流通股；</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r>
        <w:rPr>
          <w:rFonts w:ascii="宋体" w:hAnsi="宋体" w:cs="宋体" w:eastAsia="宋体" w:hint="default"/>
          <w:sz w:val="18"/>
          <w:szCs w:val="18"/>
        </w:rPr>
        <w:t>日，公司向内部中层管理人员定向发行</w:t>
      </w:r>
      <w:r>
        <w:rPr>
          <w:rFonts w:ascii="Times New Roman" w:hAnsi="Times New Roman" w:cs="Times New Roman" w:eastAsia="Times New Roman" w:hint="default"/>
          <w:sz w:val="18"/>
          <w:szCs w:val="18"/>
        </w:rPr>
        <w:t>723.1</w:t>
      </w:r>
      <w:r>
        <w:rPr>
          <w:rFonts w:ascii="宋体" w:hAnsi="宋体" w:cs="宋体" w:eastAsia="宋体" w:hint="default"/>
          <w:sz w:val="18"/>
          <w:szCs w:val="18"/>
        </w:rPr>
        <w:t>万股限制激励股；</w:t>
      </w:r>
    </w:p>
    <w:p>
      <w:pPr>
        <w:spacing w:line="300" w:lineRule="auto" w:before="63"/>
        <w:ind w:left="154" w:right="14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日，公司使用资本公积金向全体股东转增股份，共计转增</w:t>
      </w:r>
      <w:r>
        <w:rPr>
          <w:rFonts w:ascii="Times New Roman" w:hAnsi="Times New Roman" w:cs="Times New Roman" w:eastAsia="Times New Roman" w:hint="default"/>
          <w:sz w:val="18"/>
          <w:szCs w:val="18"/>
        </w:rPr>
        <w:t>839,999,993</w:t>
      </w:r>
      <w:r>
        <w:rPr>
          <w:rFonts w:ascii="宋体" w:hAnsi="宋体" w:cs="宋体" w:eastAsia="宋体" w:hint="default"/>
          <w:sz w:val="18"/>
          <w:szCs w:val="18"/>
        </w:rPr>
        <w:t>股。 以上报告期内，公司累计新增股份</w:t>
      </w:r>
      <w:r>
        <w:rPr>
          <w:rFonts w:ascii="Times New Roman" w:hAnsi="Times New Roman" w:cs="Times New Roman" w:eastAsia="Times New Roman" w:hint="default"/>
          <w:sz w:val="18"/>
          <w:szCs w:val="18"/>
        </w:rPr>
        <w:t>917,230,993</w:t>
      </w:r>
      <w:r>
        <w:rPr>
          <w:rFonts w:ascii="宋体" w:hAnsi="宋体" w:cs="宋体" w:eastAsia="宋体" w:hint="default"/>
          <w:sz w:val="18"/>
          <w:szCs w:val="18"/>
        </w:rPr>
        <w:t>股，股份总数增加至</w:t>
      </w:r>
      <w:r>
        <w:rPr>
          <w:rFonts w:ascii="Times New Roman" w:hAnsi="Times New Roman" w:cs="Times New Roman" w:eastAsia="Times New Roman" w:hint="default"/>
          <w:sz w:val="18"/>
          <w:szCs w:val="18"/>
        </w:rPr>
        <w:t>1,127,230,993</w:t>
      </w:r>
      <w:r>
        <w:rPr>
          <w:rFonts w:ascii="宋体" w:hAnsi="宋体" w:cs="宋体" w:eastAsia="宋体" w:hint="default"/>
          <w:sz w:val="18"/>
          <w:szCs w:val="18"/>
        </w:rPr>
        <w:t>股。因公司上市首次发行</w:t>
      </w:r>
      <w:r>
        <w:rPr>
          <w:rFonts w:ascii="Times New Roman" w:hAnsi="Times New Roman" w:cs="Times New Roman" w:eastAsia="Times New Roman" w:hint="default"/>
          <w:sz w:val="18"/>
          <w:szCs w:val="18"/>
        </w:rPr>
        <w:t>A</w:t>
      </w:r>
      <w:r>
        <w:rPr>
          <w:rFonts w:ascii="宋体" w:hAnsi="宋体" w:cs="宋体" w:eastAsia="宋体" w:hint="default"/>
          <w:sz w:val="18"/>
          <w:szCs w:val="18"/>
        </w:rPr>
        <w:t>股普通股，截止 </w:t>
      </w:r>
      <w:r>
        <w:rPr>
          <w:rFonts w:ascii="宋体" w:hAnsi="宋体" w:cs="宋体" w:eastAsia="宋体" w:hint="default"/>
          <w:spacing w:val="-2"/>
          <w:sz w:val="18"/>
          <w:szCs w:val="18"/>
        </w:rPr>
        <w:t>报告期末，公司持有无限售条件</w:t>
      </w:r>
      <w:r>
        <w:rPr>
          <w:rFonts w:ascii="Times New Roman" w:hAnsi="Times New Roman" w:cs="Times New Roman" w:eastAsia="Times New Roman" w:hint="default"/>
          <w:spacing w:val="-2"/>
          <w:sz w:val="18"/>
          <w:szCs w:val="18"/>
        </w:rPr>
        <w:t>A</w:t>
      </w:r>
      <w:r>
        <w:rPr>
          <w:rFonts w:ascii="宋体" w:hAnsi="宋体" w:cs="宋体" w:eastAsia="宋体" w:hint="default"/>
          <w:spacing w:val="-2"/>
          <w:sz w:val="18"/>
          <w:szCs w:val="18"/>
        </w:rPr>
        <w:t>股流通股的股东占股比例由报告期初的</w:t>
      </w:r>
      <w:r>
        <w:rPr>
          <w:rFonts w:ascii="Times New Roman" w:hAnsi="Times New Roman" w:cs="Times New Roman" w:eastAsia="Times New Roman" w:hint="default"/>
          <w:spacing w:val="-2"/>
          <w:sz w:val="18"/>
          <w:szCs w:val="18"/>
        </w:rPr>
        <w:t>0%</w:t>
      </w:r>
      <w:r>
        <w:rPr>
          <w:rFonts w:ascii="宋体" w:hAnsi="宋体" w:cs="宋体" w:eastAsia="宋体" w:hint="default"/>
          <w:spacing w:val="-2"/>
          <w:sz w:val="18"/>
          <w:szCs w:val="18"/>
        </w:rPr>
        <w:t>增加至</w:t>
      </w:r>
      <w:r>
        <w:rPr>
          <w:rFonts w:ascii="Times New Roman" w:hAnsi="Times New Roman" w:cs="Times New Roman" w:eastAsia="Times New Roman" w:hint="default"/>
          <w:spacing w:val="-2"/>
          <w:sz w:val="18"/>
          <w:szCs w:val="18"/>
        </w:rPr>
        <w:t>24.37%</w:t>
      </w:r>
      <w:r>
        <w:rPr>
          <w:rFonts w:ascii="宋体" w:hAnsi="宋体" w:cs="宋体" w:eastAsia="宋体" w:hint="default"/>
          <w:spacing w:val="-2"/>
          <w:sz w:val="18"/>
          <w:szCs w:val="18"/>
        </w:rPr>
        <w:t>；公司持有限售条件</w:t>
      </w:r>
      <w:r>
        <w:rPr>
          <w:rFonts w:ascii="Times New Roman" w:hAnsi="Times New Roman" w:cs="Times New Roman" w:eastAsia="Times New Roman" w:hint="default"/>
          <w:spacing w:val="-2"/>
          <w:sz w:val="18"/>
          <w:szCs w:val="18"/>
        </w:rPr>
        <w:t>A</w:t>
      </w:r>
      <w:r>
        <w:rPr>
          <w:rFonts w:ascii="宋体" w:hAnsi="宋体" w:cs="宋体" w:eastAsia="宋体" w:hint="default"/>
          <w:spacing w:val="-2"/>
          <w:sz w:val="18"/>
          <w:szCs w:val="18"/>
        </w:rPr>
        <w:t>股股份的股</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z w:val="18"/>
          <w:szCs w:val="18"/>
        </w:rPr>
        <w:t>东占股比例由报告起初的</w:t>
      </w:r>
      <w:r>
        <w:rPr>
          <w:rFonts w:ascii="Times New Roman" w:hAnsi="Times New Roman" w:cs="Times New Roman" w:eastAsia="Times New Roman" w:hint="default"/>
          <w:sz w:val="18"/>
          <w:szCs w:val="18"/>
        </w:rPr>
        <w:t>100%</w:t>
      </w:r>
      <w:r>
        <w:rPr>
          <w:rFonts w:ascii="宋体" w:hAnsi="宋体" w:cs="宋体" w:eastAsia="宋体" w:hint="default"/>
          <w:sz w:val="18"/>
          <w:szCs w:val="18"/>
        </w:rPr>
        <w:t>下降至</w:t>
      </w:r>
      <w:r>
        <w:rPr>
          <w:rFonts w:ascii="Times New Roman" w:hAnsi="Times New Roman" w:cs="Times New Roman" w:eastAsia="Times New Roman" w:hint="default"/>
          <w:sz w:val="18"/>
          <w:szCs w:val="18"/>
        </w:rPr>
        <w:t>75.63%</w:t>
      </w:r>
      <w:r>
        <w:rPr>
          <w:rFonts w:ascii="宋体" w:hAnsi="宋体" w:cs="宋体" w:eastAsia="宋体" w:hint="default"/>
          <w:sz w:val="18"/>
          <w:szCs w:val="18"/>
        </w:rPr>
        <w:t>。</w:t>
      </w:r>
    </w:p>
    <w:p>
      <w:pPr>
        <w:spacing w:before="13"/>
        <w:ind w:left="154" w:right="0" w:firstLine="0"/>
        <w:jc w:val="left"/>
        <w:rPr>
          <w:rFonts w:ascii="宋体" w:hAnsi="宋体" w:cs="宋体" w:eastAsia="宋体" w:hint="default"/>
          <w:sz w:val="18"/>
          <w:szCs w:val="18"/>
        </w:rPr>
      </w:pPr>
      <w:r>
        <w:rPr>
          <w:rFonts w:ascii="宋体" w:hAnsi="宋体" w:cs="宋体" w:eastAsia="宋体" w:hint="default"/>
          <w:sz w:val="18"/>
          <w:szCs w:val="18"/>
        </w:rPr>
        <w:t>因公司上市首次发行</w:t>
      </w:r>
      <w:r>
        <w:rPr>
          <w:rFonts w:ascii="Times New Roman" w:hAnsi="Times New Roman" w:cs="Times New Roman" w:eastAsia="Times New Roman" w:hint="default"/>
          <w:sz w:val="18"/>
          <w:szCs w:val="18"/>
        </w:rPr>
        <w:t>A</w:t>
      </w:r>
      <w:r>
        <w:rPr>
          <w:rFonts w:ascii="宋体" w:hAnsi="宋体" w:cs="宋体" w:eastAsia="宋体" w:hint="default"/>
          <w:sz w:val="18"/>
          <w:szCs w:val="18"/>
        </w:rPr>
        <w:t>股普通股，报告期内公司的总资产较期初增加了</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165.11%</w:t>
      </w:r>
      <w:r>
        <w:rPr>
          <w:rFonts w:ascii="宋体" w:hAnsi="宋体" w:cs="宋体" w:eastAsia="宋体" w:hint="default"/>
          <w:sz w:val="18"/>
          <w:szCs w:val="18"/>
        </w:rPr>
        <w:t>。</w:t>
      </w:r>
    </w:p>
    <w:p>
      <w:pPr>
        <w:spacing w:line="240" w:lineRule="auto" w:before="10"/>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、现存的内部职工股情况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spacing w:before="44"/>
        <w:ind w:left="0" w:right="159" w:firstLine="0"/>
        <w:jc w:val="right"/>
        <w:rPr>
          <w:rFonts w:ascii="宋体" w:hAnsi="宋体" w:cs="宋体" w:eastAsia="宋体" w:hint="default"/>
          <w:sz w:val="18"/>
          <w:szCs w:val="18"/>
        </w:rPr>
      </w:pPr>
      <w:r>
        <w:rPr/>
        <w:pict>
          <v:shape style="position:absolute;margin-left:56.459999pt;margin-top:-41.098259pt;width:479.2pt;height:74.4pt;mso-position-horizontal-relative:page;mso-position-vertical-relative:paragraph;z-index:1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24"/>
                    <w:gridCol w:w="3797"/>
                    <w:gridCol w:w="3148"/>
                  </w:tblGrid>
                  <w:tr>
                    <w:trPr>
                      <w:trHeight w:val="402" w:hRule="exact"/>
                    </w:trPr>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05" w:right="0"/>
                          <w:jc w:val="left"/>
                          <w:rPr>
                            <w:rFonts w:ascii="宋体" w:hAnsi="宋体" w:cs="宋体" w:eastAsia="宋体" w:hint="default"/>
                            <w:sz w:val="18"/>
                            <w:szCs w:val="18"/>
                          </w:rPr>
                        </w:pPr>
                        <w:r>
                          <w:rPr>
                            <w:rFonts w:ascii="宋体" w:hAnsi="宋体" w:cs="宋体" w:eastAsia="宋体" w:hint="default"/>
                            <w:sz w:val="18"/>
                            <w:szCs w:val="18"/>
                          </w:rPr>
                          <w:t>内部职工股的发行日期</w:t>
                        </w:r>
                      </w:p>
                    </w:tc>
                    <w:tc>
                      <w:tcPr>
                        <w:tcW w:w="3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8" w:right="0"/>
                          <w:jc w:val="left"/>
                          <w:rPr>
                            <w:rFonts w:ascii="宋体" w:hAnsi="宋体" w:cs="宋体" w:eastAsia="宋体" w:hint="default"/>
                            <w:sz w:val="18"/>
                            <w:szCs w:val="18"/>
                          </w:rPr>
                        </w:pPr>
                        <w:r>
                          <w:rPr>
                            <w:rFonts w:ascii="宋体" w:hAnsi="宋体" w:cs="宋体" w:eastAsia="宋体" w:hint="default"/>
                            <w:sz w:val="18"/>
                            <w:szCs w:val="18"/>
                          </w:rPr>
                          <w:t>内部职工股的发行价格（元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31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8" w:right="0"/>
                          <w:jc w:val="left"/>
                          <w:rPr>
                            <w:rFonts w:ascii="宋体" w:hAnsi="宋体" w:cs="宋体" w:eastAsia="宋体" w:hint="default"/>
                            <w:sz w:val="18"/>
                            <w:szCs w:val="18"/>
                          </w:rPr>
                        </w:pPr>
                        <w:r>
                          <w:rPr>
                            <w:rFonts w:ascii="宋体" w:hAnsi="宋体" w:cs="宋体" w:eastAsia="宋体" w:hint="default"/>
                            <w:sz w:val="18"/>
                            <w:szCs w:val="18"/>
                          </w:rPr>
                          <w:t>内部职工股的发行数量（股）</w:t>
                        </w:r>
                      </w:p>
                    </w:tc>
                  </w:tr>
                  <w:tr>
                    <w:trPr>
                      <w:trHeight w:val="402" w:hRule="exact"/>
                    </w:trPr>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36.69</w:t>
                        </w:r>
                      </w:p>
                    </w:tc>
                    <w:tc>
                      <w:tcPr>
                        <w:tcW w:w="3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7,231,000</w:t>
                        </w:r>
                      </w:p>
                    </w:tc>
                  </w:tr>
                  <w:tr>
                    <w:trPr>
                      <w:trHeight w:val="674" w:hRule="exact"/>
                    </w:trPr>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现存的内部职工股情况的说明</w:t>
                        </w:r>
                      </w:p>
                    </w:tc>
                    <w:tc>
                      <w:tcPr>
                        <w:tcW w:w="6945"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10"/>
                          <w:jc w:val="left"/>
                          <w:rPr>
                            <w:rFonts w:ascii="宋体" w:hAnsi="宋体" w:cs="宋体" w:eastAsia="宋体" w:hint="default"/>
                            <w:sz w:val="18"/>
                            <w:szCs w:val="18"/>
                          </w:rPr>
                        </w:pPr>
                        <w:r>
                          <w:rPr>
                            <w:rFonts w:ascii="宋体" w:hAnsi="宋体" w:cs="宋体" w:eastAsia="宋体" w:hint="default"/>
                            <w:sz w:val="18"/>
                            <w:szCs w:val="18"/>
                          </w:rPr>
                          <w:t>公司向内部员工定向发行授予的股份，自发行日起的</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个月为锁定期，之后每</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 持有内部职工股的员工可解锁所持股份的 </w:t>
                        </w:r>
                        <w:r>
                          <w:rPr>
                            <w:rFonts w:ascii="Times New Roman" w:hAnsi="Times New Roman" w:cs="Times New Roman" w:eastAsia="Times New Roman" w:hint="default"/>
                            <w:sz w:val="18"/>
                            <w:szCs w:val="18"/>
                          </w:rPr>
                          <w:t>25%</w:t>
                        </w:r>
                        <w:r>
                          <w:rPr>
                            <w:rFonts w:ascii="宋体" w:hAnsi="宋体" w:cs="宋体" w:eastAsia="宋体" w:hint="default"/>
                            <w:sz w:val="18"/>
                            <w:szCs w:val="18"/>
                          </w:rPr>
                          <w:t>。具体请参考本报告第五节</w:t>
                        </w:r>
                        <w:r>
                          <w:rPr>
                            <w:rFonts w:ascii="宋体" w:hAnsi="宋体" w:cs="宋体" w:eastAsia="宋体" w:hint="default"/>
                            <w:spacing w:val="-46"/>
                            <w:sz w:val="18"/>
                            <w:szCs w:val="18"/>
                          </w:rPr>
                          <w:t> </w:t>
                        </w:r>
                        <w:r>
                          <w:rPr>
                            <w:rFonts w:ascii="宋体" w:hAnsi="宋体" w:cs="宋体" w:eastAsia="宋体" w:hint="default"/>
                            <w:sz w:val="18"/>
                            <w:szCs w:val="18"/>
                          </w:rPr>
                          <w:t>重要事项的</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7" w:footer="979" w:top="1060" w:bottom="1160" w:left="980" w:right="980"/>
        </w:sectPr>
      </w:pPr>
    </w:p>
    <w:p>
      <w:pPr>
        <w:spacing w:line="240" w:lineRule="auto" w:before="2"/>
        <w:rPr>
          <w:rFonts w:ascii="宋体" w:hAnsi="宋体" w:cs="宋体" w:eastAsia="宋体" w:hint="default"/>
          <w:sz w:val="28"/>
          <w:szCs w:val="28"/>
        </w:rPr>
      </w:pPr>
    </w:p>
    <w:p>
      <w:pPr>
        <w:spacing w:line="38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19.1pt;mso-position-horizontal-relative:char;mso-position-vertical-relative:line" coordorigin="0,0" coordsize="9579,382">
            <v:group style="position:absolute;left:10;top:14;width:2614;height:353" coordorigin="10,14" coordsize="2614,353">
              <v:shape style="position:absolute;left:10;top:14;width:2614;height:353" coordorigin="10,14" coordsize="2614,353" path="m10,367l2624,367,2624,14,10,14,10,367xe" filled="true" fillcolor="#d2d2d2" stroked="false">
                <v:path arrowok="t"/>
                <v:fill type="solid"/>
              </v:shape>
            </v:group>
            <v:group style="position:absolute;left:10;top:10;width:2614;height:2" coordorigin="10,10" coordsize="2614,2">
              <v:shape style="position:absolute;left:10;top:10;width:2614;height:2" coordorigin="10,10" coordsize="2614,0" path="m10,10l2624,10e" filled="false" stroked="true" strokeweight=".48pt" strokecolor="#000000">
                <v:path arrowok="t"/>
              </v:shape>
            </v:group>
            <v:group style="position:absolute;left:2633;top:10;width:6936;height:2" coordorigin="2633,10" coordsize="6936,2">
              <v:shape style="position:absolute;left:2633;top:10;width:6936;height:2" coordorigin="2633,10" coordsize="6936,0" path="m2633,10l9569,10e" filled="false" stroked="true" strokeweight=".48pt" strokecolor="#000000">
                <v:path arrowok="t"/>
              </v:shape>
            </v:group>
            <v:group style="position:absolute;left:5;top:5;width:2;height:372" coordorigin="5,5" coordsize="2,372">
              <v:shape style="position:absolute;left:5;top:5;width:2;height:372" coordorigin="5,5" coordsize="0,372" path="m5,5l5,377e" filled="false" stroked="true" strokeweight=".48pt" strokecolor="#000000">
                <v:path arrowok="t"/>
              </v:shape>
            </v:group>
            <v:group style="position:absolute;left:10;top:372;width:2614;height:2" coordorigin="10,372" coordsize="2614,2">
              <v:shape style="position:absolute;left:10;top:372;width:2614;height:2" coordorigin="10,372" coordsize="2614,0" path="m10,372l2624,372e" filled="false" stroked="true" strokeweight=".48pt" strokecolor="#000000">
                <v:path arrowok="t"/>
              </v:shape>
            </v:group>
            <v:group style="position:absolute;left:2628;top:5;width:2;height:372" coordorigin="2628,5" coordsize="2,372">
              <v:shape style="position:absolute;left:2628;top:5;width:2;height:372" coordorigin="2628,5" coordsize="0,372" path="m2628,5l2628,377e" filled="false" stroked="true" strokeweight=".48pt" strokecolor="#000000">
                <v:path arrowok="t"/>
              </v:shape>
            </v:group>
            <v:group style="position:absolute;left:2633;top:372;width:6936;height:2" coordorigin="2633,372" coordsize="6936,2">
              <v:shape style="position:absolute;left:2633;top:372;width:6936;height:2" coordorigin="2633,372" coordsize="6936,0" path="m2633,372l9569,372e" filled="false" stroked="true" strokeweight=".48pt" strokecolor="#000000">
                <v:path arrowok="t"/>
              </v:shape>
            </v:group>
            <v:group style="position:absolute;left:9574;top:5;width:2;height:372" coordorigin="9574,5" coordsize="2,372">
              <v:shape style="position:absolute;left:9574;top:5;width:2;height:372" coordorigin="9574,5" coordsize="0,372" path="m9574,5l9574,377e" filled="false" stroked="true" strokeweight=".48004pt" strokecolor="#000000">
                <v:path arrowok="t"/>
              </v:shape>
              <v:shape style="position:absolute;left:2628;top:10;width:6946;height:363" type="#_x0000_t202" filled="false" stroked="false">
                <v:textbox inset="0,0,0,0">
                  <w:txbxContent>
                    <w:p>
                      <w:pPr>
                        <w:spacing w:before="16"/>
                        <w:ind w:left="2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十四、公司股权激励计划、员工持股计划或其他员工激励措施的实施情况</w:t>
                      </w:r>
                      <w:r>
                        <w:rPr>
                          <w:rFonts w:ascii="Times New Roman" w:hAnsi="Times New Roman" w:cs="Times New Roman" w:eastAsia="Times New Roman" w:hint="default"/>
                          <w:sz w:val="18"/>
                          <w:szCs w:val="18"/>
                        </w:rPr>
                        <w:t>”</w:t>
                      </w:r>
                      <w:r>
                        <w:rPr>
                          <w:rFonts w:ascii="宋体" w:hAnsi="宋体" w:cs="宋体" w:eastAsia="宋体" w:hint="default"/>
                          <w:sz w:val="18"/>
                          <w:szCs w:val="18"/>
                        </w:rPr>
                        <w:t>描述</w:t>
                      </w:r>
                    </w:p>
                  </w:txbxContent>
                </v:textbox>
                <w10:wrap type="none"/>
              </v:shape>
            </v:group>
          </v:group>
        </w:pict>
      </w:r>
      <w:r>
        <w:rPr>
          <w:rFonts w:ascii="宋体" w:hAnsi="宋体" w:cs="宋体" w:eastAsia="宋体" w:hint="default"/>
          <w:position w:val="-7"/>
          <w:sz w:val="20"/>
          <w:szCs w:val="20"/>
        </w:rPr>
      </w:r>
    </w:p>
    <w:p>
      <w:pPr>
        <w:spacing w:line="240" w:lineRule="auto" w:before="11"/>
        <w:rPr>
          <w:rFonts w:ascii="宋体" w:hAnsi="宋体" w:cs="宋体" w:eastAsia="宋体" w:hint="default"/>
          <w:sz w:val="17"/>
          <w:szCs w:val="17"/>
        </w:rPr>
      </w:pPr>
    </w:p>
    <w:p>
      <w:pPr>
        <w:pStyle w:val="Heading2"/>
        <w:spacing w:line="367" w:lineRule="exact"/>
        <w:ind w:right="0"/>
        <w:jc w:val="left"/>
        <w:rPr>
          <w:b w:val="0"/>
          <w:bCs w:val="0"/>
        </w:rPr>
      </w:pPr>
      <w:r>
        <w:rPr/>
        <w:t>三、股东和实际控制人情况</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、公司股东数量及持股情况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pict>
          <v:shape style="position:absolute;margin-left:449.277008pt;margin-top:19.731724pt;width:85.6pt;height:82pt;mso-position-horizontal-relative:page;mso-position-vertical-relative:paragraph;z-index:-96575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（如有）</w:t>
                  </w:r>
                </w:p>
              </w:txbxContent>
            </v:textbox>
            <w10:wrap type="none"/>
          </v:shape>
        </w:pict>
      </w:r>
      <w:r>
        <w:rPr/>
        <w:pict>
          <v:group style="position:absolute;margin-left:482.399994pt;margin-top:19.731724pt;width:52.45pt;height:82pt;mso-position-horizontal-relative:page;mso-position-vertical-relative:paragraph;z-index:-965728" coordorigin="9648,395" coordsize="1049,1640">
            <v:group style="position:absolute;left:9648;top:395;width:1049;height:1640" coordorigin="9648,395" coordsize="1049,1640">
              <v:shape style="position:absolute;left:9648;top:395;width:1049;height:1640" coordorigin="9648,395" coordsize="1049,1640" path="m9648,2034l10697,2034,10697,395,9648,395,9648,2034xe" filled="true" fillcolor="#ffffff" stroked="false">
                <v:path arrowok="t"/>
                <v:fill type="solid"/>
              </v:shape>
            </v:group>
            <v:group style="position:absolute;left:9671;top:1019;width:1004;height:392" coordorigin="9671,1019" coordsize="1004,392">
              <v:shape style="position:absolute;left:9671;top:1019;width:1004;height:392" coordorigin="9671,1019" coordsize="1004,392" path="m9671,1410l10674,1410,10674,1019,9671,1019,9671,1410xe" filled="true" fillcolor="#ffffff" stroked="false">
                <v:path arrowok="t"/>
                <v:fill type="solid"/>
              </v:shape>
            </v:group>
            <w10:wrap type="none"/>
          </v:group>
        </w:pict>
      </w: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34"/>
        <w:gridCol w:w="135"/>
        <w:gridCol w:w="661"/>
        <w:gridCol w:w="750"/>
        <w:gridCol w:w="750"/>
        <w:gridCol w:w="825"/>
        <w:gridCol w:w="332"/>
        <w:gridCol w:w="456"/>
        <w:gridCol w:w="830"/>
        <w:gridCol w:w="796"/>
        <w:gridCol w:w="311"/>
        <w:gridCol w:w="1038"/>
        <w:gridCol w:w="290"/>
        <w:gridCol w:w="502"/>
        <w:gridCol w:w="558"/>
      </w:tblGrid>
      <w:tr>
        <w:trPr>
          <w:trHeight w:val="1656" w:hRule="exact"/>
        </w:trPr>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22" w:right="39"/>
              <w:jc w:val="left"/>
              <w:rPr>
                <w:rFonts w:ascii="宋体" w:hAnsi="宋体" w:cs="宋体" w:eastAsia="宋体" w:hint="default"/>
                <w:sz w:val="18"/>
                <w:szCs w:val="18"/>
              </w:rPr>
            </w:pPr>
            <w:r>
              <w:rPr>
                <w:rFonts w:ascii="宋体" w:hAnsi="宋体" w:cs="宋体" w:eastAsia="宋体" w:hint="default"/>
                <w:sz w:val="18"/>
                <w:szCs w:val="18"/>
              </w:rPr>
              <w:t>报告期末普通股 股东总数</w:t>
            </w:r>
          </w:p>
        </w:tc>
        <w:tc>
          <w:tcPr>
            <w:tcW w:w="7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z w:val="18"/>
              </w:rPr>
              <w:t>102,655</w:t>
            </w:r>
          </w:p>
        </w:tc>
        <w:tc>
          <w:tcPr>
            <w:tcW w:w="150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205"/>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40" w:right="0"/>
              <w:jc w:val="left"/>
              <w:rPr>
                <w:rFonts w:ascii="Times New Roman" w:hAnsi="Times New Roman" w:cs="Times New Roman" w:eastAsia="Times New Roman" w:hint="default"/>
                <w:sz w:val="18"/>
                <w:szCs w:val="18"/>
              </w:rPr>
            </w:pPr>
            <w:r>
              <w:rPr>
                <w:rFonts w:ascii="Times New Roman"/>
                <w:sz w:val="18"/>
              </w:rPr>
              <w:t>100,569</w:t>
            </w:r>
          </w:p>
        </w:tc>
        <w:tc>
          <w:tcPr>
            <w:tcW w:w="1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7"/>
              <w:jc w:val="both"/>
              <w:rPr>
                <w:rFonts w:ascii="宋体" w:hAnsi="宋体" w:cs="宋体" w:eastAsia="宋体" w:hint="default"/>
                <w:sz w:val="18"/>
                <w:szCs w:val="18"/>
              </w:rPr>
            </w:pPr>
            <w:r>
              <w:rPr>
                <w:rFonts w:ascii="宋体" w:hAnsi="宋体" w:cs="宋体" w:eastAsia="宋体" w:hint="default"/>
                <w:sz w:val="18"/>
                <w:szCs w:val="18"/>
              </w:rPr>
              <w:t>报告期末表决权 恢复的优先股股 东总数（如有）</w:t>
            </w:r>
          </w:p>
          <w:p>
            <w:pPr>
              <w:pStyle w:val="TableParagraph"/>
              <w:spacing w:line="240" w:lineRule="auto" w:before="20"/>
              <w:ind w:left="22" w:right="0"/>
              <w:jc w:val="both"/>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1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13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35"/>
              <w:jc w:val="both"/>
              <w:rPr>
                <w:rFonts w:ascii="宋体" w:hAnsi="宋体" w:cs="宋体" w:eastAsia="宋体" w:hint="default"/>
                <w:sz w:val="18"/>
                <w:szCs w:val="18"/>
              </w:rPr>
            </w:pPr>
            <w:r>
              <w:rPr>
                <w:rFonts w:ascii="宋体" w:hAnsi="宋体" w:cs="宋体" w:eastAsia="宋体" w:hint="default"/>
                <w:sz w:val="18"/>
                <w:szCs w:val="18"/>
              </w:rPr>
              <w:t>年度报告披露日 前上一月末表决 权恢复的优先股 股东总数</w:t>
            </w:r>
          </w:p>
          <w:p>
            <w:pPr>
              <w:pStyle w:val="TableParagraph"/>
              <w:spacing w:line="240" w:lineRule="auto" w:before="20"/>
              <w:ind w:left="22" w:right="0"/>
              <w:jc w:val="both"/>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502" w:type="dxa"/>
            <w:tcBorders>
              <w:top w:val="single" w:sz="4" w:space="0" w:color="000000"/>
              <w:left w:val="single" w:sz="4" w:space="0" w:color="000000"/>
              <w:bottom w:val="single" w:sz="4" w:space="0" w:color="000000"/>
              <w:right w:val="nil" w:sz="6" w:space="0" w:color="auto"/>
            </w:tcBorders>
          </w:tcPr>
          <w:p>
            <w:pPr/>
          </w:p>
        </w:tc>
        <w:tc>
          <w:tcPr>
            <w:tcW w:w="55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397" w:hRule="exact"/>
        </w:trPr>
        <w:tc>
          <w:tcPr>
            <w:tcW w:w="9569"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2"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6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9"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9"/>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6" w:right="26"/>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8" w:right="29"/>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8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7" w:right="70"/>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0" w:right="54"/>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269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14"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623"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1" w:type="dxa"/>
            <w:gridSpan w:val="2"/>
            <w:vMerge/>
            <w:tcBorders>
              <w:left w:val="single" w:sz="4" w:space="0" w:color="000000"/>
              <w:bottom w:val="single" w:sz="4" w:space="0" w:color="000000"/>
              <w:right w:val="single" w:sz="4" w:space="0" w:color="000000"/>
            </w:tcBorders>
            <w:shd w:val="clear" w:color="auto" w:fill="D2D2D2"/>
          </w:tcPr>
          <w:p>
            <w:pPr/>
          </w:p>
        </w:tc>
        <w:tc>
          <w:tcPr>
            <w:tcW w:w="750" w:type="dxa"/>
            <w:vMerge/>
            <w:tcBorders>
              <w:left w:val="single" w:sz="4" w:space="0" w:color="000000"/>
              <w:bottom w:val="single" w:sz="4" w:space="0" w:color="000000"/>
              <w:right w:val="single" w:sz="4" w:space="0" w:color="000000"/>
            </w:tcBorders>
            <w:shd w:val="clear" w:color="auto" w:fill="D2D2D2"/>
          </w:tcPr>
          <w:p>
            <w:pPr/>
          </w:p>
        </w:tc>
        <w:tc>
          <w:tcPr>
            <w:tcW w:w="825" w:type="dxa"/>
            <w:vMerge/>
            <w:tcBorders>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830"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c>
          <w:tcPr>
            <w:tcW w:w="134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35.09%</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395,562,7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58</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5"/>
              <w:jc w:val="right"/>
              <w:rPr>
                <w:rFonts w:ascii="Times New Roman" w:hAnsi="Times New Roman" w:cs="Times New Roman" w:eastAsia="Times New Roman" w:hint="default"/>
                <w:sz w:val="18"/>
                <w:szCs w:val="18"/>
              </w:rPr>
            </w:pPr>
            <w:r>
              <w:rPr>
                <w:rFonts w:ascii="Times New Roman"/>
                <w:sz w:val="18"/>
              </w:rPr>
              <w:t>395,562,7</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58</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16" w:right="0"/>
              <w:jc w:val="left"/>
              <w:rPr>
                <w:rFonts w:ascii="Times New Roman" w:hAnsi="Times New Roman" w:cs="Times New Roman" w:eastAsia="Times New Roman" w:hint="default"/>
                <w:sz w:val="18"/>
                <w:szCs w:val="18"/>
              </w:rPr>
            </w:pPr>
            <w:r>
              <w:rPr>
                <w:rFonts w:ascii="Times New Roman"/>
                <w:sz w:val="18"/>
              </w:rPr>
              <w:t>292,177,190</w:t>
            </w: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22"/>
              <w:jc w:val="left"/>
              <w:rPr>
                <w:rFonts w:ascii="宋体" w:hAnsi="宋体" w:cs="宋体" w:eastAsia="宋体" w:hint="default"/>
                <w:sz w:val="18"/>
                <w:szCs w:val="18"/>
              </w:rPr>
            </w:pPr>
            <w:r>
              <w:rPr>
                <w:rFonts w:ascii="宋体" w:hAnsi="宋体" w:cs="宋体" w:eastAsia="宋体" w:hint="default"/>
                <w:sz w:val="18"/>
                <w:szCs w:val="18"/>
              </w:rPr>
              <w:t>北京盈瑞世纪软 </w:t>
            </w:r>
            <w:r>
              <w:rPr>
                <w:rFonts w:ascii="宋体" w:hAnsi="宋体" w:cs="宋体" w:eastAsia="宋体" w:hint="default"/>
                <w:spacing w:val="-4"/>
                <w:sz w:val="18"/>
                <w:szCs w:val="18"/>
              </w:rPr>
              <w:t>件研发中心（有限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合伙）</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17.78%</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200,408,0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85</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z w:val="18"/>
              </w:rPr>
              <w:t>200,408,0</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85</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5.18%</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58,371,28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5"/>
              <w:jc w:val="right"/>
              <w:rPr>
                <w:rFonts w:ascii="Times New Roman" w:hAnsi="Times New Roman" w:cs="Times New Roman" w:eastAsia="Times New Roman" w:hint="default"/>
                <w:sz w:val="18"/>
                <w:szCs w:val="18"/>
              </w:rPr>
            </w:pPr>
            <w:r>
              <w:rPr>
                <w:rFonts w:ascii="Times New Roman"/>
                <w:sz w:val="18"/>
              </w:rPr>
              <w:t>58,371,28</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9</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06" w:right="0"/>
              <w:jc w:val="left"/>
              <w:rPr>
                <w:rFonts w:ascii="Times New Roman" w:hAnsi="Times New Roman" w:cs="Times New Roman" w:eastAsia="Times New Roman" w:hint="default"/>
                <w:sz w:val="18"/>
                <w:szCs w:val="18"/>
              </w:rPr>
            </w:pPr>
            <w:r>
              <w:rPr>
                <w:rFonts w:ascii="Times New Roman"/>
                <w:sz w:val="18"/>
              </w:rPr>
              <w:t>48,310,291</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3.45%</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38,914,19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5"/>
              <w:jc w:val="right"/>
              <w:rPr>
                <w:rFonts w:ascii="Times New Roman" w:hAnsi="Times New Roman" w:cs="Times New Roman" w:eastAsia="Times New Roman" w:hint="default"/>
                <w:sz w:val="18"/>
                <w:szCs w:val="18"/>
              </w:rPr>
            </w:pPr>
            <w:r>
              <w:rPr>
                <w:rFonts w:ascii="Times New Roman"/>
                <w:sz w:val="18"/>
              </w:rPr>
              <w:t>38,914,19</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1</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6" w:right="0"/>
              <w:jc w:val="left"/>
              <w:rPr>
                <w:rFonts w:ascii="Times New Roman" w:hAnsi="Times New Roman" w:cs="Times New Roman" w:eastAsia="Times New Roman" w:hint="default"/>
                <w:sz w:val="18"/>
                <w:szCs w:val="18"/>
              </w:rPr>
            </w:pPr>
            <w:r>
              <w:rPr>
                <w:rFonts w:ascii="Times New Roman"/>
                <w:sz w:val="18"/>
              </w:rPr>
              <w:t>3,335,804</w:t>
            </w: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74"/>
              <w:jc w:val="both"/>
              <w:rPr>
                <w:rFonts w:ascii="宋体" w:hAnsi="宋体" w:cs="宋体" w:eastAsia="宋体" w:hint="default"/>
                <w:sz w:val="18"/>
                <w:szCs w:val="18"/>
              </w:rPr>
            </w:pPr>
            <w:r>
              <w:rPr>
                <w:rFonts w:ascii="宋体" w:hAnsi="宋体" w:cs="宋体" w:eastAsia="宋体" w:hint="default"/>
                <w:sz w:val="18"/>
                <w:szCs w:val="18"/>
              </w:rPr>
              <w:t>北京昆仑博观科 技中心（有限合 伙）</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2.81%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31,676,15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z w:val="18"/>
              </w:rPr>
              <w:t>31,676,15</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2</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74"/>
              <w:jc w:val="both"/>
              <w:rPr>
                <w:rFonts w:ascii="宋体" w:hAnsi="宋体" w:cs="宋体" w:eastAsia="宋体" w:hint="default"/>
                <w:sz w:val="18"/>
                <w:szCs w:val="18"/>
              </w:rPr>
            </w:pPr>
            <w:r>
              <w:rPr>
                <w:rFonts w:ascii="宋体" w:hAnsi="宋体" w:cs="宋体" w:eastAsia="宋体" w:hint="default"/>
                <w:sz w:val="18"/>
                <w:szCs w:val="18"/>
              </w:rPr>
              <w:t>北京昆仑博远科 技中心（有限合 伙）</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2.37%</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26,695,13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z w:val="18"/>
              </w:rPr>
              <w:t>26,695,13</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7</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74"/>
              <w:jc w:val="left"/>
              <w:rPr>
                <w:rFonts w:ascii="宋体" w:hAnsi="宋体" w:cs="宋体" w:eastAsia="宋体" w:hint="default"/>
                <w:sz w:val="18"/>
                <w:szCs w:val="18"/>
              </w:rPr>
            </w:pPr>
            <w:r>
              <w:rPr>
                <w:rFonts w:ascii="宋体" w:hAnsi="宋体" w:cs="宋体" w:eastAsia="宋体" w:hint="default"/>
                <w:sz w:val="18"/>
                <w:szCs w:val="18"/>
              </w:rPr>
              <w:t>华为投资控股有 限公司</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2.19%</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24,724,19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5"/>
              <w:jc w:val="right"/>
              <w:rPr>
                <w:rFonts w:ascii="Times New Roman" w:hAnsi="Times New Roman" w:cs="Times New Roman" w:eastAsia="Times New Roman" w:hint="default"/>
                <w:sz w:val="18"/>
                <w:szCs w:val="18"/>
              </w:rPr>
            </w:pPr>
            <w:r>
              <w:rPr>
                <w:rFonts w:ascii="Times New Roman"/>
                <w:sz w:val="18"/>
              </w:rPr>
              <w:t>24,724,19</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5</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
              <w:jc w:val="both"/>
              <w:rPr>
                <w:rFonts w:ascii="宋体" w:hAnsi="宋体" w:cs="宋体" w:eastAsia="宋体" w:hint="default"/>
                <w:sz w:val="18"/>
                <w:szCs w:val="18"/>
              </w:rPr>
            </w:pPr>
            <w:r>
              <w:rPr>
                <w:rFonts w:ascii="宋体" w:hAnsi="宋体" w:cs="宋体" w:eastAsia="宋体" w:hint="default"/>
                <w:sz w:val="18"/>
                <w:szCs w:val="18"/>
              </w:rPr>
              <w:t>东方富海（芜湖） </w:t>
            </w:r>
            <w:r>
              <w:rPr>
                <w:rFonts w:ascii="宋体" w:hAnsi="宋体" w:cs="宋体" w:eastAsia="宋体" w:hint="default"/>
                <w:spacing w:val="-4"/>
                <w:sz w:val="18"/>
                <w:szCs w:val="18"/>
              </w:rPr>
              <w:t>股权投资基金（有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限合伙）</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1.21%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13,619,96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z w:val="18"/>
              </w:rPr>
              <w:t>13,619,96</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7</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174"/>
              <w:jc w:val="both"/>
              <w:rPr>
                <w:rFonts w:ascii="宋体" w:hAnsi="宋体" w:cs="宋体" w:eastAsia="宋体" w:hint="default"/>
                <w:sz w:val="18"/>
                <w:szCs w:val="18"/>
              </w:rPr>
            </w:pPr>
            <w:r>
              <w:rPr>
                <w:rFonts w:ascii="宋体" w:hAnsi="宋体" w:cs="宋体" w:eastAsia="宋体" w:hint="default"/>
                <w:sz w:val="18"/>
                <w:szCs w:val="18"/>
              </w:rPr>
              <w:t>北京银德创业投 资中心（有限合 伙）</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0.94%</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10,565,90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z w:val="18"/>
              </w:rPr>
              <w:t>10,565,90</w:t>
            </w:r>
          </w:p>
          <w:p>
            <w:pPr>
              <w:pStyle w:val="TableParagraph"/>
              <w:spacing w:line="240" w:lineRule="auto" w:before="105"/>
              <w:ind w:right="65"/>
              <w:jc w:val="right"/>
              <w:rPr>
                <w:rFonts w:ascii="Times New Roman" w:hAnsi="Times New Roman" w:cs="Times New Roman" w:eastAsia="Times New Roman" w:hint="default"/>
                <w:sz w:val="18"/>
                <w:szCs w:val="18"/>
              </w:rPr>
            </w:pPr>
            <w:r>
              <w:rPr>
                <w:rFonts w:ascii="Times New Roman"/>
                <w:sz w:val="18"/>
              </w:rPr>
              <w:t>4</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96" w:right="0"/>
              <w:jc w:val="left"/>
              <w:rPr>
                <w:rFonts w:ascii="Times New Roman" w:hAnsi="Times New Roman" w:cs="Times New Roman" w:eastAsia="Times New Roman" w:hint="default"/>
                <w:sz w:val="18"/>
                <w:szCs w:val="18"/>
              </w:rPr>
            </w:pPr>
            <w:r>
              <w:rPr>
                <w:rFonts w:ascii="Times New Roman"/>
                <w:sz w:val="18"/>
              </w:rPr>
              <w:t>4,709,370</w:t>
            </w:r>
          </w:p>
        </w:tc>
      </w:tr>
      <w:tr>
        <w:trPr>
          <w:trHeight w:val="40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天津鼎麟科创股</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0.94%</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1" w:right="0"/>
              <w:jc w:val="left"/>
              <w:rPr>
                <w:rFonts w:ascii="Times New Roman" w:hAnsi="Times New Roman" w:cs="Times New Roman" w:eastAsia="Times New Roman" w:hint="default"/>
                <w:sz w:val="18"/>
                <w:szCs w:val="18"/>
              </w:rPr>
            </w:pPr>
            <w:r>
              <w:rPr>
                <w:rFonts w:ascii="Times New Roman"/>
                <w:sz w:val="18"/>
              </w:rPr>
              <w:t>10,565,90</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2" w:right="0"/>
              <w:jc w:val="left"/>
              <w:rPr>
                <w:rFonts w:ascii="Times New Roman" w:hAnsi="Times New Roman" w:cs="Times New Roman" w:eastAsia="Times New Roman" w:hint="default"/>
                <w:sz w:val="18"/>
                <w:szCs w:val="18"/>
              </w:rPr>
            </w:pPr>
            <w:r>
              <w:rPr>
                <w:rFonts w:ascii="Times New Roman"/>
                <w:sz w:val="18"/>
              </w:rPr>
              <w:t>10,565,90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69"/>
        <w:gridCol w:w="1411"/>
        <w:gridCol w:w="789"/>
        <w:gridCol w:w="786"/>
        <w:gridCol w:w="788"/>
        <w:gridCol w:w="786"/>
        <w:gridCol w:w="840"/>
        <w:gridCol w:w="1349"/>
        <w:gridCol w:w="1350"/>
      </w:tblGrid>
      <w:tr>
        <w:trPr>
          <w:trHeight w:val="67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4"/>
              <w:jc w:val="left"/>
              <w:rPr>
                <w:rFonts w:ascii="宋体" w:hAnsi="宋体" w:cs="宋体" w:eastAsia="宋体" w:hint="default"/>
                <w:sz w:val="18"/>
                <w:szCs w:val="18"/>
              </w:rPr>
            </w:pPr>
            <w:r>
              <w:rPr>
                <w:rFonts w:ascii="宋体" w:hAnsi="宋体" w:cs="宋体" w:eastAsia="宋体" w:hint="default"/>
                <w:sz w:val="18"/>
                <w:szCs w:val="18"/>
              </w:rPr>
              <w:t>权投资基金合伙 企业（有限合伙）</w:t>
            </w:r>
          </w:p>
        </w:tc>
        <w:tc>
          <w:tcPr>
            <w:tcW w:w="1411" w:type="dxa"/>
            <w:tcBorders>
              <w:top w:val="single" w:sz="4" w:space="0" w:color="000000"/>
              <w:left w:val="single" w:sz="4" w:space="0" w:color="000000"/>
              <w:bottom w:val="single" w:sz="4" w:space="0" w:color="000000"/>
              <w:right w:val="single" w:sz="4" w:space="0" w:color="000000"/>
            </w:tcBorders>
          </w:tcPr>
          <w:p>
            <w:pPr/>
          </w:p>
        </w:tc>
        <w:tc>
          <w:tcPr>
            <w:tcW w:w="789"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4</w:t>
            </w:r>
          </w:p>
        </w:tc>
        <w:tc>
          <w:tcPr>
            <w:tcW w:w="788"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4</w:t>
            </w:r>
          </w:p>
        </w:tc>
        <w:tc>
          <w:tcPr>
            <w:tcW w:w="840"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8" w:type="dxa"/>
            <w:gridSpan w:val="7"/>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629" w:hRule="exact"/>
        </w:trPr>
        <w:tc>
          <w:tcPr>
            <w:tcW w:w="288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688" w:type="dxa"/>
            <w:gridSpan w:val="7"/>
            <w:vMerge w:val="restart"/>
            <w:tcBorders>
              <w:top w:val="single" w:sz="4" w:space="0" w:color="000000"/>
              <w:left w:val="single" w:sz="4" w:space="0" w:color="000000"/>
              <w:right w:val="single" w:sz="4" w:space="0" w:color="000000"/>
            </w:tcBorders>
          </w:tcPr>
          <w:p>
            <w:pPr>
              <w:pStyle w:val="TableParagraph"/>
              <w:spacing w:line="312"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周亚辉为本公司的控股股东及实际控制人，直接持有本公司</w:t>
            </w:r>
            <w:r>
              <w:rPr>
                <w:rFonts w:ascii="宋体" w:hAnsi="宋体" w:cs="宋体" w:eastAsia="宋体" w:hint="default"/>
                <w:spacing w:val="-71"/>
                <w:sz w:val="18"/>
                <w:szCs w:val="18"/>
              </w:rPr>
              <w:t> </w:t>
            </w:r>
            <w:r>
              <w:rPr>
                <w:rFonts w:ascii="Times New Roman" w:hAnsi="Times New Roman" w:cs="Times New Roman" w:eastAsia="Times New Roman" w:hint="default"/>
                <w:spacing w:val="-4"/>
                <w:sz w:val="18"/>
                <w:szCs w:val="18"/>
              </w:rPr>
              <w:t>35.09%</w:t>
            </w:r>
            <w:r>
              <w:rPr>
                <w:rFonts w:ascii="宋体" w:hAnsi="宋体" w:cs="宋体" w:eastAsia="宋体" w:hint="default"/>
                <w:spacing w:val="-4"/>
                <w:sz w:val="18"/>
                <w:szCs w:val="18"/>
              </w:rPr>
              <w:t>的股权，并通过持</w:t>
            </w:r>
            <w:r>
              <w:rPr>
                <w:rFonts w:ascii="宋体" w:hAnsi="宋体" w:cs="宋体" w:eastAsia="宋体" w:hint="default"/>
                <w:sz w:val="18"/>
                <w:szCs w:val="18"/>
              </w:rPr>
              <w:t> 有盈瑞世纪</w:t>
            </w:r>
            <w:r>
              <w:rPr>
                <w:rFonts w:ascii="宋体" w:hAnsi="宋体" w:cs="宋体" w:eastAsia="宋体" w:hint="default"/>
                <w:spacing w:val="-37"/>
                <w:sz w:val="18"/>
                <w:szCs w:val="18"/>
              </w:rPr>
              <w:t> </w:t>
            </w:r>
            <w:r>
              <w:rPr>
                <w:rFonts w:ascii="Times New Roman" w:hAnsi="Times New Roman" w:cs="Times New Roman" w:eastAsia="Times New Roman" w:hint="default"/>
                <w:spacing w:val="-3"/>
                <w:sz w:val="18"/>
                <w:szCs w:val="18"/>
              </w:rPr>
              <w:t>90%</w:t>
            </w:r>
            <w:r>
              <w:rPr>
                <w:rFonts w:ascii="宋体" w:hAnsi="宋体" w:cs="宋体" w:eastAsia="宋体" w:hint="default"/>
                <w:spacing w:val="-3"/>
                <w:sz w:val="18"/>
                <w:szCs w:val="18"/>
              </w:rPr>
              <w:t>的财产份额间接控制本公司股权，与通过持有盈瑞世纪</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财产份额</w:t>
            </w:r>
            <w:r>
              <w:rPr>
                <w:rFonts w:ascii="宋体" w:hAnsi="宋体" w:cs="宋体" w:eastAsia="宋体" w:hint="default"/>
                <w:spacing w:val="-87"/>
                <w:sz w:val="18"/>
                <w:szCs w:val="18"/>
              </w:rPr>
              <w:t> </w:t>
            </w:r>
            <w:r>
              <w:rPr>
                <w:rFonts w:ascii="宋体" w:hAnsi="宋体" w:cs="宋体" w:eastAsia="宋体" w:hint="default"/>
                <w:spacing w:val="-1"/>
                <w:sz w:val="18"/>
                <w:szCs w:val="18"/>
              </w:rPr>
              <w:t>间接持有本公司股权的李琼系夫妻关系。东方富海（芜湖）与东方富海（芜湖）二号</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
                <w:sz w:val="18"/>
                <w:szCs w:val="18"/>
              </w:rPr>
              <w:t>的普通合伙人（执行事务合伙人）均为东方富海（芜湖）股权投资基金管理企业（有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限合伙），执行事务合伙人委派代表均为陈玮。除上述关联关系之外，公司股东之间</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不存在其他关联关系。</w:t>
            </w:r>
          </w:p>
        </w:tc>
      </w:tr>
      <w:tr>
        <w:trPr>
          <w:trHeight w:val="704" w:hRule="exact"/>
        </w:trPr>
        <w:tc>
          <w:tcPr>
            <w:tcW w:w="2880"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47"/>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88" w:type="dxa"/>
            <w:gridSpan w:val="7"/>
            <w:vMerge/>
            <w:tcBorders>
              <w:left w:val="single" w:sz="4" w:space="0" w:color="000000"/>
              <w:right w:val="single" w:sz="4" w:space="0" w:color="000000"/>
            </w:tcBorders>
          </w:tcPr>
          <w:p>
            <w:pPr/>
          </w:p>
        </w:tc>
      </w:tr>
      <w:tr>
        <w:trPr>
          <w:trHeight w:val="629" w:hRule="exact"/>
        </w:trPr>
        <w:tc>
          <w:tcPr>
            <w:tcW w:w="2880"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688" w:type="dxa"/>
            <w:gridSpan w:val="7"/>
            <w:vMerge/>
            <w:tcBorders>
              <w:left w:val="single" w:sz="4" w:space="0" w:color="000000"/>
              <w:bottom w:val="single" w:sz="4" w:space="0" w:color="000000"/>
              <w:right w:val="single" w:sz="4" w:space="0" w:color="000000"/>
            </w:tcBorders>
          </w:tcPr>
          <w:p>
            <w:pPr/>
          </w:p>
        </w:tc>
      </w:tr>
      <w:tr>
        <w:trPr>
          <w:trHeight w:val="402" w:hRule="exact"/>
        </w:trPr>
        <w:tc>
          <w:tcPr>
            <w:tcW w:w="9569"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5" w:hRule="exact"/>
        </w:trPr>
        <w:tc>
          <w:tcPr>
            <w:tcW w:w="288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989"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69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7" w:hRule="exact"/>
        </w:trPr>
        <w:tc>
          <w:tcPr>
            <w:tcW w:w="288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89"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8"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9"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880" w:type="dxa"/>
            <w:gridSpan w:val="2"/>
            <w:vMerge/>
            <w:tcBorders>
              <w:left w:val="single" w:sz="4" w:space="0" w:color="000000"/>
              <w:bottom w:val="nil" w:sz="6" w:space="0" w:color="auto"/>
              <w:right w:val="single" w:sz="4" w:space="0" w:color="000000"/>
            </w:tcBorders>
            <w:shd w:val="clear" w:color="auto" w:fill="D2D2D2"/>
          </w:tcPr>
          <w:p>
            <w:pPr/>
          </w:p>
        </w:tc>
        <w:tc>
          <w:tcPr>
            <w:tcW w:w="3989" w:type="dxa"/>
            <w:gridSpan w:val="5"/>
            <w:vMerge/>
            <w:tcBorders>
              <w:left w:val="single" w:sz="4" w:space="0" w:color="000000"/>
              <w:bottom w:val="nil" w:sz="6" w:space="0" w:color="auto"/>
              <w:right w:val="single" w:sz="4" w:space="0" w:color="000000"/>
            </w:tcBorders>
            <w:shd w:val="clear" w:color="auto" w:fill="D2D2D2"/>
          </w:tcPr>
          <w:p>
            <w:pPr/>
          </w:p>
        </w:tc>
        <w:tc>
          <w:tcPr>
            <w:tcW w:w="13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308"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880"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989"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349" w:type="dxa"/>
            <w:vMerge/>
            <w:tcBorders>
              <w:left w:val="single" w:sz="4" w:space="0" w:color="000000"/>
              <w:bottom w:val="single" w:sz="4" w:space="0" w:color="000000"/>
              <w:right w:val="single" w:sz="4" w:space="0" w:color="000000"/>
            </w:tcBorders>
            <w:shd w:val="clear" w:color="auto" w:fill="D2D2D2"/>
          </w:tcPr>
          <w:p>
            <w:pPr/>
          </w:p>
        </w:tc>
        <w:tc>
          <w:tcPr>
            <w:tcW w:w="1350"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周夏真</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5,122,708</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5,122,708</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王素芳</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2,511,664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2,511,664</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代德明</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1,159,621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1,159,621</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全国社保基金六零三组合</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999,947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999,947</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深圳市荣诚科技有限公司</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846,524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846,524</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潘新民</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767,344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767,344</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白双平</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700,000</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姚健明</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694,036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694,036</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李勇</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670,000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670,000</w:t>
            </w:r>
          </w:p>
        </w:tc>
      </w:tr>
      <w:tr>
        <w:trPr>
          <w:trHeight w:val="1026"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47"/>
              <w:jc w:val="both"/>
              <w:rPr>
                <w:rFonts w:ascii="宋体" w:hAnsi="宋体" w:cs="宋体" w:eastAsia="宋体" w:hint="default"/>
                <w:sz w:val="18"/>
                <w:szCs w:val="18"/>
              </w:rPr>
            </w:pPr>
            <w:r>
              <w:rPr>
                <w:rFonts w:ascii="宋体" w:hAnsi="宋体" w:cs="宋体" w:eastAsia="宋体" w:hint="default"/>
                <w:sz w:val="18"/>
                <w:szCs w:val="18"/>
              </w:rPr>
              <w:t>中国银行股份有限公司－长盛电子 信息主题灵活配置混合型证券投资 基金</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550,193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550,193</w:t>
            </w:r>
          </w:p>
        </w:tc>
      </w:tr>
      <w:tr>
        <w:trPr>
          <w:trHeight w:val="1338"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w:t>
            </w:r>
          </w:p>
          <w:p>
            <w:pPr>
              <w:pStyle w:val="TableParagraph"/>
              <w:spacing w:line="309"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名股东之间关联关系或一致行动的 说明</w:t>
            </w:r>
          </w:p>
        </w:tc>
        <w:tc>
          <w:tcPr>
            <w:tcW w:w="668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22"/>
              <w:jc w:val="left"/>
              <w:rPr>
                <w:rFonts w:ascii="宋体" w:hAnsi="宋体" w:cs="宋体" w:eastAsia="宋体" w:hint="default"/>
                <w:sz w:val="18"/>
                <w:szCs w:val="18"/>
              </w:rPr>
            </w:pPr>
            <w:r>
              <w:rPr>
                <w:rFonts w:ascii="宋体" w:hAnsi="宋体" w:cs="宋体" w:eastAsia="宋体" w:hint="default"/>
                <w:spacing w:val="-1"/>
                <w:sz w:val="18"/>
                <w:szCs w:val="18"/>
              </w:rPr>
              <w:t>公司未知前十名无限售条件股东之间，以及前十名无限售条件股东和前十名股东之间</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是否存在关联关系或一致行动人的情况。</w:t>
            </w:r>
          </w:p>
        </w:tc>
      </w:tr>
      <w:tr>
        <w:trPr>
          <w:trHeight w:val="2586"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22" w:right="22"/>
              <w:jc w:val="left"/>
              <w:rPr>
                <w:rFonts w:ascii="宋体" w:hAnsi="宋体" w:cs="宋体" w:eastAsia="宋体" w:hint="default"/>
                <w:sz w:val="18"/>
                <w:szCs w:val="18"/>
              </w:rPr>
            </w:pPr>
            <w:r>
              <w:rPr>
                <w:rFonts w:ascii="宋体" w:hAnsi="宋体" w:cs="宋体" w:eastAsia="宋体" w:hint="default"/>
                <w:spacing w:val="-4"/>
                <w:sz w:val="18"/>
                <w:szCs w:val="18"/>
              </w:rPr>
              <w:t>参与融资融券业务股东情况说明（如</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5"/>
                <w:sz w:val="18"/>
                <w:szCs w:val="18"/>
              </w:rPr>
              <w:t>有）（参见注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668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公司股东周夏真通过方正证券股份有限公司客户信用交易担保证券账户持有</w:t>
            </w:r>
          </w:p>
          <w:p>
            <w:pPr>
              <w:pStyle w:val="TableParagraph"/>
              <w:spacing w:line="240" w:lineRule="auto" w:before="7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5,122,708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股，合计持有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5,122,708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股；公司股东王素芳通过方正证券股份有限公司客</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户信用交易担保证券账户持有</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2,511,664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股，合计持有</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2,511,664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股；公司股东代德明</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除通过普通证券账户持有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980,000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股外，还通过南京证券股份有限公司客户信用交易</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担保证券账户持有</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179,621</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股，合计持有</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1,159,621</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股；公司股东白双平通过南京证券</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股份有限公司客户信用交易担保证券账户持有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700,000 </w:t>
            </w:r>
            <w:r>
              <w:rPr>
                <w:rFonts w:ascii="宋体" w:hAnsi="宋体" w:cs="宋体" w:eastAsia="宋体" w:hint="default"/>
                <w:sz w:val="18"/>
                <w:szCs w:val="18"/>
              </w:rPr>
              <w:t>股，合计持有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司股东姚健明除通过普通证券账户持有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60,829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股外</w:t>
            </w:r>
            <w:r>
              <w:rPr>
                <w:rFonts w:ascii="宋体" w:hAnsi="宋体" w:cs="宋体" w:eastAsia="宋体" w:hint="default"/>
                <w:spacing w:val="-75"/>
                <w:sz w:val="18"/>
                <w:szCs w:val="18"/>
              </w:rPr>
              <w:t>，</w:t>
            </w:r>
            <w:r>
              <w:rPr>
                <w:rFonts w:ascii="宋体" w:hAnsi="宋体" w:cs="宋体" w:eastAsia="宋体" w:hint="default"/>
                <w:sz w:val="18"/>
                <w:szCs w:val="18"/>
              </w:rPr>
              <w:t>还</w:t>
            </w:r>
            <w:r>
              <w:rPr>
                <w:rFonts w:ascii="宋体" w:hAnsi="宋体" w:cs="宋体" w:eastAsia="宋体" w:hint="default"/>
                <w:spacing w:val="1"/>
                <w:sz w:val="18"/>
                <w:szCs w:val="18"/>
              </w:rPr>
              <w:t>通</w:t>
            </w:r>
            <w:r>
              <w:rPr>
                <w:rFonts w:ascii="宋体" w:hAnsi="宋体" w:cs="宋体" w:eastAsia="宋体" w:hint="default"/>
                <w:sz w:val="18"/>
                <w:szCs w:val="18"/>
              </w:rPr>
              <w:t>过长江证券股份有限公司客</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户信用交易担保证券账户持有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633,207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股，合计持有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694,036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3"/>
        <w:rPr>
          <w:rFonts w:ascii="宋体" w:hAnsi="宋体" w:cs="宋体" w:eastAsia="宋体" w:hint="default"/>
          <w:sz w:val="25"/>
          <w:szCs w:val="25"/>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before="102"/>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、公司控股股东情况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60" w:lineRule="auto" w:before="0"/>
        <w:ind w:left="154" w:right="7612"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 控股股东类型：自然人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spacing w:before="44"/>
        <w:ind w:left="0" w:right="160" w:firstLine="0"/>
        <w:jc w:val="right"/>
        <w:rPr>
          <w:rFonts w:ascii="宋体" w:hAnsi="宋体" w:cs="宋体" w:eastAsia="宋体" w:hint="default"/>
          <w:sz w:val="18"/>
          <w:szCs w:val="18"/>
        </w:rPr>
      </w:pPr>
      <w:r>
        <w:rPr/>
        <w:pict>
          <v:shape style="position:absolute;margin-left:56.459999pt;margin-top:-56.6483pt;width:479.2pt;height:174.5pt;mso-position-horizontal-relative:page;mso-position-vertical-relative:paragraph;z-index:1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17"/>
                    <w:gridCol w:w="2030"/>
                    <w:gridCol w:w="4121"/>
                  </w:tblGrid>
                  <w:tr>
                    <w:trPr>
                      <w:trHeight w:val="402"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0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94"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2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962"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3" w:right="22"/>
                          <w:jc w:val="left"/>
                          <w:rPr>
                            <w:rFonts w:ascii="宋体" w:hAnsi="宋体" w:cs="宋体" w:eastAsia="宋体" w:hint="default"/>
                            <w:sz w:val="18"/>
                            <w:szCs w:val="18"/>
                          </w:rPr>
                        </w:pPr>
                        <w:r>
                          <w:rPr>
                            <w:rFonts w:ascii="宋体" w:hAnsi="宋体" w:cs="宋体" w:eastAsia="宋体" w:hint="default"/>
                            <w:spacing w:val="-1"/>
                            <w:sz w:val="18"/>
                            <w:szCs w:val="18"/>
                          </w:rPr>
                          <w:t>昆仑万维董事长、总经理，昆仑在线执行董事、经理，广州昆仑执行董事、经</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4"/>
                            <w:sz w:val="18"/>
                            <w:szCs w:val="18"/>
                          </w:rPr>
                          <w:t>理，昆仑乐享执行董事、经理，昆仑日本董事，昆仑集团董事，昆仑韩国董事</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4"/>
                            <w:sz w:val="18"/>
                            <w:szCs w:val="18"/>
                          </w:rPr>
                          <w:t>昆仑马来董事，昆仑美国董事长、首席执行官，昆仑欧洲董事，游景蓝图董事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网潮香港董事，香港万维董事，盈瑞世纪执行事务合伙人，</w:t>
                        </w:r>
                        <w:r>
                          <w:rPr>
                            <w:rFonts w:ascii="Times New Roman" w:hAnsi="Times New Roman" w:cs="Times New Roman" w:eastAsia="Times New Roman" w:hint="default"/>
                            <w:sz w:val="18"/>
                            <w:szCs w:val="18"/>
                          </w:rPr>
                          <w:t>Talktalk</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董事， </w:t>
                        </w:r>
                        <w:r>
                          <w:rPr>
                            <w:rFonts w:ascii="Times New Roman" w:hAnsi="Times New Roman" w:cs="Times New Roman" w:eastAsia="Times New Roman" w:hint="default"/>
                            <w:sz w:val="18"/>
                            <w:szCs w:val="18"/>
                          </w:rPr>
                          <w:t>RaidCall(HK) Limited</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董事，畅游瑞科董事，信达天下董事，趣分期董事， </w:t>
                        </w:r>
                        <w:r>
                          <w:rPr>
                            <w:rFonts w:ascii="Times New Roman" w:hAnsi="Times New Roman" w:cs="Times New Roman" w:eastAsia="Times New Roman" w:hint="default"/>
                            <w:sz w:val="18"/>
                            <w:szCs w:val="18"/>
                          </w:rPr>
                          <w:t>LendInvest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董事，米投科技董事，映客董事等。</w:t>
                        </w:r>
                      </w:p>
                    </w:tc>
                  </w:tr>
                  <w:tr>
                    <w:trPr>
                      <w:trHeight w:val="714"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4"/>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before="76"/>
        <w:ind w:left="0" w:right="161"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38" w:lineRule="auto" w:before="117"/>
        <w:ind w:left="154" w:right="70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公司报告期控股股东未发生变更。</w:t>
      </w:r>
    </w:p>
    <w:p>
      <w:pPr>
        <w:spacing w:line="240" w:lineRule="auto" w:before="1"/>
        <w:rPr>
          <w:rFonts w:ascii="宋体" w:hAnsi="宋体" w:cs="宋体" w:eastAsia="宋体" w:hint="default"/>
          <w:sz w:val="16"/>
          <w:szCs w:val="16"/>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、公司实际控制人情况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60" w:lineRule="auto" w:before="0"/>
        <w:ind w:left="154" w:right="7432"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spacing w:before="44"/>
        <w:ind w:left="0" w:right="159" w:firstLine="0"/>
        <w:jc w:val="right"/>
        <w:rPr>
          <w:rFonts w:ascii="宋体" w:hAnsi="宋体" w:cs="宋体" w:eastAsia="宋体" w:hint="default"/>
          <w:sz w:val="18"/>
          <w:szCs w:val="18"/>
        </w:rPr>
      </w:pPr>
      <w:r>
        <w:rPr/>
        <w:pict>
          <v:shape style="position:absolute;margin-left:56.459999pt;margin-top:-56.648304pt;width:479.2pt;height:158.9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27"/>
                    <w:gridCol w:w="2121"/>
                    <w:gridCol w:w="4120"/>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8"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94"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96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24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3" w:right="86"/>
                          <w:jc w:val="left"/>
                          <w:rPr>
                            <w:rFonts w:ascii="宋体" w:hAnsi="宋体" w:cs="宋体" w:eastAsia="宋体" w:hint="default"/>
                            <w:sz w:val="18"/>
                            <w:szCs w:val="18"/>
                          </w:rPr>
                        </w:pPr>
                        <w:r>
                          <w:rPr>
                            <w:rFonts w:ascii="宋体" w:hAnsi="宋体" w:cs="宋体" w:eastAsia="宋体" w:hint="default"/>
                            <w:sz w:val="18"/>
                            <w:szCs w:val="18"/>
                          </w:rPr>
                          <w:t>昆仑万维董事长、总经理，昆仑在线执行董事、经理，广州昆仑执行董事、经 </w:t>
                        </w:r>
                        <w:r>
                          <w:rPr>
                            <w:rFonts w:ascii="宋体" w:hAnsi="宋体" w:cs="宋体" w:eastAsia="宋体" w:hint="default"/>
                            <w:spacing w:val="-1"/>
                            <w:sz w:val="18"/>
                            <w:szCs w:val="18"/>
                          </w:rPr>
                          <w:t>理，昆仑乐享执行董事、经理，昆仑日本董事，昆仑集团董事，昆仑韩国董事</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昆仑马来董事，昆仑美国董事长、首席执行官，昆仑欧洲董事，游景蓝图董事</w:t>
                        </w:r>
                        <w:r>
                          <w:rPr>
                            <w:rFonts w:ascii="宋体" w:hAnsi="宋体" w:cs="宋体" w:eastAsia="宋体" w:hint="default"/>
                            <w:sz w:val="18"/>
                            <w:szCs w:val="18"/>
                          </w:rPr>
                          <w:t> 网潮香港董事，香港万维董事，盈瑞世纪执行事务合伙人，</w:t>
                        </w:r>
                        <w:r>
                          <w:rPr>
                            <w:rFonts w:ascii="Times New Roman" w:hAnsi="Times New Roman" w:cs="Times New Roman" w:eastAsia="Times New Roman" w:hint="default"/>
                            <w:sz w:val="18"/>
                            <w:szCs w:val="18"/>
                          </w:rPr>
                          <w:t>Talktalk</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董事， </w:t>
                        </w:r>
                        <w:r>
                          <w:rPr>
                            <w:rFonts w:ascii="Times New Roman" w:hAnsi="Times New Roman" w:cs="Times New Roman" w:eastAsia="Times New Roman" w:hint="default"/>
                            <w:sz w:val="18"/>
                            <w:szCs w:val="18"/>
                          </w:rPr>
                          <w:t>RaidCall(HK) Limited</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董事，畅游瑞科董事，信达天下董事，趣分期董事， </w:t>
                        </w:r>
                        <w:r>
                          <w:rPr>
                            <w:rFonts w:ascii="Times New Roman" w:hAnsi="Times New Roman" w:cs="Times New Roman" w:eastAsia="Times New Roman" w:hint="default"/>
                            <w:sz w:val="18"/>
                            <w:szCs w:val="18"/>
                          </w:rPr>
                          <w:t>LendInvest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董事，米投科技董事，映客董事等。</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年曾控股的境内外上市公司情况</w:t>
                        </w:r>
                      </w:p>
                    </w:tc>
                    <w:tc>
                      <w:tcPr>
                        <w:tcW w:w="62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before="76"/>
        <w:ind w:left="0" w:right="158"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50" w:lineRule="auto" w:before="117"/>
        <w:ind w:left="154" w:right="58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公司报告期实际控制人未发生变更。 公司与实际控制人之间的产权及控制关系的方框图</w:t>
      </w:r>
    </w:p>
    <w:p>
      <w:pPr>
        <w:spacing w:after="0" w:line="35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spacing w:line="6675" w:lineRule="exact"/>
        <w:ind w:left="1356" w:right="0" w:firstLine="0"/>
        <w:rPr>
          <w:rFonts w:ascii="宋体" w:hAnsi="宋体" w:cs="宋体" w:eastAsia="宋体" w:hint="default"/>
          <w:sz w:val="20"/>
          <w:szCs w:val="20"/>
        </w:rPr>
      </w:pPr>
      <w:r>
        <w:rPr>
          <w:rFonts w:ascii="宋体" w:hAnsi="宋体" w:cs="宋体" w:eastAsia="宋体" w:hint="default"/>
          <w:position w:val="-133"/>
          <w:sz w:val="20"/>
          <w:szCs w:val="20"/>
        </w:rPr>
        <w:drawing>
          <wp:inline distT="0" distB="0" distL="0" distR="0">
            <wp:extent cx="4591526" cy="4238625"/>
            <wp:effectExtent l="0" t="0" r="0" b="0"/>
            <wp:docPr id="61" name="image32.png" descr=""/>
            <wp:cNvGraphicFramePr>
              <a:graphicFrameLocks noChangeAspect="1"/>
            </wp:cNvGraphicFramePr>
            <a:graphic>
              <a:graphicData uri="http://schemas.openxmlformats.org/drawingml/2006/picture">
                <pic:pic>
                  <pic:nvPicPr>
                    <pic:cNvPr id="62" name="image32.png"/>
                    <pic:cNvPicPr/>
                  </pic:nvPicPr>
                  <pic:blipFill>
                    <a:blip r:embed="rId45" cstate="print"/>
                    <a:stretch>
                      <a:fillRect/>
                    </a:stretch>
                  </pic:blipFill>
                  <pic:spPr>
                    <a:xfrm>
                      <a:off x="0" y="0"/>
                      <a:ext cx="4591526" cy="4238625"/>
                    </a:xfrm>
                    <a:prstGeom prst="rect">
                      <a:avLst/>
                    </a:prstGeom>
                  </pic:spPr>
                </pic:pic>
              </a:graphicData>
            </a:graphic>
          </wp:inline>
        </w:drawing>
      </w:r>
      <w:r>
        <w:rPr>
          <w:rFonts w:ascii="宋体" w:hAnsi="宋体" w:cs="宋体" w:eastAsia="宋体" w:hint="default"/>
          <w:position w:val="-133"/>
          <w:sz w:val="20"/>
          <w:szCs w:val="20"/>
        </w:rPr>
      </w:r>
    </w:p>
    <w:p>
      <w:pPr>
        <w:spacing w:line="240" w:lineRule="auto" w:before="11"/>
        <w:rPr>
          <w:rFonts w:ascii="宋体" w:hAnsi="宋体" w:cs="宋体" w:eastAsia="宋体" w:hint="default"/>
          <w:sz w:val="17"/>
          <w:szCs w:val="17"/>
        </w:rPr>
      </w:pPr>
    </w:p>
    <w:p>
      <w:pPr>
        <w:pStyle w:val="BodyText"/>
        <w:spacing w:line="240" w:lineRule="auto" w:before="26"/>
        <w:ind w:right="0"/>
        <w:jc w:val="left"/>
      </w:pPr>
      <w:r>
        <w:rPr/>
        <w:t>实际控制人通过信托或其他资产管理方式控制公司</w:t>
      </w:r>
    </w:p>
    <w:p>
      <w:pPr>
        <w:spacing w:line="240" w:lineRule="auto" w:before="12"/>
        <w:rPr>
          <w:rFonts w:ascii="宋体" w:hAnsi="宋体" w:cs="宋体" w:eastAsia="宋体" w:hint="default"/>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、其他持股在</w:t>
      </w:r>
      <w:r>
        <w:rPr>
          <w:rFonts w:ascii="Microsoft JhengHei" w:hAnsi="Microsoft JhengHei" w:cs="Microsoft JhengHei" w:eastAsia="Microsoft JhengHei" w:hint="default"/>
          <w:b/>
          <w:bCs/>
          <w:spacing w:val="6"/>
          <w:sz w:val="21"/>
          <w:szCs w:val="21"/>
        </w:rPr>
        <w:t> </w:t>
      </w: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以上的法人股东</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579"/>
        <w:gridCol w:w="1817"/>
        <w:gridCol w:w="1411"/>
        <w:gridCol w:w="1637"/>
        <w:gridCol w:w="2124"/>
      </w:tblGrid>
      <w:tr>
        <w:trPr>
          <w:trHeight w:val="714" w:hRule="exact"/>
        </w:trPr>
        <w:tc>
          <w:tcPr>
            <w:tcW w:w="2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4" w:right="0"/>
              <w:jc w:val="left"/>
              <w:rPr>
                <w:rFonts w:ascii="宋体" w:hAnsi="宋体" w:cs="宋体" w:eastAsia="宋体" w:hint="default"/>
                <w:sz w:val="18"/>
                <w:szCs w:val="18"/>
              </w:rPr>
            </w:pPr>
            <w:r>
              <w:rPr>
                <w:rFonts w:ascii="宋体" w:hAnsi="宋体" w:cs="宋体" w:eastAsia="宋体" w:hint="default"/>
                <w:sz w:val="18"/>
                <w:szCs w:val="18"/>
              </w:rPr>
              <w:t>法人股东名称</w:t>
            </w:r>
          </w:p>
        </w:tc>
        <w:tc>
          <w:tcPr>
            <w:tcW w:w="1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812" w:right="69" w:hanging="746"/>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单位负责 人</w:t>
            </w:r>
          </w:p>
        </w:tc>
        <w:tc>
          <w:tcPr>
            <w:tcW w:w="14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5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主要经营业务或管理活动</w:t>
            </w:r>
          </w:p>
        </w:tc>
      </w:tr>
      <w:tr>
        <w:trPr>
          <w:trHeight w:val="714" w:hRule="exact"/>
        </w:trPr>
        <w:tc>
          <w:tcPr>
            <w:tcW w:w="25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4"/>
              <w:jc w:val="left"/>
              <w:rPr>
                <w:rFonts w:ascii="宋体" w:hAnsi="宋体" w:cs="宋体" w:eastAsia="宋体" w:hint="default"/>
                <w:sz w:val="18"/>
                <w:szCs w:val="18"/>
              </w:rPr>
            </w:pPr>
            <w:r>
              <w:rPr>
                <w:rFonts w:ascii="宋体" w:hAnsi="宋体" w:cs="宋体" w:eastAsia="宋体" w:hint="default"/>
                <w:sz w:val="18"/>
                <w:szCs w:val="18"/>
              </w:rPr>
              <w:t>北京盈瑞世纪软件研发中心（有 限合伙）</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9"/>
              <w:jc w:val="left"/>
              <w:rPr>
                <w:rFonts w:ascii="宋体" w:hAnsi="宋体" w:cs="宋体" w:eastAsia="宋体" w:hint="default"/>
                <w:sz w:val="18"/>
                <w:szCs w:val="18"/>
              </w:rPr>
            </w:pPr>
            <w:r>
              <w:rPr>
                <w:rFonts w:ascii="宋体" w:hAnsi="宋体" w:cs="宋体" w:eastAsia="宋体" w:hint="default"/>
                <w:sz w:val="18"/>
                <w:szCs w:val="18"/>
              </w:rPr>
              <w:t>技术开发、技术咨询、技 术转让</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、控股股东、实际控制人、重组方及其他承诺主体股份限制减持情况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457" w:lineRule="exact"/>
        <w:ind w:left="3286" w:right="0"/>
        <w:jc w:val="left"/>
        <w:rPr>
          <w:b w:val="0"/>
          <w:bCs w:val="0"/>
        </w:rPr>
      </w:pPr>
      <w:bookmarkStart w:name="_TOC_250004" w:id="7"/>
      <w:r>
        <w:rPr/>
        <w:t>第七节 </w:t>
      </w:r>
      <w:r>
        <w:rPr>
          <w:spacing w:val="6"/>
        </w:rPr>
        <w:t> </w:t>
      </w:r>
      <w:r>
        <w:rPr/>
        <w:t>优先股相关情况</w:t>
      </w:r>
      <w:bookmarkEnd w:id="7"/>
      <w:r>
        <w:rPr>
          <w:b w:val="0"/>
          <w:bCs w:val="0"/>
        </w:rPr>
      </w:r>
    </w:p>
    <w:p>
      <w:pPr>
        <w:spacing w:line="240" w:lineRule="auto" w:before="7"/>
        <w:rPr>
          <w:rFonts w:ascii="Microsoft JhengHei" w:hAnsi="Microsoft JhengHei" w:cs="Microsoft JhengHei" w:eastAsia="Microsoft JhengHei" w:hint="default"/>
          <w:b/>
          <w:bCs/>
          <w:sz w:val="27"/>
          <w:szCs w:val="27"/>
        </w:rPr>
      </w:pPr>
    </w:p>
    <w:p>
      <w:pPr>
        <w:spacing w:line="338" w:lineRule="auto" w:before="44"/>
        <w:ind w:left="154" w:right="76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457" w:lineRule="exact"/>
        <w:ind w:left="1680" w:right="0"/>
        <w:jc w:val="left"/>
        <w:rPr>
          <w:b w:val="0"/>
          <w:bCs w:val="0"/>
        </w:rPr>
      </w:pPr>
      <w:bookmarkStart w:name="_TOC_250003" w:id="8"/>
      <w:r>
        <w:rPr/>
        <w:t>第八节 </w:t>
      </w:r>
      <w:r>
        <w:rPr>
          <w:spacing w:val="9"/>
        </w:rPr>
        <w:t> </w:t>
      </w:r>
      <w:r>
        <w:rPr/>
        <w:t>董事、监事、高级管理人员和员工情况</w:t>
      </w:r>
      <w:bookmarkEnd w:id="8"/>
      <w:r>
        <w:rPr>
          <w:b w:val="0"/>
          <w:bCs w:val="0"/>
        </w:rPr>
      </w:r>
    </w:p>
    <w:p>
      <w:pPr>
        <w:spacing w:line="240" w:lineRule="auto" w:before="13"/>
        <w:rPr>
          <w:rFonts w:ascii="Microsoft JhengHei" w:hAnsi="Microsoft JhengHei" w:cs="Microsoft JhengHei" w:eastAsia="Microsoft JhengHei" w:hint="default"/>
          <w:b/>
          <w:bCs/>
          <w:sz w:val="22"/>
          <w:szCs w:val="22"/>
        </w:rPr>
      </w:pPr>
    </w:p>
    <w:p>
      <w:pPr>
        <w:pStyle w:val="Heading2"/>
        <w:spacing w:line="240" w:lineRule="auto"/>
        <w:ind w:right="0"/>
        <w:jc w:val="left"/>
        <w:rPr>
          <w:b w:val="0"/>
          <w:bCs w:val="0"/>
        </w:rPr>
      </w:pPr>
      <w:r>
        <w:rPr/>
        <w:pict>
          <v:shape style="position:absolute;margin-left:471.540009pt;margin-top:36.853622pt;width:63.55pt;height:50.8pt;mso-position-horizontal-relative:page;mso-position-vertical-relative:paragraph;z-index:-965656" type="#_x0000_t202" filled="false" stroked="false">
            <v:textbox inset="0,0,0,0">
              <w:txbxContent>
                <w:p>
                  <w:pPr>
                    <w:spacing w:line="240" w:lineRule="auto" w:before="0"/>
                    <w:rPr>
                      <w:rFonts w:ascii="Microsoft JhengHei" w:hAnsi="Microsoft JhengHei" w:cs="Microsoft JhengHei" w:eastAsia="Microsoft JhengHei" w:hint="default"/>
                      <w:b/>
                      <w:bCs/>
                      <w:sz w:val="18"/>
                      <w:szCs w:val="18"/>
                    </w:rPr>
                  </w:pPr>
                </w:p>
                <w:p>
                  <w:pPr>
                    <w:spacing w:line="240" w:lineRule="auto" w:before="15"/>
                    <w:rPr>
                      <w:rFonts w:ascii="Microsoft JhengHei" w:hAnsi="Microsoft JhengHei" w:cs="Microsoft JhengHei" w:eastAsia="Microsoft JhengHei" w:hint="default"/>
                      <w:b/>
                      <w:bCs/>
                      <w:sz w:val="11"/>
                      <w:szCs w:val="1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w:pict>
      </w:r>
      <w:r>
        <w:rPr/>
        <w:t>一、董事、监事和高级管理人员持股变动</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22" w:right="32" w:firstLine="10"/>
              <w:jc w:val="left"/>
              <w:rPr>
                <w:rFonts w:ascii="宋体" w:hAnsi="宋体" w:cs="宋体" w:eastAsia="宋体" w:hint="default"/>
                <w:sz w:val="18"/>
                <w:szCs w:val="18"/>
              </w:rPr>
            </w:pPr>
            <w:r>
              <w:rPr>
                <w:rFonts w:ascii="宋体" w:hAnsi="宋体" w:cs="宋体" w:eastAsia="宋体" w:hint="default"/>
                <w:sz w:val="18"/>
                <w:szCs w:val="18"/>
              </w:rPr>
              <w:t>其他增减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2"/>
              <w:jc w:val="both"/>
              <w:rPr>
                <w:rFonts w:ascii="宋体" w:hAnsi="宋体" w:cs="宋体" w:eastAsia="宋体" w:hint="default"/>
                <w:sz w:val="18"/>
                <w:szCs w:val="18"/>
              </w:rPr>
            </w:pPr>
            <w:r>
              <w:rPr>
                <w:rFonts w:ascii="宋体" w:hAnsi="宋体" w:cs="宋体" w:eastAsia="宋体" w:hint="default"/>
                <w:sz w:val="18"/>
                <w:szCs w:val="18"/>
              </w:rPr>
              <w:t>董事、高 级管理人 员</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100,793,7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294,768,9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395,562,7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58</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2"/>
              <w:jc w:val="both"/>
              <w:rPr>
                <w:rFonts w:ascii="宋体" w:hAnsi="宋体" w:cs="宋体" w:eastAsia="宋体" w:hint="default"/>
                <w:sz w:val="18"/>
                <w:szCs w:val="18"/>
              </w:rPr>
            </w:pPr>
            <w:r>
              <w:rPr>
                <w:rFonts w:ascii="宋体" w:hAnsi="宋体" w:cs="宋体" w:eastAsia="宋体" w:hint="default"/>
                <w:sz w:val="18"/>
                <w:szCs w:val="18"/>
              </w:rPr>
              <w:t>董事、高 级管理人 员</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14,873,65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43,497,63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58,371,28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高级管理 人员</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9,915,769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28,998,42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38,914,19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李振春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2,596,581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7,593,637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10,190,21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吴绩伟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高级管理 人员</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1,984,766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5,804,399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7,789,165</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于明俭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1,320,991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3,863,204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5,184,195</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花伟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高级管理 人员</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2,129,094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6,226,483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8,355,577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陈向阳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1,320,991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3,863,204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5,184,195</w:t>
            </w:r>
          </w:p>
        </w:tc>
      </w:tr>
      <w:tr>
        <w:trPr>
          <w:trHeight w:val="71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134,935,6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394,615,9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529,551,5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88</w:t>
            </w:r>
          </w:p>
        </w:tc>
      </w:tr>
    </w:tbl>
    <w:p>
      <w:pPr>
        <w:spacing w:line="240" w:lineRule="auto" w:before="11"/>
        <w:rPr>
          <w:rFonts w:ascii="Microsoft JhengHei" w:hAnsi="Microsoft JhengHei" w:cs="Microsoft JhengHei" w:eastAsia="Microsoft JhengHei" w:hint="default"/>
          <w:b/>
          <w:bCs/>
          <w:sz w:val="13"/>
          <w:szCs w:val="13"/>
        </w:rPr>
      </w:pPr>
    </w:p>
    <w:p>
      <w:pPr>
        <w:pStyle w:val="Heading2"/>
        <w:spacing w:line="367" w:lineRule="exact"/>
        <w:ind w:right="0"/>
        <w:jc w:val="left"/>
        <w:rPr>
          <w:b w:val="0"/>
          <w:bCs w:val="0"/>
        </w:rPr>
      </w:pPr>
      <w:r>
        <w:rPr/>
        <w:t>二、公司董事、监事、高级管理人员变动情况</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49" w:type="dxa"/>
        <w:tblLayout w:type="fixed"/>
        <w:tblCellMar>
          <w:top w:w="0" w:type="dxa"/>
          <w:left w:w="0" w:type="dxa"/>
          <w:bottom w:w="0" w:type="dxa"/>
          <w:right w:w="0" w:type="dxa"/>
        </w:tblCellMar>
        <w:tblLook w:val="01E0"/>
      </w:tblPr>
      <w:tblGrid>
        <w:gridCol w:w="1330"/>
        <w:gridCol w:w="1331"/>
        <w:gridCol w:w="1330"/>
        <w:gridCol w:w="1330"/>
        <w:gridCol w:w="4248"/>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花伟</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工作安排调整</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7"/>
        <w:rPr>
          <w:rFonts w:ascii="Microsoft JhengHei" w:hAnsi="Microsoft JhengHei" w:cs="Microsoft JhengHei" w:eastAsia="Microsoft JhengHei" w:hint="default"/>
          <w:b/>
          <w:bCs/>
          <w:sz w:val="21"/>
          <w:szCs w:val="21"/>
        </w:rPr>
      </w:pPr>
    </w:p>
    <w:tbl>
      <w:tblPr>
        <w:tblW w:w="0" w:type="auto"/>
        <w:jc w:val="left"/>
        <w:tblInd w:w="149" w:type="dxa"/>
        <w:tblLayout w:type="fixed"/>
        <w:tblCellMar>
          <w:top w:w="0" w:type="dxa"/>
          <w:left w:w="0" w:type="dxa"/>
          <w:bottom w:w="0" w:type="dxa"/>
          <w:right w:w="0" w:type="dxa"/>
        </w:tblCellMar>
        <w:tblLook w:val="01E0"/>
      </w:tblPr>
      <w:tblGrid>
        <w:gridCol w:w="1330"/>
        <w:gridCol w:w="1331"/>
        <w:gridCol w:w="1330"/>
        <w:gridCol w:w="1330"/>
        <w:gridCol w:w="4248"/>
      </w:tblGrid>
      <w:tr>
        <w:trPr>
          <w:trHeight w:val="362" w:hRule="exact"/>
        </w:trPr>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Microsoft JhengHei" w:hAnsi="Microsoft JhengHei" w:cs="Microsoft JhengHei" w:eastAsia="Microsoft JhengHei" w:hint="default"/>
          <w:b/>
          <w:bCs/>
          <w:sz w:val="13"/>
          <w:szCs w:val="13"/>
        </w:rPr>
      </w:pPr>
    </w:p>
    <w:p>
      <w:pPr>
        <w:pStyle w:val="Heading2"/>
        <w:spacing w:line="367" w:lineRule="exact"/>
        <w:ind w:right="82"/>
        <w:jc w:val="left"/>
        <w:rPr>
          <w:b w:val="0"/>
          <w:bCs w:val="0"/>
        </w:rPr>
      </w:pPr>
      <w:r>
        <w:rPr/>
        <w:t>三、任职情况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line="439" w:lineRule="auto" w:before="0"/>
        <w:ind w:left="444" w:right="2682" w:hanging="291"/>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 至本报告期末（</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日），公司的董事、监事、高级管理人员任职情况如下：</w:t>
      </w:r>
    </w:p>
    <w:p>
      <w:pPr>
        <w:spacing w:before="17"/>
        <w:ind w:left="154" w:right="82" w:firstLine="0"/>
        <w:jc w:val="left"/>
        <w:rPr>
          <w:rFonts w:ascii="宋体" w:hAnsi="宋体" w:cs="宋体" w:eastAsia="宋体" w:hint="default"/>
          <w:sz w:val="18"/>
          <w:szCs w:val="18"/>
        </w:rPr>
      </w:pPr>
      <w:r>
        <w:rPr>
          <w:rFonts w:ascii="宋体" w:hAnsi="宋体" w:cs="宋体" w:eastAsia="宋体" w:hint="default"/>
          <w:sz w:val="18"/>
          <w:szCs w:val="18"/>
        </w:rPr>
        <w:t>（一）董事</w:t>
      </w:r>
    </w:p>
    <w:p>
      <w:pPr>
        <w:spacing w:line="240" w:lineRule="auto" w:before="0"/>
        <w:rPr>
          <w:rFonts w:ascii="宋体" w:hAnsi="宋体" w:cs="宋体" w:eastAsia="宋体" w:hint="default"/>
          <w:sz w:val="15"/>
          <w:szCs w:val="15"/>
        </w:rPr>
      </w:pPr>
    </w:p>
    <w:p>
      <w:pPr>
        <w:spacing w:line="300" w:lineRule="auto" w:before="0"/>
        <w:ind w:left="154" w:right="199" w:firstLine="360"/>
        <w:jc w:val="both"/>
        <w:rPr>
          <w:rFonts w:ascii="宋体" w:hAnsi="宋体" w:cs="宋体" w:eastAsia="宋体" w:hint="default"/>
          <w:sz w:val="18"/>
          <w:szCs w:val="18"/>
        </w:rPr>
      </w:pPr>
      <w:r>
        <w:rPr>
          <w:rFonts w:ascii="宋体" w:hAnsi="宋体" w:cs="宋体" w:eastAsia="宋体" w:hint="default"/>
          <w:sz w:val="18"/>
          <w:szCs w:val="18"/>
        </w:rPr>
        <w:t>本公司设董事会，由</w:t>
      </w:r>
      <w:r>
        <w:rPr>
          <w:rFonts w:ascii="Times New Roman" w:hAnsi="Times New Roman" w:cs="Times New Roman" w:eastAsia="Times New Roman" w:hint="default"/>
          <w:sz w:val="18"/>
          <w:szCs w:val="18"/>
        </w:rPr>
        <w:t>7</w:t>
      </w:r>
      <w:r>
        <w:rPr>
          <w:rFonts w:ascii="宋体" w:hAnsi="宋体" w:cs="宋体" w:eastAsia="宋体" w:hint="default"/>
          <w:sz w:val="18"/>
          <w:szCs w:val="18"/>
        </w:rPr>
        <w:t>名董事组成成，设董事长</w:t>
      </w:r>
      <w:r>
        <w:rPr>
          <w:rFonts w:ascii="Times New Roman" w:hAnsi="Times New Roman" w:cs="Times New Roman" w:eastAsia="Times New Roman" w:hint="default"/>
          <w:sz w:val="18"/>
          <w:szCs w:val="18"/>
        </w:rPr>
        <w:t>1</w:t>
      </w:r>
      <w:r>
        <w:rPr>
          <w:rFonts w:ascii="宋体" w:hAnsi="宋体" w:cs="宋体" w:eastAsia="宋体" w:hint="default"/>
          <w:sz w:val="18"/>
          <w:szCs w:val="18"/>
        </w:rPr>
        <w:t>名，独立董事</w:t>
      </w:r>
      <w:r>
        <w:rPr>
          <w:rFonts w:ascii="Times New Roman" w:hAnsi="Times New Roman" w:cs="Times New Roman" w:eastAsia="Times New Roman" w:hint="default"/>
          <w:sz w:val="18"/>
          <w:szCs w:val="18"/>
        </w:rPr>
        <w:t>3</w:t>
      </w:r>
      <w:r>
        <w:rPr>
          <w:rFonts w:ascii="宋体" w:hAnsi="宋体" w:cs="宋体" w:eastAsia="宋体" w:hint="default"/>
          <w:sz w:val="18"/>
          <w:szCs w:val="18"/>
        </w:rPr>
        <w:t>名。董事由股东大会选举或更换，任期三年。董事任期 届满，可连选连任。董事会成员如下：</w:t>
      </w:r>
    </w:p>
    <w:p>
      <w:pPr>
        <w:spacing w:line="300" w:lineRule="auto" w:before="151"/>
        <w:ind w:left="154" w:right="192" w:firstLine="360"/>
        <w:jc w:val="both"/>
        <w:rPr>
          <w:rFonts w:ascii="宋体" w:hAnsi="宋体" w:cs="宋体" w:eastAsia="宋体" w:hint="default"/>
          <w:sz w:val="18"/>
          <w:szCs w:val="18"/>
        </w:rPr>
      </w:pPr>
      <w:r>
        <w:rPr>
          <w:rFonts w:ascii="宋体" w:hAnsi="宋体" w:cs="宋体" w:eastAsia="宋体" w:hint="default"/>
          <w:spacing w:val="-2"/>
          <w:sz w:val="18"/>
          <w:szCs w:val="18"/>
        </w:rPr>
        <w:t>周亚辉，男，</w:t>
      </w:r>
      <w:r>
        <w:rPr>
          <w:rFonts w:ascii="Times New Roman" w:hAnsi="Times New Roman" w:cs="Times New Roman" w:eastAsia="Times New Roman" w:hint="default"/>
          <w:spacing w:val="-2"/>
          <w:sz w:val="18"/>
          <w:szCs w:val="18"/>
        </w:rPr>
        <w:t>1977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月出生，中国国籍，无永久境外居留权，清华大学精密仪器系毕业，硕士学历。</w:t>
      </w:r>
      <w:r>
        <w:rPr>
          <w:rFonts w:ascii="Times New Roman" w:hAnsi="Times New Roman" w:cs="Times New Roman" w:eastAsia="Times New Roman" w:hint="default"/>
          <w:spacing w:val="-2"/>
          <w:sz w:val="18"/>
          <w:szCs w:val="18"/>
        </w:rPr>
        <w:t>2000</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9</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2004</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月任北京火神互动网络科技有限公司经理，负责公司整体运营；</w:t>
      </w:r>
      <w:r>
        <w:rPr>
          <w:rFonts w:ascii="Times New Roman" w:hAnsi="Times New Roman" w:cs="Times New Roman" w:eastAsia="Times New Roman" w:hint="default"/>
          <w:sz w:val="18"/>
          <w:szCs w:val="18"/>
        </w:rPr>
        <w:t>2004</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2006</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月，清华大学完成硕士学业；</w:t>
      </w:r>
      <w:r>
        <w:rPr>
          <w:rFonts w:ascii="Times New Roman" w:hAnsi="Times New Roman" w:cs="Times New Roman" w:eastAsia="Times New Roman" w:hint="default"/>
          <w:sz w:val="18"/>
          <w:szCs w:val="18"/>
        </w:rPr>
        <w:t>2005 </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月任千橡世纪科技发展（北京）有限公司总监，负责新业务拓展；</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月任北京基耐特互 </w:t>
      </w:r>
      <w:r>
        <w:rPr>
          <w:rFonts w:ascii="宋体" w:hAnsi="宋体" w:cs="宋体" w:eastAsia="宋体" w:hint="default"/>
          <w:spacing w:val="-2"/>
          <w:sz w:val="18"/>
          <w:szCs w:val="18"/>
        </w:rPr>
        <w:t>联科技发展有限公司经理，负责公司总体规划；</w:t>
      </w:r>
      <w:r>
        <w:rPr>
          <w:rFonts w:ascii="Times New Roman" w:hAnsi="Times New Roman" w:cs="Times New Roman" w:eastAsia="Times New Roman" w:hint="default"/>
          <w:spacing w:val="-2"/>
          <w:sz w:val="18"/>
          <w:szCs w:val="18"/>
        </w:rPr>
        <w:t>2008</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月，任昆仑有限执行董事、经理；</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月，任昆仑有限董事长、总经理。现任发行人董事长、总经理、董事会秘书，董事任期为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p>
      <w:pPr>
        <w:spacing w:line="300" w:lineRule="auto" w:before="133"/>
        <w:ind w:left="154" w:right="191" w:firstLine="360"/>
        <w:jc w:val="both"/>
        <w:rPr>
          <w:rFonts w:ascii="宋体" w:hAnsi="宋体" w:cs="宋体" w:eastAsia="宋体" w:hint="default"/>
          <w:sz w:val="18"/>
          <w:szCs w:val="18"/>
        </w:rPr>
      </w:pPr>
      <w:r>
        <w:rPr>
          <w:rFonts w:ascii="宋体" w:hAnsi="宋体" w:cs="宋体" w:eastAsia="宋体" w:hint="default"/>
          <w:sz w:val="18"/>
          <w:szCs w:val="18"/>
        </w:rPr>
        <w:t>王立伟，男，</w:t>
      </w:r>
      <w:r>
        <w:rPr>
          <w:rFonts w:ascii="Times New Roman" w:hAnsi="Times New Roman" w:cs="Times New Roman" w:eastAsia="Times New Roman" w:hint="default"/>
          <w:sz w:val="18"/>
          <w:szCs w:val="18"/>
        </w:rPr>
        <w:t>1979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月出生，中国国籍，无永久境外居留权，天津理工大学计算机科学与工程专业毕业，本科学历。 </w:t>
      </w:r>
      <w:r>
        <w:rPr>
          <w:rFonts w:ascii="Times New Roman" w:hAnsi="Times New Roman" w:cs="Times New Roman" w:eastAsia="Times New Roman" w:hint="default"/>
          <w:spacing w:val="-2"/>
          <w:sz w:val="18"/>
          <w:szCs w:val="18"/>
        </w:rPr>
        <w:t>2002</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2007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月为自由职业者；</w:t>
      </w:r>
      <w:r>
        <w:rPr>
          <w:rFonts w:ascii="Times New Roman" w:hAnsi="Times New Roman" w:cs="Times New Roman" w:eastAsia="Times New Roman" w:hint="default"/>
          <w:spacing w:val="-2"/>
          <w:sz w:val="18"/>
          <w:szCs w:val="18"/>
        </w:rPr>
        <w:t>2007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2008</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月任北京基耐特互联科技发展有限公司监事职务，负责行政人事</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3"/>
          <w:sz w:val="18"/>
          <w:szCs w:val="18"/>
        </w:rPr>
        <w:t>管理；</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月加入昆仑有限，负责互联网事业部的管理工作。现任本公司董事、副总经理、财务负责人，董事任期为</w:t>
      </w:r>
      <w:r>
        <w:rPr>
          <w:rFonts w:ascii="Times New Roman" w:hAnsi="Times New Roman" w:cs="Times New Roman" w:eastAsia="Times New Roman" w:hint="default"/>
          <w:spacing w:val="-3"/>
          <w:sz w:val="18"/>
          <w:szCs w:val="18"/>
        </w:rPr>
        <w:t>2014</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p>
      <w:pPr>
        <w:spacing w:line="312" w:lineRule="auto" w:before="133"/>
        <w:ind w:left="154" w:right="92" w:firstLine="360"/>
        <w:jc w:val="left"/>
        <w:rPr>
          <w:rFonts w:ascii="宋体" w:hAnsi="宋体" w:cs="宋体" w:eastAsia="宋体" w:hint="default"/>
          <w:sz w:val="18"/>
          <w:szCs w:val="18"/>
        </w:rPr>
      </w:pPr>
      <w:r>
        <w:rPr>
          <w:rFonts w:ascii="宋体" w:hAnsi="宋体" w:cs="宋体" w:eastAsia="宋体" w:hint="default"/>
          <w:spacing w:val="-2"/>
          <w:sz w:val="18"/>
          <w:szCs w:val="18"/>
        </w:rPr>
        <w:t>陈玮，男，</w:t>
      </w:r>
      <w:r>
        <w:rPr>
          <w:rFonts w:ascii="Times New Roman" w:hAnsi="Times New Roman" w:cs="Times New Roman" w:eastAsia="Times New Roman" w:hint="default"/>
          <w:spacing w:val="-2"/>
          <w:sz w:val="18"/>
          <w:szCs w:val="18"/>
        </w:rPr>
        <w:t>1964</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10</w:t>
      </w:r>
      <w:r>
        <w:rPr>
          <w:rFonts w:ascii="宋体" w:hAnsi="宋体" w:cs="宋体" w:eastAsia="宋体" w:hint="default"/>
          <w:spacing w:val="-2"/>
          <w:sz w:val="18"/>
          <w:szCs w:val="18"/>
        </w:rPr>
        <w:t>月出生，中国国籍，无永久境外居留权，厦门大学会计系毕业，博士学历。曾任兰州商学院会计系</w:t>
      </w:r>
      <w:r>
        <w:rPr>
          <w:rFonts w:ascii="宋体" w:hAnsi="宋体" w:cs="宋体" w:eastAsia="宋体" w:hint="default"/>
          <w:sz w:val="18"/>
          <w:szCs w:val="18"/>
        </w:rPr>
        <w:t> 主任、深圳市创业投资同业公会会长、深圳创新投资集团有限公司总裁、</w:t>
      </w:r>
      <w:r>
        <w:rPr>
          <w:rFonts w:ascii="Times New Roman" w:hAnsi="Times New Roman" w:cs="Times New Roman" w:eastAsia="Times New Roman" w:hint="default"/>
          <w:sz w:val="18"/>
          <w:szCs w:val="18"/>
        </w:rPr>
        <w:t>China Israel Value Capital PE</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Fund</w:t>
      </w:r>
      <w:r>
        <w:rPr>
          <w:rFonts w:ascii="宋体" w:hAnsi="宋体" w:cs="宋体" w:eastAsia="宋体" w:hint="default"/>
          <w:sz w:val="18"/>
          <w:szCs w:val="18"/>
        </w:rPr>
        <w:t>基金合伙人、中 </w:t>
      </w:r>
      <w:r>
        <w:rPr>
          <w:rFonts w:ascii="宋体" w:hAnsi="宋体" w:cs="宋体" w:eastAsia="宋体" w:hint="default"/>
          <w:spacing w:val="-2"/>
          <w:sz w:val="18"/>
          <w:szCs w:val="18"/>
        </w:rPr>
        <w:t>新基金和创新软库基金董事长。</w:t>
      </w:r>
      <w:r>
        <w:rPr>
          <w:rFonts w:ascii="Times New Roman" w:hAnsi="Times New Roman" w:cs="Times New Roman" w:eastAsia="Times New Roman" w:hint="default"/>
          <w:spacing w:val="-2"/>
          <w:sz w:val="18"/>
          <w:szCs w:val="18"/>
        </w:rPr>
        <w:t>2007</w:t>
      </w:r>
      <w:r>
        <w:rPr>
          <w:rFonts w:ascii="宋体" w:hAnsi="宋体" w:cs="宋体" w:eastAsia="宋体" w:hint="default"/>
          <w:spacing w:val="-2"/>
          <w:sz w:val="18"/>
          <w:szCs w:val="18"/>
        </w:rPr>
        <w:t>年创办深圳市东方富海投资管理有限公司，现任该公司董事长，兼任北京同有飞骥科技</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股份有限公司董事、北京创毅讯联科技股份有限公司董事、深圳市大马化投资有限公司董事长兼总经理、湖南电广传媒股份</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有限公司独立董事、深圳市彩虹精化股份有限公司董事、深圳广田装饰股份有限公司董事、深圳市大东汇金投资发展有限公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司执行董事、深圳市东方富海投资管理有限公司董事长、深圳市东方富海创业投资管理有限公司董事长、东方富海（芜湖） </w:t>
      </w:r>
      <w:r>
        <w:rPr>
          <w:rFonts w:ascii="宋体" w:hAnsi="宋体" w:cs="宋体" w:eastAsia="宋体" w:hint="default"/>
          <w:spacing w:val="-2"/>
          <w:sz w:val="18"/>
          <w:szCs w:val="18"/>
        </w:rPr>
        <w:t>股权投资基金（有限合伙）执行事务合伙人委派代表、东方富海（芜湖）二号股权投资基金（有限合伙）执行事务合伙人委</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5"/>
          <w:sz w:val="18"/>
          <w:szCs w:val="18"/>
        </w:rPr>
        <w:t>派代表、东方富海（芜湖）股权投资基金管理企业（有限合伙）执行事务合伙人委派代表、深圳市东方富海创业投资企业（有</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限合伙）执行事务合伙人委派代表、深圳市东方富海壹号创业投资企业（有限合伙）执行事务合伙人委派代表、天津东方富</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海股权投资基金合伙企业（有限合伙）执行事务合伙人委派代表、天津富海股权投资基金管理中心（有限合伙）执行事务合</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伙人委派代表、杨凌东方富海现代农业生物产业股权投资企业（有限合伙）执行事务合伙人委派代表、皖江（芜湖）物流产</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2"/>
          <w:sz w:val="18"/>
          <w:szCs w:val="18"/>
        </w:rPr>
        <w:t>业投资基金（有限合伙）执行事务合伙人委派代表、深圳市东方富海成长环保投资企业（有限合伙）执行事务合伙人委派代</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表、中国中小企业协会副会长、中国投资协会创业投资专业委员会副会长。现任本公司董事，董事任期为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p>
      <w:pPr>
        <w:spacing w:line="309" w:lineRule="auto" w:before="123"/>
        <w:ind w:left="154" w:right="193" w:firstLine="360"/>
        <w:jc w:val="both"/>
        <w:rPr>
          <w:rFonts w:ascii="宋体" w:hAnsi="宋体" w:cs="宋体" w:eastAsia="宋体" w:hint="default"/>
          <w:sz w:val="18"/>
          <w:szCs w:val="18"/>
        </w:rPr>
      </w:pPr>
      <w:r>
        <w:rPr>
          <w:rFonts w:ascii="宋体" w:hAnsi="宋体" w:cs="宋体" w:eastAsia="宋体" w:hint="default"/>
          <w:spacing w:val="-2"/>
          <w:sz w:val="18"/>
          <w:szCs w:val="18"/>
        </w:rPr>
        <w:t>张霆，男，</w:t>
      </w:r>
      <w:r>
        <w:rPr>
          <w:rFonts w:ascii="Times New Roman" w:hAnsi="Times New Roman" w:cs="Times New Roman" w:eastAsia="Times New Roman" w:hint="default"/>
          <w:spacing w:val="-2"/>
          <w:sz w:val="18"/>
          <w:szCs w:val="18"/>
        </w:rPr>
        <w:t>1973</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10</w:t>
      </w:r>
      <w:r>
        <w:rPr>
          <w:rFonts w:ascii="宋体" w:hAnsi="宋体" w:cs="宋体" w:eastAsia="宋体" w:hint="default"/>
          <w:spacing w:val="-2"/>
          <w:sz w:val="18"/>
          <w:szCs w:val="18"/>
        </w:rPr>
        <w:t>月出生，中国国籍，无永久境外居留权，山东财政学院国际会计学专业毕业，本科学历。曾任职于</w:t>
      </w:r>
      <w:r>
        <w:rPr>
          <w:rFonts w:ascii="宋体" w:hAnsi="宋体" w:cs="宋体" w:eastAsia="宋体" w:hint="default"/>
          <w:sz w:val="18"/>
          <w:szCs w:val="18"/>
        </w:rPr>
        <w:t> </w:t>
      </w:r>
      <w:r>
        <w:rPr>
          <w:rFonts w:ascii="宋体" w:hAnsi="宋体" w:cs="宋体" w:eastAsia="宋体" w:hint="default"/>
          <w:spacing w:val="-2"/>
          <w:sz w:val="18"/>
          <w:szCs w:val="18"/>
        </w:rPr>
        <w:t>海辉国际软件集团公司、中国网络通信公司及清华同方技术股份有限公司、澜讯科信财务经理、开信创业投资有限公司投资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经理。现任北京万维博石农业科技有限公司总经理。现任本公司董事，董事任期为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p>
      <w:pPr>
        <w:spacing w:line="314" w:lineRule="auto" w:before="125"/>
        <w:ind w:left="154" w:right="110" w:firstLine="360"/>
        <w:jc w:val="both"/>
        <w:rPr>
          <w:rFonts w:ascii="宋体" w:hAnsi="宋体" w:cs="宋体" w:eastAsia="宋体" w:hint="default"/>
          <w:sz w:val="18"/>
          <w:szCs w:val="18"/>
        </w:rPr>
      </w:pPr>
      <w:r>
        <w:rPr>
          <w:rFonts w:ascii="宋体" w:hAnsi="宋体" w:cs="宋体" w:eastAsia="宋体" w:hint="default"/>
          <w:sz w:val="18"/>
          <w:szCs w:val="18"/>
        </w:rPr>
        <w:t>李凤玲，男，</w:t>
      </w:r>
      <w:r>
        <w:rPr>
          <w:rFonts w:ascii="Times New Roman" w:hAnsi="Times New Roman" w:cs="Times New Roman" w:eastAsia="Times New Roman" w:hint="default"/>
          <w:sz w:val="18"/>
          <w:szCs w:val="18"/>
        </w:rPr>
        <w:t>1948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月出生，中国国籍，无永久境外居留权，清华大学电机系毕业，硕士学历。曾任清华大学电机系 </w:t>
      </w:r>
      <w:r>
        <w:rPr>
          <w:rFonts w:ascii="宋体" w:hAnsi="宋体" w:cs="宋体" w:eastAsia="宋体" w:hint="default"/>
          <w:spacing w:val="-2"/>
          <w:sz w:val="18"/>
          <w:szCs w:val="18"/>
        </w:rPr>
        <w:t>党委副书记、教授，北京市海淀区人民政府区副区长，北京市朝阳区人民政府区长，北京经济技术开发区党委书记兼管委会</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主任，北京经济技术投资开发总公司总经理，北京国际电力开发投资公司董事长、党委书记，北京能源投资集团董事长。现</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已退休，兼任北京中欧兴业投资管理有限公司董事长、北京修实资产管理有限公司董事长、中关村兴业（北京）投资管理有</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限公司独立董事、张家港智能电力研究院院长、张家港智能电力研究院有限公司董事长、赛晶电力电子集团有限公司独立董</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事、北京市政协常委会委员、友成企业家扶贫基金会修实公益基金管委会主任及清华大学兼职教授。现任本公司独立董事，</w:t>
      </w:r>
    </w:p>
    <w:p>
      <w:pPr>
        <w:spacing w:after="0" w:line="314" w:lineRule="auto"/>
        <w:jc w:val="both"/>
        <w:rPr>
          <w:rFonts w:ascii="宋体" w:hAnsi="宋体" w:cs="宋体" w:eastAsia="宋体" w:hint="default"/>
          <w:sz w:val="18"/>
          <w:szCs w:val="18"/>
        </w:rPr>
        <w:sectPr>
          <w:pgSz w:w="11910" w:h="16840"/>
          <w:pgMar w:header="747" w:footer="979" w:top="1060" w:bottom="1160" w:left="980" w:right="940"/>
        </w:sectPr>
      </w:pPr>
    </w:p>
    <w:p>
      <w:pPr>
        <w:spacing w:line="240" w:lineRule="auto" w:before="12"/>
        <w:rPr>
          <w:rFonts w:ascii="宋体" w:hAnsi="宋体" w:cs="宋体" w:eastAsia="宋体" w:hint="default"/>
          <w:sz w:val="25"/>
          <w:szCs w:val="25"/>
        </w:rPr>
      </w:pPr>
    </w:p>
    <w:p>
      <w:pPr>
        <w:spacing w:before="44"/>
        <w:ind w:left="154" w:right="82" w:firstLine="0"/>
        <w:jc w:val="left"/>
        <w:rPr>
          <w:rFonts w:ascii="宋体" w:hAnsi="宋体" w:cs="宋体" w:eastAsia="宋体" w:hint="default"/>
          <w:sz w:val="18"/>
          <w:szCs w:val="18"/>
        </w:rPr>
      </w:pPr>
      <w:r>
        <w:rPr>
          <w:rFonts w:ascii="宋体" w:hAnsi="宋体" w:cs="宋体" w:eastAsia="宋体" w:hint="default"/>
          <w:sz w:val="18"/>
          <w:szCs w:val="18"/>
        </w:rPr>
        <w:t>独立董事任期为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p>
      <w:pPr>
        <w:spacing w:line="240" w:lineRule="auto" w:before="13"/>
        <w:rPr>
          <w:rFonts w:ascii="宋体" w:hAnsi="宋体" w:cs="宋体" w:eastAsia="宋体" w:hint="default"/>
          <w:sz w:val="13"/>
          <w:szCs w:val="13"/>
        </w:rPr>
      </w:pPr>
    </w:p>
    <w:p>
      <w:pPr>
        <w:spacing w:line="314" w:lineRule="auto" w:before="0"/>
        <w:ind w:left="154" w:right="192" w:firstLine="360"/>
        <w:jc w:val="both"/>
        <w:rPr>
          <w:rFonts w:ascii="宋体" w:hAnsi="宋体" w:cs="宋体" w:eastAsia="宋体" w:hint="default"/>
          <w:sz w:val="18"/>
          <w:szCs w:val="18"/>
        </w:rPr>
      </w:pPr>
      <w:r>
        <w:rPr>
          <w:rFonts w:ascii="宋体" w:hAnsi="宋体" w:cs="宋体" w:eastAsia="宋体" w:hint="default"/>
          <w:spacing w:val="-2"/>
          <w:sz w:val="18"/>
          <w:szCs w:val="18"/>
        </w:rPr>
        <w:t>罗建北，女，</w:t>
      </w:r>
      <w:r>
        <w:rPr>
          <w:rFonts w:ascii="Times New Roman" w:hAnsi="Times New Roman" w:cs="Times New Roman" w:eastAsia="Times New Roman" w:hint="default"/>
          <w:spacing w:val="-2"/>
          <w:sz w:val="18"/>
          <w:szCs w:val="18"/>
        </w:rPr>
        <w:t>1945</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11</w:t>
      </w:r>
      <w:r>
        <w:rPr>
          <w:rFonts w:ascii="宋体" w:hAnsi="宋体" w:cs="宋体" w:eastAsia="宋体" w:hint="default"/>
          <w:spacing w:val="-2"/>
          <w:sz w:val="18"/>
          <w:szCs w:val="18"/>
        </w:rPr>
        <w:t>月出生，中国国籍，无永久境外居留权，清华大学自动控制系毕业，本科学历。曾任清华大学计</w:t>
      </w:r>
      <w:r>
        <w:rPr>
          <w:rFonts w:ascii="宋体" w:hAnsi="宋体" w:cs="宋体" w:eastAsia="宋体" w:hint="default"/>
          <w:sz w:val="18"/>
          <w:szCs w:val="18"/>
        </w:rPr>
        <w:t> </w:t>
      </w:r>
      <w:r>
        <w:rPr>
          <w:rFonts w:ascii="宋体" w:hAnsi="宋体" w:cs="宋体" w:eastAsia="宋体" w:hint="default"/>
          <w:spacing w:val="-2"/>
          <w:sz w:val="18"/>
          <w:szCs w:val="18"/>
        </w:rPr>
        <w:t>算机系副教授、系党委书记，清华大学软件技术中心主任，清华大学技术服务公司总经理，清华同方股份有限公司董事、常</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务副总裁，清华科技园发展中心副主任，清华创业园主任。现已退休，兼任昆山青石投资管理有限公司监事、苏州清桥电子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科技有限公司董事、北京水木源华电气股份有限公司董事、北京水木能研管理咨询有限公司执行董事、北京互联天下信息咨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询服务有限公司监事、北京中关村海归文化发展有限公司董事、双清诚德科技（北京）有限公司董事及清华大学研究员。现</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任本公司独立董事，独立董事任期为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p>
      <w:pPr>
        <w:spacing w:line="307" w:lineRule="auto" w:before="121"/>
        <w:ind w:left="154" w:right="109" w:firstLine="360"/>
        <w:jc w:val="left"/>
        <w:rPr>
          <w:rFonts w:ascii="宋体" w:hAnsi="宋体" w:cs="宋体" w:eastAsia="宋体" w:hint="default"/>
          <w:sz w:val="18"/>
          <w:szCs w:val="18"/>
        </w:rPr>
      </w:pPr>
      <w:r>
        <w:rPr>
          <w:rFonts w:ascii="宋体" w:hAnsi="宋体" w:cs="宋体" w:eastAsia="宋体" w:hint="default"/>
          <w:sz w:val="18"/>
          <w:szCs w:val="18"/>
        </w:rPr>
        <w:t>徐珊，男，</w:t>
      </w:r>
      <w:r>
        <w:rPr>
          <w:rFonts w:ascii="Times New Roman" w:hAnsi="Times New Roman" w:cs="Times New Roman" w:eastAsia="Times New Roman" w:hint="default"/>
          <w:sz w:val="18"/>
          <w:szCs w:val="18"/>
        </w:rPr>
        <w:t>1969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月出生，中国国籍，无永久境外居留权，厦门大学会计系毕业，博士学历，中国注册会计师。现任 </w:t>
      </w:r>
      <w:r>
        <w:rPr>
          <w:rFonts w:ascii="宋体" w:hAnsi="宋体" w:cs="宋体" w:eastAsia="宋体" w:hint="default"/>
          <w:spacing w:val="-2"/>
          <w:sz w:val="18"/>
          <w:szCs w:val="18"/>
        </w:rPr>
        <w:t>厦门天健咨询有限公司董事长，兼任阳光保险集团股份有限公司独立董事、洛阳栾川钼业集团股份有限公司独立董事、欣贺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股份有限公司独立董事。现任本公司独立董事，独立董事任期为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月。（徐珊已辞去公司独立董事职位， 具体可见披露公告，公告编号：</w:t>
      </w:r>
      <w:r>
        <w:rPr>
          <w:rFonts w:ascii="Times New Roman" w:hAnsi="Times New Roman" w:cs="Times New Roman" w:eastAsia="Times New Roman" w:hint="default"/>
          <w:sz w:val="18"/>
          <w:szCs w:val="18"/>
        </w:rPr>
        <w:t>2016-061</w:t>
      </w:r>
      <w:r>
        <w:rPr>
          <w:rFonts w:ascii="宋体" w:hAnsi="宋体" w:cs="宋体" w:eastAsia="宋体" w:hint="default"/>
          <w:sz w:val="18"/>
          <w:szCs w:val="18"/>
        </w:rPr>
        <w:t>）</w:t>
      </w:r>
    </w:p>
    <w:p>
      <w:pPr>
        <w:spacing w:before="127"/>
        <w:ind w:left="154" w:right="82" w:firstLine="0"/>
        <w:jc w:val="left"/>
        <w:rPr>
          <w:rFonts w:ascii="宋体" w:hAnsi="宋体" w:cs="宋体" w:eastAsia="宋体" w:hint="default"/>
          <w:sz w:val="18"/>
          <w:szCs w:val="18"/>
        </w:rPr>
      </w:pPr>
      <w:r>
        <w:rPr>
          <w:rFonts w:ascii="宋体" w:hAnsi="宋体" w:cs="宋体" w:eastAsia="宋体" w:hint="default"/>
          <w:sz w:val="18"/>
          <w:szCs w:val="18"/>
        </w:rPr>
        <w:t>（二）监事</w:t>
      </w:r>
    </w:p>
    <w:p>
      <w:pPr>
        <w:spacing w:line="240" w:lineRule="auto" w:before="0"/>
        <w:rPr>
          <w:rFonts w:ascii="宋体" w:hAnsi="宋体" w:cs="宋体" w:eastAsia="宋体" w:hint="default"/>
          <w:sz w:val="15"/>
          <w:szCs w:val="15"/>
        </w:rPr>
      </w:pPr>
    </w:p>
    <w:p>
      <w:pPr>
        <w:spacing w:line="300" w:lineRule="auto" w:before="0"/>
        <w:ind w:left="154" w:right="219" w:firstLine="360"/>
        <w:jc w:val="left"/>
        <w:rPr>
          <w:rFonts w:ascii="宋体" w:hAnsi="宋体" w:cs="宋体" w:eastAsia="宋体" w:hint="default"/>
          <w:sz w:val="18"/>
          <w:szCs w:val="18"/>
        </w:rPr>
      </w:pPr>
      <w:r>
        <w:rPr>
          <w:rFonts w:ascii="宋体" w:hAnsi="宋体" w:cs="宋体" w:eastAsia="宋体" w:hint="default"/>
          <w:sz w:val="18"/>
          <w:szCs w:val="18"/>
        </w:rPr>
        <w:t>本公司监事会由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名监事组成，职工代表监事于明俭任监事会主席。职工代表监事由本公司职工代表大会选举产生。 本公司监事任期三年，可连选连任。监事会成员如下：</w:t>
      </w:r>
    </w:p>
    <w:p>
      <w:pPr>
        <w:spacing w:line="300" w:lineRule="auto" w:before="151"/>
        <w:ind w:left="154" w:right="92" w:firstLine="360"/>
        <w:jc w:val="left"/>
        <w:rPr>
          <w:rFonts w:ascii="宋体" w:hAnsi="宋体" w:cs="宋体" w:eastAsia="宋体" w:hint="default"/>
          <w:sz w:val="18"/>
          <w:szCs w:val="18"/>
        </w:rPr>
      </w:pPr>
      <w:r>
        <w:rPr>
          <w:rFonts w:ascii="宋体" w:hAnsi="宋体" w:cs="宋体" w:eastAsia="宋体" w:hint="default"/>
          <w:sz w:val="18"/>
          <w:szCs w:val="18"/>
        </w:rPr>
        <w:t>于明俭，男，</w:t>
      </w:r>
      <w:r>
        <w:rPr>
          <w:rFonts w:ascii="Times New Roman" w:hAnsi="Times New Roman" w:cs="Times New Roman" w:eastAsia="Times New Roman" w:hint="default"/>
          <w:sz w:val="18"/>
          <w:szCs w:val="18"/>
        </w:rPr>
        <w:t>1967</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月出生，中国国籍，无永久境外居留权，中国科学院高能物理研究所理论物理与核物理方向专业 毕业，硕士学历。</w:t>
      </w:r>
      <w:r>
        <w:rPr>
          <w:rFonts w:ascii="Times New Roman" w:hAnsi="Times New Roman" w:cs="Times New Roman" w:eastAsia="Times New Roman" w:hint="default"/>
          <w:sz w:val="18"/>
          <w:szCs w:val="18"/>
        </w:rPr>
        <w:t>1987</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月至</w:t>
      </w:r>
      <w:r>
        <w:rPr>
          <w:rFonts w:ascii="Times New Roman" w:hAnsi="Times New Roman" w:cs="Times New Roman" w:eastAsia="Times New Roman" w:hint="default"/>
          <w:sz w:val="18"/>
          <w:szCs w:val="18"/>
        </w:rPr>
        <w:t>1990</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月在山东省滨州市第二中学担任初中和高中物理课教师；</w:t>
      </w:r>
      <w:r>
        <w:rPr>
          <w:rFonts w:ascii="Times New Roman" w:hAnsi="Times New Roman" w:cs="Times New Roman" w:eastAsia="Times New Roman" w:hint="default"/>
          <w:sz w:val="18"/>
          <w:szCs w:val="18"/>
        </w:rPr>
        <w:t>1990</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月至</w:t>
      </w:r>
      <w:r>
        <w:rPr>
          <w:rFonts w:ascii="Times New Roman" w:hAnsi="Times New Roman" w:cs="Times New Roman" w:eastAsia="Times New Roman" w:hint="default"/>
          <w:sz w:val="18"/>
          <w:szCs w:val="18"/>
        </w:rPr>
        <w:t>1993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 在中科院高能物理所完成理论物理与核物理的硕士学业；</w:t>
      </w:r>
      <w:r>
        <w:rPr>
          <w:rFonts w:ascii="Times New Roman" w:hAnsi="Times New Roman" w:cs="Times New Roman" w:eastAsia="Times New Roman" w:hint="default"/>
          <w:sz w:val="18"/>
          <w:szCs w:val="18"/>
        </w:rPr>
        <w:t>1993</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月至</w:t>
      </w:r>
      <w:r>
        <w:rPr>
          <w:rFonts w:ascii="Times New Roman" w:hAnsi="Times New Roman" w:cs="Times New Roman" w:eastAsia="Times New Roman" w:hint="default"/>
          <w:sz w:val="18"/>
          <w:szCs w:val="18"/>
        </w:rPr>
        <w:t>1999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月在中科院高能物理所从事高能物理对撞机 数据分析、所内计算机网络维护和安全软件开发等工作；</w:t>
      </w:r>
      <w:r>
        <w:rPr>
          <w:rFonts w:ascii="Times New Roman" w:hAnsi="Times New Roman" w:cs="Times New Roman" w:eastAsia="Times New Roman" w:hint="default"/>
          <w:sz w:val="18"/>
          <w:szCs w:val="18"/>
        </w:rPr>
        <w:t>1999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2000</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月在北京拓林思软件有限公司任研发工程师， 从事</w:t>
      </w:r>
      <w:r>
        <w:rPr>
          <w:rFonts w:ascii="Times New Roman" w:hAnsi="Times New Roman" w:cs="Times New Roman" w:eastAsia="Times New Roman" w:hint="default"/>
          <w:sz w:val="18"/>
          <w:szCs w:val="18"/>
        </w:rPr>
        <w:t>TurboLinux</w:t>
      </w:r>
      <w:r>
        <w:rPr>
          <w:rFonts w:ascii="宋体" w:hAnsi="宋体" w:cs="宋体" w:eastAsia="宋体" w:hint="default"/>
          <w:sz w:val="18"/>
          <w:szCs w:val="18"/>
        </w:rPr>
        <w:t>系统软件研发；</w:t>
      </w:r>
      <w:r>
        <w:rPr>
          <w:rFonts w:ascii="Times New Roman" w:hAnsi="Times New Roman" w:cs="Times New Roman" w:eastAsia="Times New Roman" w:hint="default"/>
          <w:sz w:val="18"/>
          <w:szCs w:val="18"/>
        </w:rPr>
        <w:t>2000</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2001</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月在北京思杰科软件技术有限公司从事基于 </w:t>
      </w:r>
      <w:r>
        <w:rPr>
          <w:rFonts w:ascii="Times New Roman" w:hAnsi="Times New Roman" w:cs="Times New Roman" w:eastAsia="Times New Roman" w:hint="default"/>
          <w:sz w:val="18"/>
          <w:szCs w:val="18"/>
        </w:rPr>
        <w:t>XML</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的通用用户平台开 发；</w:t>
      </w:r>
      <w:r>
        <w:rPr>
          <w:rFonts w:ascii="Times New Roman" w:hAnsi="Times New Roman" w:cs="Times New Roman" w:eastAsia="Times New Roman" w:hint="default"/>
          <w:sz w:val="18"/>
          <w:szCs w:val="18"/>
        </w:rPr>
        <w:t>2001</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2003</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月在亚信科技（中国）有限公司任研发工程师，从事计算机系统安全和网络安全方面的综合信息 检测、采集和分析；</w:t>
      </w:r>
      <w:r>
        <w:rPr>
          <w:rFonts w:ascii="Times New Roman" w:hAnsi="Times New Roman" w:cs="Times New Roman" w:eastAsia="Times New Roman" w:hint="default"/>
          <w:sz w:val="18"/>
          <w:szCs w:val="18"/>
        </w:rPr>
        <w:t>2003</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月在千橡世纪科技发展（北京）有限公司任研发工程师，从事</w:t>
      </w:r>
      <w:r>
        <w:rPr>
          <w:rFonts w:ascii="Times New Roman" w:hAnsi="Times New Roman" w:cs="Times New Roman" w:eastAsia="Times New Roman" w:hint="default"/>
          <w:sz w:val="18"/>
          <w:szCs w:val="18"/>
        </w:rPr>
        <w:t>P2P</w:t>
      </w:r>
      <w:r>
        <w:rPr>
          <w:rFonts w:ascii="宋体" w:hAnsi="宋体" w:cs="宋体" w:eastAsia="宋体" w:hint="default"/>
          <w:sz w:val="18"/>
          <w:szCs w:val="18"/>
        </w:rPr>
        <w:t>下载软件研发 等工作；</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月加入昆仑有限，从事网页游戏研发。现任本公司游戏研发中心技术研究院院长，兼任公司监事会主席， 监事任期为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p>
      <w:pPr>
        <w:spacing w:line="300" w:lineRule="auto" w:before="133"/>
        <w:ind w:left="154" w:right="189" w:firstLine="360"/>
        <w:jc w:val="right"/>
        <w:rPr>
          <w:rFonts w:ascii="宋体" w:hAnsi="宋体" w:cs="宋体" w:eastAsia="宋体" w:hint="default"/>
          <w:sz w:val="18"/>
          <w:szCs w:val="18"/>
        </w:rPr>
      </w:pPr>
      <w:r>
        <w:rPr>
          <w:rFonts w:ascii="宋体" w:hAnsi="宋体" w:cs="宋体" w:eastAsia="宋体" w:hint="default"/>
          <w:sz w:val="18"/>
          <w:szCs w:val="18"/>
        </w:rPr>
        <w:t>李振春，男，</w:t>
      </w:r>
      <w:r>
        <w:rPr>
          <w:rFonts w:ascii="Times New Roman" w:hAnsi="Times New Roman" w:cs="Times New Roman" w:eastAsia="Times New Roman" w:hint="default"/>
          <w:sz w:val="18"/>
          <w:szCs w:val="18"/>
        </w:rPr>
        <w:t>1974</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月出生，中国国籍，无永久境外居留权，中国科学院电子所物理电子与光电子专业毕业，硕士学 历。</w:t>
      </w:r>
      <w:r>
        <w:rPr>
          <w:rFonts w:ascii="Times New Roman" w:hAnsi="Times New Roman" w:cs="Times New Roman" w:eastAsia="Times New Roman" w:hint="default"/>
          <w:sz w:val="18"/>
          <w:szCs w:val="18"/>
        </w:rPr>
        <w:t>1998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月至</w:t>
      </w:r>
      <w:r>
        <w:rPr>
          <w:rFonts w:ascii="Times New Roman" w:hAnsi="Times New Roman" w:cs="Times New Roman" w:eastAsia="Times New Roman" w:hint="default"/>
          <w:sz w:val="18"/>
          <w:szCs w:val="18"/>
        </w:rPr>
        <w:t>1999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月在中科院电子所从事激光器研发；</w:t>
      </w:r>
      <w:r>
        <w:rPr>
          <w:rFonts w:ascii="Times New Roman" w:hAnsi="Times New Roman" w:cs="Times New Roman" w:eastAsia="Times New Roman" w:hint="default"/>
          <w:sz w:val="18"/>
          <w:szCs w:val="18"/>
        </w:rPr>
        <w:t>1999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2000</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月在奥迪玛信息技术（北京）有限公司 </w:t>
      </w:r>
      <w:r>
        <w:rPr>
          <w:rFonts w:ascii="宋体" w:hAnsi="宋体" w:cs="宋体" w:eastAsia="宋体" w:hint="default"/>
          <w:spacing w:val="-2"/>
          <w:sz w:val="18"/>
          <w:szCs w:val="18"/>
        </w:rPr>
        <w:t>负责临床医疗信息系统的数据库设计与开发；</w:t>
      </w:r>
      <w:r>
        <w:rPr>
          <w:rFonts w:ascii="Times New Roman" w:hAnsi="Times New Roman" w:cs="Times New Roman" w:eastAsia="Times New Roman" w:hint="default"/>
          <w:spacing w:val="-2"/>
          <w:sz w:val="18"/>
          <w:szCs w:val="18"/>
        </w:rPr>
        <w:t>2000</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2001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9</w:t>
      </w:r>
      <w:r>
        <w:rPr>
          <w:rFonts w:ascii="宋体" w:hAnsi="宋体" w:cs="宋体" w:eastAsia="宋体" w:hint="default"/>
          <w:spacing w:val="-2"/>
          <w:sz w:val="18"/>
          <w:szCs w:val="18"/>
        </w:rPr>
        <w:t>月在北京思杰科软件技术有限公司从事基于</w:t>
      </w:r>
      <w:r>
        <w:rPr>
          <w:rFonts w:ascii="宋体" w:hAnsi="宋体" w:cs="宋体" w:eastAsia="宋体" w:hint="default"/>
          <w:sz w:val="18"/>
          <w:szCs w:val="18"/>
        </w:rPr>
        <w:t> </w:t>
      </w:r>
      <w:r>
        <w:rPr>
          <w:rFonts w:ascii="Times New Roman" w:hAnsi="Times New Roman" w:cs="Times New Roman" w:eastAsia="Times New Roman" w:hint="default"/>
          <w:spacing w:val="-1"/>
          <w:w w:val="99"/>
          <w:sz w:val="18"/>
          <w:szCs w:val="18"/>
        </w:rPr>
        <w:t>XML</w:t>
      </w:r>
      <w:r>
        <w:rPr>
          <w:rFonts w:ascii="Times New Roman" w:hAnsi="Times New Roman" w:cs="Times New Roman" w:eastAsia="Times New Roman" w:hint="default"/>
          <w:spacing w:val="32"/>
          <w:w w:val="99"/>
          <w:sz w:val="18"/>
          <w:szCs w:val="18"/>
        </w:rPr>
        <w:t> </w:t>
      </w:r>
      <w:r>
        <w:rPr>
          <w:rFonts w:ascii="宋体" w:hAnsi="宋体" w:cs="宋体" w:eastAsia="宋体" w:hint="default"/>
          <w:sz w:val="18"/>
          <w:szCs w:val="18"/>
        </w:rPr>
        <w:t>的通用 </w:t>
      </w:r>
      <w:r>
        <w:rPr>
          <w:rFonts w:ascii="宋体" w:hAnsi="宋体" w:cs="宋体" w:eastAsia="宋体" w:hint="default"/>
          <w:spacing w:val="-1"/>
          <w:sz w:val="18"/>
          <w:szCs w:val="18"/>
        </w:rPr>
        <w:t>用户平台开发；</w:t>
      </w:r>
      <w:r>
        <w:rPr>
          <w:rFonts w:ascii="Times New Roman" w:hAnsi="Times New Roman" w:cs="Times New Roman" w:eastAsia="Times New Roman" w:hint="default"/>
          <w:spacing w:val="-1"/>
          <w:sz w:val="18"/>
          <w:szCs w:val="18"/>
        </w:rPr>
        <w:t>2001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10</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2003</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12</w:t>
      </w:r>
      <w:r>
        <w:rPr>
          <w:rFonts w:ascii="宋体" w:hAnsi="宋体" w:cs="宋体" w:eastAsia="宋体" w:hint="default"/>
          <w:spacing w:val="-1"/>
          <w:sz w:val="18"/>
          <w:szCs w:val="18"/>
        </w:rPr>
        <w:t>月在亚信科技（中国）有限公司从事设计开发安全平台；</w:t>
      </w:r>
      <w:r>
        <w:rPr>
          <w:rFonts w:ascii="宋体" w:hAnsi="宋体" w:cs="宋体" w:eastAsia="宋体" w:hint="default"/>
          <w:spacing w:val="-17"/>
          <w:sz w:val="18"/>
          <w:szCs w:val="18"/>
        </w:rPr>
        <w:t> </w:t>
      </w:r>
      <w:r>
        <w:rPr>
          <w:rFonts w:ascii="Times New Roman" w:hAnsi="Times New Roman" w:cs="Times New Roman" w:eastAsia="Times New Roman" w:hint="default"/>
          <w:spacing w:val="-1"/>
          <w:sz w:val="18"/>
          <w:szCs w:val="18"/>
        </w:rPr>
        <w:t>2003</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12</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2007</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月在</w:t>
      </w:r>
      <w:r>
        <w:rPr>
          <w:rFonts w:ascii="宋体" w:hAnsi="宋体" w:cs="宋体" w:eastAsia="宋体" w:hint="default"/>
          <w:sz w:val="18"/>
          <w:szCs w:val="18"/>
        </w:rPr>
        <w:t> </w:t>
      </w:r>
      <w:r>
        <w:rPr>
          <w:rFonts w:ascii="宋体" w:hAnsi="宋体" w:cs="宋体" w:eastAsia="宋体" w:hint="default"/>
          <w:w w:val="95"/>
          <w:sz w:val="18"/>
          <w:szCs w:val="18"/>
        </w:rPr>
        <w:t>千橡世纪科技发展（北京）有限公司负责开发</w:t>
      </w:r>
      <w:r>
        <w:rPr>
          <w:rFonts w:ascii="Times New Roman" w:hAnsi="Times New Roman" w:cs="Times New Roman" w:eastAsia="Times New Roman" w:hint="default"/>
          <w:w w:val="95"/>
          <w:sz w:val="18"/>
          <w:szCs w:val="18"/>
        </w:rPr>
        <w:t>DuDu</w:t>
      </w:r>
      <w:r>
        <w:rPr>
          <w:rFonts w:ascii="宋体" w:hAnsi="宋体" w:cs="宋体" w:eastAsia="宋体" w:hint="default"/>
          <w:w w:val="95"/>
          <w:sz w:val="18"/>
          <w:szCs w:val="18"/>
        </w:rPr>
        <w:t>下载加速器等工作；</w:t>
      </w:r>
      <w:r>
        <w:rPr>
          <w:rFonts w:ascii="Times New Roman" w:hAnsi="Times New Roman" w:cs="Times New Roman" w:eastAsia="Times New Roman" w:hint="default"/>
          <w:w w:val="95"/>
          <w:sz w:val="18"/>
          <w:szCs w:val="18"/>
        </w:rPr>
        <w:t>2007</w:t>
      </w:r>
      <w:r>
        <w:rPr>
          <w:rFonts w:ascii="宋体" w:hAnsi="宋体" w:cs="宋体" w:eastAsia="宋体" w:hint="default"/>
          <w:w w:val="95"/>
          <w:sz w:val="18"/>
          <w:szCs w:val="18"/>
        </w:rPr>
        <w:t>年</w:t>
      </w:r>
      <w:r>
        <w:rPr>
          <w:rFonts w:ascii="Times New Roman" w:hAnsi="Times New Roman" w:cs="Times New Roman" w:eastAsia="Times New Roman" w:hint="default"/>
          <w:w w:val="95"/>
          <w:sz w:val="18"/>
          <w:szCs w:val="18"/>
        </w:rPr>
        <w:t>3</w:t>
      </w:r>
      <w:r>
        <w:rPr>
          <w:rFonts w:ascii="宋体" w:hAnsi="宋体" w:cs="宋体" w:eastAsia="宋体" w:hint="default"/>
          <w:w w:val="95"/>
          <w:sz w:val="18"/>
          <w:szCs w:val="18"/>
        </w:rPr>
        <w:t>月至</w:t>
      </w:r>
      <w:r>
        <w:rPr>
          <w:rFonts w:ascii="Times New Roman" w:hAnsi="Times New Roman" w:cs="Times New Roman" w:eastAsia="Times New Roman" w:hint="default"/>
          <w:w w:val="95"/>
          <w:sz w:val="18"/>
          <w:szCs w:val="18"/>
        </w:rPr>
        <w:t>2008</w:t>
      </w:r>
      <w:r>
        <w:rPr>
          <w:rFonts w:ascii="宋体" w:hAnsi="宋体" w:cs="宋体" w:eastAsia="宋体" w:hint="default"/>
          <w:w w:val="95"/>
          <w:sz w:val="18"/>
          <w:szCs w:val="18"/>
        </w:rPr>
        <w:t>年</w:t>
      </w:r>
      <w:r>
        <w:rPr>
          <w:rFonts w:ascii="Times New Roman" w:hAnsi="Times New Roman" w:cs="Times New Roman" w:eastAsia="Times New Roman" w:hint="default"/>
          <w:w w:val="95"/>
          <w:sz w:val="18"/>
          <w:szCs w:val="18"/>
        </w:rPr>
        <w:t>7</w:t>
      </w:r>
      <w:r>
        <w:rPr>
          <w:rFonts w:ascii="宋体" w:hAnsi="宋体" w:cs="宋体" w:eastAsia="宋体" w:hint="default"/>
          <w:w w:val="95"/>
          <w:sz w:val="18"/>
          <w:szCs w:val="18"/>
        </w:rPr>
        <w:t>月在北京基耐特互联科技发展</w:t>
      </w:r>
      <w:r>
        <w:rPr>
          <w:rFonts w:ascii="宋体" w:hAnsi="宋体" w:cs="宋体" w:eastAsia="宋体" w:hint="default"/>
          <w:spacing w:val="26"/>
          <w:w w:val="95"/>
          <w:sz w:val="18"/>
          <w:szCs w:val="18"/>
        </w:rPr>
        <w:t> </w:t>
      </w:r>
      <w:r>
        <w:rPr>
          <w:rFonts w:ascii="宋体" w:hAnsi="宋体" w:cs="宋体" w:eastAsia="宋体" w:hint="default"/>
          <w:sz w:val="18"/>
          <w:szCs w:val="18"/>
        </w:rPr>
        <w:t>有限公司从事软件研发工作；</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月加入昆仑有限，从事网页游戏研发。现任本公司游戏研发中心技术总监，兼任本公 司监事，监事任期为</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宋体" w:hAnsi="宋体" w:cs="宋体" w:eastAsia="宋体" w:hint="default"/>
          <w:spacing w:val="-19"/>
          <w:sz w:val="18"/>
          <w:szCs w:val="18"/>
        </w:rPr>
        <w:t> </w:t>
      </w:r>
      <w:r>
        <w:rPr>
          <w:rFonts w:ascii="宋体" w:hAnsi="宋体" w:cs="宋体" w:eastAsia="宋体" w:hint="default"/>
          <w:sz w:val="18"/>
          <w:szCs w:val="18"/>
        </w:rPr>
        <w:t>（李振春已辞去公司监事职位，具体可见披露公告，公告编号：</w:t>
      </w:r>
      <w:r>
        <w:rPr>
          <w:rFonts w:ascii="Times New Roman" w:hAnsi="Times New Roman" w:cs="Times New Roman" w:eastAsia="Times New Roman" w:hint="default"/>
          <w:sz w:val="18"/>
          <w:szCs w:val="18"/>
        </w:rPr>
        <w:t>2016-050</w:t>
      </w:r>
      <w:r>
        <w:rPr>
          <w:rFonts w:ascii="宋体" w:hAnsi="宋体" w:cs="宋体" w:eastAsia="宋体" w:hint="default"/>
          <w:sz w:val="18"/>
          <w:szCs w:val="18"/>
        </w:rPr>
        <w:t>）</w:t>
      </w:r>
    </w:p>
    <w:p>
      <w:pPr>
        <w:spacing w:line="300" w:lineRule="auto" w:before="133"/>
        <w:ind w:left="154" w:right="190" w:firstLine="360"/>
        <w:jc w:val="both"/>
        <w:rPr>
          <w:rFonts w:ascii="宋体" w:hAnsi="宋体" w:cs="宋体" w:eastAsia="宋体" w:hint="default"/>
          <w:sz w:val="18"/>
          <w:szCs w:val="18"/>
        </w:rPr>
      </w:pPr>
      <w:r>
        <w:rPr>
          <w:rFonts w:ascii="宋体" w:hAnsi="宋体" w:cs="宋体" w:eastAsia="宋体" w:hint="default"/>
          <w:spacing w:val="-2"/>
          <w:sz w:val="18"/>
          <w:szCs w:val="18"/>
        </w:rPr>
        <w:t>陈向阳，男，</w:t>
      </w:r>
      <w:r>
        <w:rPr>
          <w:rFonts w:ascii="Times New Roman" w:hAnsi="Times New Roman" w:cs="Times New Roman" w:eastAsia="Times New Roman" w:hint="default"/>
          <w:spacing w:val="-2"/>
          <w:sz w:val="18"/>
          <w:szCs w:val="18"/>
        </w:rPr>
        <w:t>1969</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月出生，中国国籍，无永久境外居留权，中国科学技术大学近代物理系毕业，学士学历。</w:t>
      </w:r>
      <w:r>
        <w:rPr>
          <w:rFonts w:ascii="Times New Roman" w:hAnsi="Times New Roman" w:cs="Times New Roman" w:eastAsia="Times New Roman" w:hint="default"/>
          <w:spacing w:val="-2"/>
          <w:sz w:val="18"/>
          <w:szCs w:val="18"/>
        </w:rPr>
        <w:t>1993</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 </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1999</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月在中科院高能物理研究所先后从事实验高能物理、计算机科学、计算机软件、系统</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网络安全等方面的研究和</w:t>
      </w:r>
      <w:r>
        <w:rPr>
          <w:rFonts w:ascii="宋体" w:hAnsi="宋体" w:cs="宋体" w:eastAsia="宋体" w:hint="default"/>
          <w:spacing w:val="-78"/>
          <w:sz w:val="18"/>
          <w:szCs w:val="18"/>
        </w:rPr>
        <w:t> </w:t>
      </w:r>
      <w:r>
        <w:rPr>
          <w:rFonts w:ascii="宋体" w:hAnsi="宋体" w:cs="宋体" w:eastAsia="宋体" w:hint="default"/>
          <w:spacing w:val="-1"/>
          <w:sz w:val="18"/>
          <w:szCs w:val="18"/>
        </w:rPr>
        <w:t>开发工作；</w:t>
      </w:r>
      <w:r>
        <w:rPr>
          <w:rFonts w:ascii="Times New Roman" w:hAnsi="Times New Roman" w:cs="Times New Roman" w:eastAsia="Times New Roman" w:hint="default"/>
          <w:spacing w:val="-1"/>
          <w:sz w:val="18"/>
          <w:szCs w:val="18"/>
        </w:rPr>
        <w:t>1999</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2000</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8</w:t>
      </w:r>
      <w:r>
        <w:rPr>
          <w:rFonts w:ascii="宋体" w:hAnsi="宋体" w:cs="宋体" w:eastAsia="宋体" w:hint="default"/>
          <w:spacing w:val="-1"/>
          <w:sz w:val="18"/>
          <w:szCs w:val="18"/>
        </w:rPr>
        <w:t>月在北京拓林思软件有限公司从事开发</w:t>
      </w:r>
      <w:r>
        <w:rPr>
          <w:rFonts w:ascii="Times New Roman" w:hAnsi="Times New Roman" w:cs="Times New Roman" w:eastAsia="Times New Roman" w:hint="default"/>
          <w:spacing w:val="-1"/>
          <w:sz w:val="18"/>
          <w:szCs w:val="18"/>
        </w:rPr>
        <w:t>TurboLinux</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2000</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9</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2001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9</w:t>
      </w:r>
      <w:r>
        <w:rPr>
          <w:rFonts w:ascii="宋体" w:hAnsi="宋体" w:cs="宋体" w:eastAsia="宋体" w:hint="default"/>
          <w:spacing w:val="-1"/>
          <w:sz w:val="18"/>
          <w:szCs w:val="18"/>
        </w:rPr>
        <w:t>月在北京思杰科软</w:t>
      </w:r>
      <w:r>
        <w:rPr>
          <w:rFonts w:ascii="宋体" w:hAnsi="宋体" w:cs="宋体" w:eastAsia="宋体" w:hint="default"/>
          <w:spacing w:val="-74"/>
          <w:sz w:val="18"/>
          <w:szCs w:val="18"/>
        </w:rPr>
        <w:t> </w:t>
      </w:r>
      <w:r>
        <w:rPr>
          <w:rFonts w:ascii="宋体" w:hAnsi="宋体" w:cs="宋体" w:eastAsia="宋体" w:hint="default"/>
          <w:sz w:val="18"/>
          <w:szCs w:val="18"/>
        </w:rPr>
        <w:t>件技术有限公司从事基于</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XML</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的通用用户平台开发；</w:t>
      </w:r>
      <w:r>
        <w:rPr>
          <w:rFonts w:ascii="Times New Roman" w:hAnsi="Times New Roman" w:cs="Times New Roman" w:eastAsia="Times New Roman" w:hint="default"/>
          <w:sz w:val="18"/>
          <w:szCs w:val="18"/>
        </w:rPr>
        <w:t>2001</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2003</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月在亚信科技（中国）有限公司从事计算机系 </w:t>
      </w:r>
      <w:r>
        <w:rPr>
          <w:rFonts w:ascii="宋体" w:hAnsi="宋体" w:cs="宋体" w:eastAsia="宋体" w:hint="default"/>
          <w:spacing w:val="-3"/>
          <w:sz w:val="18"/>
          <w:szCs w:val="18"/>
        </w:rPr>
        <w:t>统</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网络安全软件开发；</w:t>
      </w:r>
      <w:r>
        <w:rPr>
          <w:rFonts w:ascii="Times New Roman" w:hAnsi="Times New Roman" w:cs="Times New Roman" w:eastAsia="Times New Roman" w:hint="default"/>
          <w:spacing w:val="-3"/>
          <w:sz w:val="18"/>
          <w:szCs w:val="18"/>
        </w:rPr>
        <w:t>2003</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月至</w:t>
      </w:r>
      <w:r>
        <w:rPr>
          <w:rFonts w:ascii="宋体" w:hAnsi="宋体" w:cs="宋体" w:eastAsia="宋体" w:hint="default"/>
          <w:spacing w:val="10"/>
          <w:sz w:val="18"/>
          <w:szCs w:val="18"/>
        </w:rPr>
        <w:t> </w:t>
      </w:r>
      <w:r>
        <w:rPr>
          <w:rFonts w:ascii="Times New Roman" w:hAnsi="Times New Roman" w:cs="Times New Roman" w:eastAsia="Times New Roman" w:hint="default"/>
          <w:spacing w:val="-4"/>
          <w:sz w:val="18"/>
          <w:szCs w:val="18"/>
        </w:rPr>
        <w:t>2007</w:t>
      </w:r>
      <w:r>
        <w:rPr>
          <w:rFonts w:ascii="宋体" w:hAnsi="宋体" w:cs="宋体" w:eastAsia="宋体" w:hint="default"/>
          <w:spacing w:val="-4"/>
          <w:sz w:val="18"/>
          <w:szCs w:val="18"/>
        </w:rPr>
        <w:t>年</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月在千橡世纪科技发展（北京）有限公司从事网络软件开发；</w:t>
      </w:r>
      <w:r>
        <w:rPr>
          <w:rFonts w:ascii="Times New Roman" w:hAnsi="Times New Roman" w:cs="Times New Roman" w:eastAsia="Times New Roman" w:hint="default"/>
          <w:spacing w:val="-4"/>
          <w:sz w:val="18"/>
          <w:szCs w:val="18"/>
        </w:rPr>
        <w:t>2007</w:t>
      </w:r>
      <w:r>
        <w:rPr>
          <w:rFonts w:ascii="宋体" w:hAnsi="宋体" w:cs="宋体" w:eastAsia="宋体" w:hint="default"/>
          <w:spacing w:val="-4"/>
          <w:sz w:val="18"/>
          <w:szCs w:val="18"/>
        </w:rPr>
        <w:t>年</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月至</w:t>
      </w:r>
      <w:r>
        <w:rPr>
          <w:rFonts w:ascii="Times New Roman" w:hAnsi="Times New Roman" w:cs="Times New Roman" w:eastAsia="Times New Roman" w:hint="default"/>
          <w:spacing w:val="-4"/>
          <w:sz w:val="18"/>
          <w:szCs w:val="18"/>
        </w:rPr>
        <w:t>2008</w:t>
      </w:r>
      <w:r>
        <w:rPr>
          <w:rFonts w:ascii="Times New Roman" w:hAnsi="Times New Roman" w:cs="Times New Roman" w:eastAsia="Times New Roman" w:hint="default"/>
          <w:spacing w:val="-41"/>
          <w:sz w:val="18"/>
          <w:szCs w:val="18"/>
        </w:rPr>
        <w:t> </w:t>
      </w:r>
      <w:r>
        <w:rPr>
          <w:rFonts w:ascii="Times New Roman" w:hAnsi="Times New Roman" w:cs="Times New Roman" w:eastAsia="Times New Roman" w:hint="default"/>
          <w:spacing w:val="-41"/>
          <w:sz w:val="18"/>
          <w:szCs w:val="18"/>
        </w:rPr>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月在北京基耐特互联科技发展有限公司从事软件研发工作；</w:t>
      </w:r>
      <w:r>
        <w:rPr>
          <w:rFonts w:ascii="Times New Roman" w:hAnsi="Times New Roman" w:cs="Times New Roman" w:eastAsia="Times New Roman" w:hint="default"/>
          <w:spacing w:val="-2"/>
          <w:sz w:val="18"/>
          <w:szCs w:val="18"/>
        </w:rPr>
        <w:t>2008</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月加入昆仑有限，负责平台和服务器运维工作。现任</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pacing w:val="-2"/>
          <w:sz w:val="18"/>
          <w:szCs w:val="18"/>
        </w:rPr>
        <w:t>本公司平台中心技术总监，兼任本公司监事，监事任期为</w:t>
      </w:r>
      <w:r>
        <w:rPr>
          <w:rFonts w:ascii="Times New Roman" w:hAnsi="Times New Roman" w:cs="Times New Roman" w:eastAsia="Times New Roman" w:hint="default"/>
          <w:spacing w:val="-2"/>
          <w:sz w:val="18"/>
          <w:szCs w:val="18"/>
        </w:rPr>
        <w:t>2014</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月。（陈向阳已辞去公司监事职位，具体可见</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披露公告，公告编号：</w:t>
      </w:r>
      <w:r>
        <w:rPr>
          <w:rFonts w:ascii="Times New Roman" w:hAnsi="Times New Roman" w:cs="Times New Roman" w:eastAsia="Times New Roman" w:hint="default"/>
          <w:sz w:val="18"/>
          <w:szCs w:val="18"/>
        </w:rPr>
        <w:t>2016-062</w:t>
      </w:r>
      <w:r>
        <w:rPr>
          <w:rFonts w:ascii="宋体" w:hAnsi="宋体" w:cs="宋体" w:eastAsia="宋体" w:hint="default"/>
          <w:sz w:val="18"/>
          <w:szCs w:val="18"/>
        </w:rPr>
        <w:t>）</w:t>
      </w:r>
    </w:p>
    <w:p>
      <w:pPr>
        <w:spacing w:before="133"/>
        <w:ind w:left="154" w:right="82" w:firstLine="0"/>
        <w:jc w:val="left"/>
        <w:rPr>
          <w:rFonts w:ascii="宋体" w:hAnsi="宋体" w:cs="宋体" w:eastAsia="宋体" w:hint="default"/>
          <w:sz w:val="18"/>
          <w:szCs w:val="18"/>
        </w:rPr>
      </w:pPr>
      <w:r>
        <w:rPr>
          <w:rFonts w:ascii="宋体" w:hAnsi="宋体" w:cs="宋体" w:eastAsia="宋体" w:hint="default"/>
          <w:sz w:val="18"/>
          <w:szCs w:val="18"/>
        </w:rPr>
        <w:t>（三）高级管理人员</w:t>
      </w:r>
    </w:p>
    <w:p>
      <w:pPr>
        <w:spacing w:line="240" w:lineRule="auto" w:before="0"/>
        <w:rPr>
          <w:rFonts w:ascii="宋体" w:hAnsi="宋体" w:cs="宋体" w:eastAsia="宋体" w:hint="default"/>
          <w:sz w:val="15"/>
          <w:szCs w:val="15"/>
        </w:rPr>
      </w:pPr>
    </w:p>
    <w:p>
      <w:pPr>
        <w:spacing w:line="300" w:lineRule="auto" w:before="0"/>
        <w:ind w:left="154" w:right="182" w:firstLine="360"/>
        <w:jc w:val="left"/>
        <w:rPr>
          <w:rFonts w:ascii="宋体" w:hAnsi="宋体" w:cs="宋体" w:eastAsia="宋体" w:hint="default"/>
          <w:sz w:val="18"/>
          <w:szCs w:val="18"/>
        </w:rPr>
      </w:pPr>
      <w:r>
        <w:rPr>
          <w:rFonts w:ascii="宋体" w:hAnsi="宋体" w:cs="宋体" w:eastAsia="宋体" w:hint="default"/>
          <w:sz w:val="18"/>
          <w:szCs w:val="18"/>
        </w:rPr>
        <w:t>本公司高级管理人员</w:t>
      </w:r>
      <w:r>
        <w:rPr>
          <w:rFonts w:ascii="Times New Roman" w:hAnsi="Times New Roman" w:cs="Times New Roman" w:eastAsia="Times New Roman" w:hint="default"/>
          <w:sz w:val="18"/>
          <w:szCs w:val="18"/>
        </w:rPr>
        <w:t>5</w:t>
      </w:r>
      <w:r>
        <w:rPr>
          <w:rFonts w:ascii="宋体" w:hAnsi="宋体" w:cs="宋体" w:eastAsia="宋体" w:hint="default"/>
          <w:sz w:val="18"/>
          <w:szCs w:val="18"/>
        </w:rPr>
        <w:t>名，其中设</w:t>
      </w:r>
      <w:r>
        <w:rPr>
          <w:rFonts w:ascii="Times New Roman" w:hAnsi="Times New Roman" w:cs="Times New Roman" w:eastAsia="Times New Roman" w:hint="default"/>
          <w:sz w:val="18"/>
          <w:szCs w:val="18"/>
        </w:rPr>
        <w:t>1</w:t>
      </w:r>
      <w:r>
        <w:rPr>
          <w:rFonts w:ascii="宋体" w:hAnsi="宋体" w:cs="宋体" w:eastAsia="宋体" w:hint="default"/>
          <w:sz w:val="18"/>
          <w:szCs w:val="18"/>
        </w:rPr>
        <w:t>名总经理（兼任董事长、董事会秘书）、</w:t>
      </w:r>
      <w:r>
        <w:rPr>
          <w:rFonts w:ascii="Times New Roman" w:hAnsi="Times New Roman" w:cs="Times New Roman" w:eastAsia="Times New Roman" w:hint="default"/>
          <w:sz w:val="18"/>
          <w:szCs w:val="18"/>
        </w:rPr>
        <w:t>4</w:t>
      </w:r>
      <w:r>
        <w:rPr>
          <w:rFonts w:ascii="宋体" w:hAnsi="宋体" w:cs="宋体" w:eastAsia="宋体" w:hint="default"/>
          <w:sz w:val="18"/>
          <w:szCs w:val="18"/>
        </w:rPr>
        <w:t>名副总经理（其中一名副总经理兼财务负 责人）。具体情况如下：</w:t>
      </w:r>
    </w:p>
    <w:p>
      <w:pPr>
        <w:spacing w:after="0" w:line="300" w:lineRule="auto"/>
        <w:jc w:val="left"/>
        <w:rPr>
          <w:rFonts w:ascii="宋体" w:hAnsi="宋体" w:cs="宋体" w:eastAsia="宋体" w:hint="default"/>
          <w:sz w:val="18"/>
          <w:szCs w:val="18"/>
        </w:rPr>
        <w:sectPr>
          <w:pgSz w:w="11910" w:h="16840"/>
          <w:pgMar w:header="747" w:footer="979" w:top="1060" w:bottom="1160" w:left="980" w:right="940"/>
        </w:sectPr>
      </w:pPr>
    </w:p>
    <w:p>
      <w:pPr>
        <w:spacing w:line="240" w:lineRule="auto" w:before="12"/>
        <w:rPr>
          <w:rFonts w:ascii="宋体" w:hAnsi="宋体" w:cs="宋体" w:eastAsia="宋体" w:hint="default"/>
          <w:sz w:val="25"/>
          <w:szCs w:val="25"/>
        </w:rPr>
      </w:pPr>
    </w:p>
    <w:p>
      <w:pPr>
        <w:spacing w:line="415" w:lineRule="auto" w:before="44"/>
        <w:ind w:left="514" w:right="82" w:firstLine="0"/>
        <w:jc w:val="left"/>
        <w:rPr>
          <w:rFonts w:ascii="宋体" w:hAnsi="宋体" w:cs="宋体" w:eastAsia="宋体" w:hint="default"/>
          <w:sz w:val="18"/>
          <w:szCs w:val="18"/>
        </w:rPr>
      </w:pPr>
      <w:r>
        <w:rPr>
          <w:rFonts w:ascii="宋体" w:hAnsi="宋体" w:cs="宋体" w:eastAsia="宋体" w:hint="default"/>
          <w:sz w:val="18"/>
          <w:szCs w:val="18"/>
        </w:rPr>
        <w:t>周亚辉，总经理兼董事长、董事会秘书，简历详见本节之</w:t>
      </w:r>
      <w:r>
        <w:rPr>
          <w:rFonts w:ascii="Times New Roman" w:hAnsi="Times New Roman" w:cs="Times New Roman" w:eastAsia="Times New Roman" w:hint="default"/>
          <w:sz w:val="18"/>
          <w:szCs w:val="18"/>
        </w:rPr>
        <w:t>“</w:t>
      </w:r>
      <w:r>
        <w:rPr>
          <w:rFonts w:ascii="宋体" w:hAnsi="宋体" w:cs="宋体" w:eastAsia="宋体" w:hint="default"/>
          <w:sz w:val="18"/>
          <w:szCs w:val="18"/>
        </w:rPr>
        <w:t>（一）董事</w:t>
      </w:r>
      <w:r>
        <w:rPr>
          <w:rFonts w:ascii="Times New Roman" w:hAnsi="Times New Roman" w:cs="Times New Roman" w:eastAsia="Times New Roman" w:hint="default"/>
          <w:sz w:val="18"/>
          <w:szCs w:val="18"/>
        </w:rPr>
        <w:t>”</w:t>
      </w:r>
      <w:r>
        <w:rPr>
          <w:rFonts w:ascii="宋体" w:hAnsi="宋体" w:cs="宋体" w:eastAsia="宋体" w:hint="default"/>
          <w:sz w:val="18"/>
          <w:szCs w:val="18"/>
        </w:rPr>
        <w:t>。 王立伟，副总经理兼财务负责人，简历详见本节之</w:t>
      </w:r>
      <w:r>
        <w:rPr>
          <w:rFonts w:ascii="Times New Roman" w:hAnsi="Times New Roman" w:cs="Times New Roman" w:eastAsia="Times New Roman" w:hint="default"/>
          <w:sz w:val="18"/>
          <w:szCs w:val="18"/>
        </w:rPr>
        <w:t>“</w:t>
      </w:r>
      <w:r>
        <w:rPr>
          <w:rFonts w:ascii="宋体" w:hAnsi="宋体" w:cs="宋体" w:eastAsia="宋体" w:hint="default"/>
          <w:sz w:val="18"/>
          <w:szCs w:val="18"/>
        </w:rPr>
        <w:t>（一）董事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before="37"/>
        <w:ind w:left="514" w:right="82" w:firstLine="0"/>
        <w:jc w:val="left"/>
        <w:rPr>
          <w:rFonts w:ascii="宋体" w:hAnsi="宋体" w:cs="宋体" w:eastAsia="宋体" w:hint="default"/>
          <w:sz w:val="18"/>
          <w:szCs w:val="18"/>
        </w:rPr>
      </w:pPr>
      <w:r>
        <w:rPr>
          <w:rFonts w:ascii="宋体" w:hAnsi="宋体" w:cs="宋体" w:eastAsia="宋体" w:hint="default"/>
          <w:spacing w:val="-2"/>
          <w:sz w:val="18"/>
          <w:szCs w:val="18"/>
        </w:rPr>
        <w:t>方汉，副总经理，男，</w:t>
      </w:r>
      <w:r>
        <w:rPr>
          <w:rFonts w:ascii="Times New Roman" w:hAnsi="Times New Roman" w:cs="Times New Roman" w:eastAsia="Times New Roman" w:hint="default"/>
          <w:spacing w:val="-2"/>
          <w:sz w:val="18"/>
          <w:szCs w:val="18"/>
        </w:rPr>
        <w:t>1974</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月出生，中国国籍，无永久境外居留权，中国科学技术大学近代物理系毕业，本科学历。</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1995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月至</w:t>
      </w:r>
      <w:r>
        <w:rPr>
          <w:rFonts w:ascii="Times New Roman" w:hAnsi="Times New Roman" w:cs="Times New Roman" w:eastAsia="Times New Roman" w:hint="default"/>
          <w:sz w:val="18"/>
          <w:szCs w:val="18"/>
        </w:rPr>
        <w:t>1998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月在中科院高能物理研究所任工程师</w:t>
      </w:r>
      <w:r>
        <w:rPr>
          <w:rFonts w:ascii="宋体" w:hAnsi="宋体" w:cs="宋体" w:eastAsia="宋体" w:hint="default"/>
          <w:spacing w:val="-82"/>
          <w:sz w:val="18"/>
          <w:szCs w:val="18"/>
        </w:rPr>
        <w:t>，</w:t>
      </w:r>
      <w:r>
        <w:rPr>
          <w:rFonts w:ascii="宋体" w:hAnsi="宋体" w:cs="宋体" w:eastAsia="宋体" w:hint="default"/>
          <w:sz w:val="18"/>
          <w:szCs w:val="18"/>
        </w:rPr>
        <w:t>负责北京正负电子对撞机飞行时间计数器电子学仪器维护工作；</w:t>
      </w:r>
    </w:p>
    <w:p>
      <w:pPr>
        <w:spacing w:line="300" w:lineRule="auto" w:before="63"/>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1999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2000</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月在北京拓林思软件有限公司任高级研发工程师，从事国内第一款中文</w:t>
      </w:r>
      <w:r>
        <w:rPr>
          <w:rFonts w:ascii="Times New Roman" w:hAnsi="Times New Roman" w:cs="Times New Roman" w:eastAsia="Times New Roman" w:hint="default"/>
          <w:sz w:val="18"/>
          <w:szCs w:val="18"/>
        </w:rPr>
        <w:t>Linux</w:t>
      </w:r>
      <w:r>
        <w:rPr>
          <w:rFonts w:ascii="宋体" w:hAnsi="宋体" w:cs="宋体" w:eastAsia="宋体" w:hint="default"/>
          <w:sz w:val="18"/>
          <w:szCs w:val="18"/>
        </w:rPr>
        <w:t>操作系统</w:t>
      </w:r>
      <w:r>
        <w:rPr>
          <w:rFonts w:ascii="Times New Roman" w:hAnsi="Times New Roman" w:cs="Times New Roman" w:eastAsia="Times New Roman" w:hint="default"/>
          <w:sz w:val="18"/>
          <w:szCs w:val="18"/>
        </w:rPr>
        <w:t>Turbo</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Linux</w:t>
      </w:r>
      <w:r>
        <w:rPr>
          <w:rFonts w:ascii="Times New Roman" w:hAnsi="Times New Roman" w:cs="Times New Roman" w:eastAsia="Times New Roman" w:hint="default"/>
          <w:sz w:val="18"/>
          <w:szCs w:val="18"/>
        </w:rPr>
        <w:t> Chinese</w:t>
      </w:r>
      <w:r>
        <w:rPr>
          <w:rFonts w:ascii="Times New Roman" w:hAnsi="Times New Roman" w:cs="Times New Roman" w:eastAsia="Times New Roman" w:hint="default"/>
          <w:spacing w:val="-19"/>
          <w:sz w:val="18"/>
          <w:szCs w:val="18"/>
        </w:rPr>
        <w:t> </w:t>
      </w:r>
      <w:r>
        <w:rPr>
          <w:rFonts w:ascii="Times New Roman" w:hAnsi="Times New Roman" w:cs="Times New Roman" w:eastAsia="Times New Roman" w:hint="default"/>
          <w:sz w:val="18"/>
          <w:szCs w:val="18"/>
        </w:rPr>
        <w:t>Distributio</w:t>
      </w:r>
      <w:r>
        <w:rPr>
          <w:rFonts w:ascii="宋体" w:hAnsi="宋体" w:cs="宋体" w:eastAsia="宋体" w:hint="default"/>
          <w:sz w:val="18"/>
          <w:szCs w:val="18"/>
        </w:rPr>
        <w:t>研发；</w:t>
      </w:r>
      <w:r>
        <w:rPr>
          <w:rFonts w:ascii="Times New Roman" w:hAnsi="Times New Roman" w:cs="Times New Roman" w:eastAsia="Times New Roman" w:hint="default"/>
          <w:sz w:val="18"/>
          <w:szCs w:val="18"/>
        </w:rPr>
        <w:t>2000</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月在思杰科软件技术有限公司从事通用用户平台（</w:t>
      </w:r>
      <w:r>
        <w:rPr>
          <w:rFonts w:ascii="Times New Roman" w:hAnsi="Times New Roman" w:cs="Times New Roman" w:eastAsia="Times New Roman" w:hint="default"/>
          <w:sz w:val="18"/>
          <w:szCs w:val="18"/>
        </w:rPr>
        <w:t>CUP</w:t>
      </w:r>
      <w:r>
        <w:rPr>
          <w:rFonts w:ascii="宋体" w:hAnsi="宋体" w:cs="宋体" w:eastAsia="宋体" w:hint="default"/>
          <w:sz w:val="18"/>
          <w:szCs w:val="18"/>
        </w:rPr>
        <w:t>）的开发工作；</w:t>
      </w:r>
      <w:r>
        <w:rPr>
          <w:rFonts w:ascii="Times New Roman" w:hAnsi="Times New Roman" w:cs="Times New Roman" w:eastAsia="Times New Roman" w:hint="default"/>
          <w:sz w:val="18"/>
          <w:szCs w:val="18"/>
        </w:rPr>
        <w:t>2001</w:t>
      </w:r>
      <w:r>
        <w:rPr>
          <w:rFonts w:ascii="宋体" w:hAnsi="宋体" w:cs="宋体" w:eastAsia="宋体" w:hint="default"/>
          <w:sz w:val="18"/>
          <w:szCs w:val="18"/>
        </w:rPr>
        <w:t>年 </w:t>
      </w:r>
      <w:r>
        <w:rPr>
          <w:rFonts w:ascii="Times New Roman" w:hAnsi="Times New Roman" w:cs="Times New Roman" w:eastAsia="Times New Roman" w:hint="default"/>
          <w:sz w:val="18"/>
          <w:szCs w:val="18"/>
        </w:rPr>
        <w:t>5</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2002</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月在</w:t>
      </w:r>
      <w:r>
        <w:rPr>
          <w:rFonts w:ascii="Times New Roman" w:hAnsi="Times New Roman" w:cs="Times New Roman" w:eastAsia="Times New Roman" w:hint="default"/>
          <w:sz w:val="18"/>
          <w:szCs w:val="18"/>
        </w:rPr>
        <w:t>Moutain View Data</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w:t>
      </w:r>
      <w:r>
        <w:rPr>
          <w:rFonts w:ascii="Times New Roman" w:hAnsi="Times New Roman" w:cs="Times New Roman" w:eastAsia="Times New Roman" w:hint="default"/>
          <w:sz w:val="18"/>
          <w:szCs w:val="18"/>
        </w:rPr>
        <w:t>US</w:t>
      </w:r>
      <w:r>
        <w:rPr>
          <w:rFonts w:ascii="宋体" w:hAnsi="宋体" w:cs="宋体" w:eastAsia="宋体" w:hint="default"/>
          <w:sz w:val="18"/>
          <w:szCs w:val="18"/>
        </w:rPr>
        <w:t>）任高级研发工程师，从事</w:t>
      </w:r>
      <w:r>
        <w:rPr>
          <w:rFonts w:ascii="Times New Roman" w:hAnsi="Times New Roman" w:cs="Times New Roman" w:eastAsia="Times New Roman" w:hint="default"/>
          <w:sz w:val="18"/>
          <w:szCs w:val="18"/>
        </w:rPr>
        <w:t>NAS</w:t>
      </w:r>
      <w:r>
        <w:rPr>
          <w:rFonts w:ascii="宋体" w:hAnsi="宋体" w:cs="宋体" w:eastAsia="宋体" w:hint="default"/>
          <w:sz w:val="18"/>
          <w:szCs w:val="18"/>
        </w:rPr>
        <w:t>（网络存储）的开发；</w:t>
      </w:r>
      <w:r>
        <w:rPr>
          <w:rFonts w:ascii="Times New Roman" w:hAnsi="Times New Roman" w:cs="Times New Roman" w:eastAsia="Times New Roman" w:hint="default"/>
          <w:sz w:val="18"/>
          <w:szCs w:val="18"/>
        </w:rPr>
        <w:t>2002</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2003</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 </w:t>
      </w:r>
      <w:r>
        <w:rPr>
          <w:rFonts w:ascii="宋体" w:hAnsi="宋体" w:cs="宋体" w:eastAsia="宋体" w:hint="default"/>
          <w:spacing w:val="-2"/>
          <w:sz w:val="18"/>
          <w:szCs w:val="18"/>
        </w:rPr>
        <w:t>在亚信科技（中国）有限公司任高级研发工程师，从事安全软件开发；</w:t>
      </w:r>
      <w:r>
        <w:rPr>
          <w:rFonts w:ascii="Times New Roman" w:hAnsi="Times New Roman" w:cs="Times New Roman" w:eastAsia="Times New Roman" w:hint="default"/>
          <w:spacing w:val="-2"/>
          <w:sz w:val="18"/>
          <w:szCs w:val="18"/>
        </w:rPr>
        <w:t>2003</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12</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2007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月在千橡世纪科技发展（北京）</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有限公司任高级研发工程师，负责</w:t>
      </w:r>
      <w:r>
        <w:rPr>
          <w:rFonts w:ascii="Times New Roman" w:hAnsi="Times New Roman" w:cs="Times New Roman" w:eastAsia="Times New Roman" w:hint="default"/>
          <w:sz w:val="18"/>
          <w:szCs w:val="18"/>
        </w:rPr>
        <w:t>P2P</w:t>
      </w:r>
      <w:r>
        <w:rPr>
          <w:rFonts w:ascii="宋体" w:hAnsi="宋体" w:cs="宋体" w:eastAsia="宋体" w:hint="default"/>
          <w:sz w:val="18"/>
          <w:szCs w:val="18"/>
        </w:rPr>
        <w:t>软件开发；</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月加入昆仑有限，负责游戏研发。现任本公司副总经理。（方汉 已辞去公司高管职务，具体可见披露公告，公告编号：</w:t>
      </w:r>
      <w:r>
        <w:rPr>
          <w:rFonts w:ascii="Times New Roman" w:hAnsi="Times New Roman" w:cs="Times New Roman" w:eastAsia="Times New Roman" w:hint="default"/>
          <w:sz w:val="18"/>
          <w:szCs w:val="18"/>
        </w:rPr>
        <w:t>2016-049</w:t>
      </w:r>
      <w:r>
        <w:rPr>
          <w:rFonts w:ascii="宋体" w:hAnsi="宋体" w:cs="宋体" w:eastAsia="宋体" w:hint="default"/>
          <w:sz w:val="18"/>
          <w:szCs w:val="18"/>
        </w:rPr>
        <w:t>）</w:t>
      </w:r>
    </w:p>
    <w:p>
      <w:pPr>
        <w:spacing w:line="300" w:lineRule="auto" w:before="133"/>
        <w:ind w:left="154" w:right="190" w:firstLine="360"/>
        <w:jc w:val="both"/>
        <w:rPr>
          <w:rFonts w:ascii="宋体" w:hAnsi="宋体" w:cs="宋体" w:eastAsia="宋体" w:hint="default"/>
          <w:sz w:val="18"/>
          <w:szCs w:val="18"/>
        </w:rPr>
      </w:pPr>
      <w:r>
        <w:rPr>
          <w:rFonts w:ascii="宋体" w:hAnsi="宋体" w:cs="宋体" w:eastAsia="宋体" w:hint="default"/>
          <w:spacing w:val="-4"/>
          <w:sz w:val="18"/>
          <w:szCs w:val="18"/>
        </w:rPr>
        <w:t>吴绩伟，副总经理，男，</w:t>
      </w:r>
      <w:r>
        <w:rPr>
          <w:rFonts w:ascii="Times New Roman" w:hAnsi="Times New Roman" w:cs="Times New Roman" w:eastAsia="Times New Roman" w:hint="default"/>
          <w:spacing w:val="-4"/>
          <w:sz w:val="18"/>
          <w:szCs w:val="18"/>
        </w:rPr>
        <w:t>1978</w:t>
      </w:r>
      <w:r>
        <w:rPr>
          <w:rFonts w:ascii="宋体" w:hAnsi="宋体" w:cs="宋体" w:eastAsia="宋体" w:hint="default"/>
          <w:spacing w:val="-4"/>
          <w:sz w:val="18"/>
          <w:szCs w:val="18"/>
        </w:rPr>
        <w:t>年</w:t>
      </w:r>
      <w:r>
        <w:rPr>
          <w:rFonts w:ascii="Times New Roman" w:hAnsi="Times New Roman" w:cs="Times New Roman" w:eastAsia="Times New Roman" w:hint="default"/>
          <w:spacing w:val="-4"/>
          <w:sz w:val="18"/>
          <w:szCs w:val="18"/>
        </w:rPr>
        <w:t>9</w:t>
      </w:r>
      <w:r>
        <w:rPr>
          <w:rFonts w:ascii="宋体" w:hAnsi="宋体" w:cs="宋体" w:eastAsia="宋体" w:hint="default"/>
          <w:spacing w:val="-4"/>
          <w:sz w:val="18"/>
          <w:szCs w:val="18"/>
        </w:rPr>
        <w:t>月出生，中国国籍，无永久境外居留权，中山大学计算数学专业毕业，本科学历。</w:t>
      </w:r>
      <w:r>
        <w:rPr>
          <w:rFonts w:ascii="Times New Roman" w:hAnsi="Times New Roman" w:cs="Times New Roman" w:eastAsia="Times New Roman" w:hint="default"/>
          <w:spacing w:val="-4"/>
          <w:sz w:val="18"/>
          <w:szCs w:val="18"/>
        </w:rPr>
        <w:t>2001</w:t>
      </w:r>
      <w:r>
        <w:rPr>
          <w:rFonts w:ascii="Times New Roman" w:hAnsi="Times New Roman" w:cs="Times New Roman" w:eastAsia="Times New Roman" w:hint="default"/>
          <w:sz w:val="18"/>
          <w:szCs w:val="18"/>
        </w:rPr>
        <w:t> </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12</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2004</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9</w:t>
      </w:r>
      <w:r>
        <w:rPr>
          <w:rFonts w:ascii="宋体" w:hAnsi="宋体" w:cs="宋体" w:eastAsia="宋体" w:hint="default"/>
          <w:spacing w:val="-2"/>
          <w:sz w:val="18"/>
          <w:szCs w:val="18"/>
        </w:rPr>
        <w:t>月在网易技术部（广州），从事程序开发、产品质保、产品管理工作；</w:t>
      </w:r>
      <w:r>
        <w:rPr>
          <w:rFonts w:ascii="宋体" w:hAnsi="宋体" w:cs="宋体" w:eastAsia="宋体" w:hint="default"/>
          <w:sz w:val="18"/>
          <w:szCs w:val="18"/>
        </w:rPr>
        <w:t> </w:t>
      </w:r>
      <w:r>
        <w:rPr>
          <w:rFonts w:ascii="Times New Roman" w:hAnsi="Times New Roman" w:cs="Times New Roman" w:eastAsia="Times New Roman" w:hint="default"/>
          <w:spacing w:val="-1"/>
          <w:sz w:val="18"/>
          <w:szCs w:val="18"/>
        </w:rPr>
        <w:t>2005</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2007</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月在千橡世纪</w:t>
      </w:r>
      <w:r>
        <w:rPr>
          <w:rFonts w:ascii="宋体" w:hAnsi="宋体" w:cs="宋体" w:eastAsia="宋体" w:hint="default"/>
          <w:spacing w:val="-70"/>
          <w:sz w:val="18"/>
          <w:szCs w:val="18"/>
        </w:rPr>
        <w:t> </w:t>
      </w:r>
      <w:r>
        <w:rPr>
          <w:rFonts w:ascii="宋体" w:hAnsi="宋体" w:cs="宋体" w:eastAsia="宋体" w:hint="default"/>
          <w:spacing w:val="-2"/>
          <w:sz w:val="18"/>
          <w:szCs w:val="18"/>
        </w:rPr>
        <w:t>科技发展（北京）有限公司任在线事业部产品总监，负责在线事业部整个产品线规划与管理；</w:t>
      </w:r>
      <w:r>
        <w:rPr>
          <w:rFonts w:ascii="Times New Roman" w:hAnsi="Times New Roman" w:cs="Times New Roman" w:eastAsia="Times New Roman" w:hint="default"/>
          <w:spacing w:val="-2"/>
          <w:sz w:val="18"/>
          <w:szCs w:val="18"/>
        </w:rPr>
        <w:t>2007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月至</w:t>
      </w:r>
      <w:r>
        <w:rPr>
          <w:rFonts w:ascii="Times New Roman" w:hAnsi="Times New Roman" w:cs="Times New Roman" w:eastAsia="Times New Roman" w:hint="default"/>
          <w:spacing w:val="-2"/>
          <w:sz w:val="18"/>
          <w:szCs w:val="18"/>
        </w:rPr>
        <w:t>2008</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月在北京</w:t>
      </w:r>
      <w:r>
        <w:rPr>
          <w:rFonts w:ascii="宋体" w:hAnsi="宋体" w:cs="宋体" w:eastAsia="宋体" w:hint="default"/>
          <w:spacing w:val="-55"/>
          <w:sz w:val="18"/>
          <w:szCs w:val="18"/>
        </w:rPr>
        <w:t> </w:t>
      </w:r>
      <w:r>
        <w:rPr>
          <w:rFonts w:ascii="宋体" w:hAnsi="宋体" w:cs="宋体" w:eastAsia="宋体" w:hint="default"/>
          <w:sz w:val="18"/>
          <w:szCs w:val="18"/>
        </w:rPr>
        <w:t>基耐特互联科技发展有限公司从事软件研发工作；</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月加入昆仑有限，负责战略管理。现任本公司副总经理。</w:t>
      </w:r>
    </w:p>
    <w:p>
      <w:pPr>
        <w:spacing w:line="319" w:lineRule="auto" w:before="133"/>
        <w:ind w:left="154" w:right="94" w:firstLine="290"/>
        <w:jc w:val="left"/>
        <w:rPr>
          <w:rFonts w:ascii="宋体" w:hAnsi="宋体" w:cs="宋体" w:eastAsia="宋体" w:hint="default"/>
          <w:sz w:val="18"/>
          <w:szCs w:val="18"/>
        </w:rPr>
      </w:pPr>
      <w:r>
        <w:rPr>
          <w:rFonts w:ascii="宋体" w:hAnsi="宋体" w:cs="宋体" w:eastAsia="宋体" w:hint="default"/>
          <w:spacing w:val="-2"/>
          <w:sz w:val="18"/>
          <w:szCs w:val="18"/>
        </w:rPr>
        <w:t>花伟，副总经理，男，</w:t>
      </w:r>
      <w:r>
        <w:rPr>
          <w:rFonts w:ascii="Times New Roman" w:hAnsi="Times New Roman" w:cs="Times New Roman" w:eastAsia="Times New Roman" w:hint="default"/>
          <w:spacing w:val="-2"/>
          <w:sz w:val="18"/>
          <w:szCs w:val="18"/>
        </w:rPr>
        <w:t>1980</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11</w:t>
      </w:r>
      <w:r>
        <w:rPr>
          <w:rFonts w:ascii="宋体" w:hAnsi="宋体" w:cs="宋体" w:eastAsia="宋体" w:hint="default"/>
          <w:spacing w:val="-2"/>
          <w:sz w:val="18"/>
          <w:szCs w:val="18"/>
        </w:rPr>
        <w:t>月出生，中国国籍，无永久境外居留权，北京大学管理科学与工程专业毕业，硕士学历。</w:t>
      </w:r>
      <w:r>
        <w:rPr>
          <w:rFonts w:ascii="宋体" w:hAnsi="宋体" w:cs="宋体" w:eastAsia="宋体" w:hint="default"/>
          <w:sz w:val="18"/>
          <w:szCs w:val="18"/>
        </w:rPr>
        <w:t> 曾任洛阳中粤耐磨材料有限公司财务总监，华兴资本高级投资经理。</w:t>
      </w:r>
      <w:r>
        <w:rPr>
          <w:rFonts w:ascii="Times New Roman" w:hAnsi="Times New Roman" w:cs="Times New Roman" w:eastAsia="Times New Roman" w:hint="default"/>
          <w:sz w:val="18"/>
          <w:szCs w:val="18"/>
        </w:rPr>
        <w:t>2010</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月加入昆仑有限，现任本公司副总经理。 在股东单位任职情况</w:t>
      </w:r>
    </w:p>
    <w:p>
      <w:pPr>
        <w:spacing w:line="338" w:lineRule="auto" w:before="58"/>
        <w:ind w:left="154" w:right="81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在其他单位任职情况</w:t>
      </w:r>
    </w:p>
    <w:p>
      <w:pPr>
        <w:spacing w:before="42"/>
        <w:ind w:left="154" w:right="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1" w:right="89"/>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42" w:right="53" w:hanging="90"/>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昆仑日本</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昆仑集团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昆仑韩国</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昆仑在线</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广州昆仑</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昆仑乐享</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执行董事、经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昆仑马来</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昆仑美国</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0"/>
              <w:jc w:val="left"/>
              <w:rPr>
                <w:rFonts w:ascii="宋体" w:hAnsi="宋体" w:cs="宋体" w:eastAsia="宋体" w:hint="default"/>
                <w:sz w:val="18"/>
                <w:szCs w:val="18"/>
              </w:rPr>
            </w:pPr>
            <w:r>
              <w:rPr>
                <w:rFonts w:ascii="宋体" w:hAnsi="宋体" w:cs="宋体" w:eastAsia="宋体" w:hint="default"/>
                <w:spacing w:val="-8"/>
                <w:sz w:val="18"/>
                <w:szCs w:val="18"/>
              </w:rPr>
              <w:t>董事长、首席</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执行官</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昆仑欧洲</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游景蓝图</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网潮香港</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香港万维</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盈瑞世纪</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执行事务合 伙人</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pacing w:val="-4"/>
                <w:sz w:val="18"/>
              </w:rPr>
              <w:t>TalkTalk</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RaidCall</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HK</w:t>
            </w:r>
            <w:r>
              <w:rPr>
                <w:rFonts w:ascii="宋体" w:hAnsi="宋体" w:cs="宋体" w:eastAsia="宋体" w:hint="default"/>
                <w:sz w:val="18"/>
                <w:szCs w:val="18"/>
              </w:rPr>
              <w:t>）</w:t>
            </w:r>
            <w:r>
              <w:rPr>
                <w:rFonts w:ascii="Times New Roman" w:hAnsi="Times New Roman" w:cs="Times New Roman" w:eastAsia="Times New Roman" w:hint="default"/>
                <w:sz w:val="18"/>
                <w:szCs w:val="18"/>
              </w:rPr>
              <w:t>Limited</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信达天下</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趣分期</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LendInvest</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映客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米投科技</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一米鲜</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昆仑日本</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昆仑韩国</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昆仑在线</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昆仑集团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游景蓝图</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网潮香港</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香港万维</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昆仑台湾</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北京同有飞骥科技股份有限公司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北京创毅讯联科技股份有限公司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深圳市大马化投资有限公司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pacing w:val="-8"/>
                <w:sz w:val="18"/>
                <w:szCs w:val="18"/>
              </w:rPr>
              <w:t>董事、总经理</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深圳市大东汇金投资发展有限公司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深圳市东方富海投资管理有限公司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深圳市东方富海创业投资管理有限公司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9"/>
              <w:jc w:val="left"/>
              <w:rPr>
                <w:rFonts w:ascii="宋体" w:hAnsi="宋体" w:cs="宋体" w:eastAsia="宋体" w:hint="default"/>
                <w:sz w:val="18"/>
                <w:szCs w:val="18"/>
              </w:rPr>
            </w:pPr>
            <w:r>
              <w:rPr>
                <w:rFonts w:ascii="宋体" w:hAnsi="宋体" w:cs="宋体" w:eastAsia="宋体" w:hint="default"/>
                <w:spacing w:val="-1"/>
                <w:sz w:val="18"/>
                <w:szCs w:val="18"/>
              </w:rPr>
              <w:t>东方富海（芜湖）股权投资基金（有限合</w:t>
            </w:r>
            <w:r>
              <w:rPr>
                <w:rFonts w:ascii="宋体" w:hAnsi="宋体" w:cs="宋体" w:eastAsia="宋体" w:hint="default"/>
                <w:sz w:val="18"/>
                <w:szCs w:val="18"/>
              </w:rPr>
              <w:t> 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9"/>
              <w:jc w:val="left"/>
              <w:rPr>
                <w:rFonts w:ascii="宋体" w:hAnsi="宋体" w:cs="宋体" w:eastAsia="宋体" w:hint="default"/>
                <w:sz w:val="18"/>
                <w:szCs w:val="18"/>
              </w:rPr>
            </w:pPr>
            <w:r>
              <w:rPr>
                <w:rFonts w:ascii="宋体" w:hAnsi="宋体" w:cs="宋体" w:eastAsia="宋体" w:hint="default"/>
                <w:spacing w:val="-1"/>
                <w:sz w:val="18"/>
                <w:szCs w:val="18"/>
              </w:rPr>
              <w:t>东方富海（芜湖）二号股权投资基金（有</w:t>
            </w:r>
            <w:r>
              <w:rPr>
                <w:rFonts w:ascii="宋体" w:hAnsi="宋体" w:cs="宋体" w:eastAsia="宋体" w:hint="default"/>
                <w:sz w:val="18"/>
                <w:szCs w:val="18"/>
              </w:rPr>
              <w:t> 限合伙）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东方富海（芜湖）股权投资基金管理企业</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83"/>
              <w:jc w:val="left"/>
              <w:rPr>
                <w:rFonts w:ascii="宋体" w:hAnsi="宋体" w:cs="宋体" w:eastAsia="宋体" w:hint="default"/>
                <w:sz w:val="18"/>
                <w:szCs w:val="18"/>
              </w:rPr>
            </w:pPr>
            <w:r>
              <w:rPr>
                <w:rFonts w:ascii="宋体" w:hAnsi="宋体" w:cs="宋体" w:eastAsia="宋体" w:hint="default"/>
                <w:sz w:val="18"/>
                <w:szCs w:val="18"/>
              </w:rPr>
              <w:t>深圳市东方富海创业投资企业（有限合 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2"/>
                <w:sz w:val="18"/>
                <w:szCs w:val="18"/>
              </w:rPr>
              <w:t>深圳市东方富海壹号创业投资企业（有限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合伙）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2"/>
                <w:sz w:val="18"/>
                <w:szCs w:val="18"/>
              </w:rPr>
              <w:t>天津东方富海股权投资基金合伙企业（有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限合伙）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2"/>
                <w:sz w:val="18"/>
                <w:szCs w:val="18"/>
              </w:rPr>
              <w:t>天津富海股权投资基金管理中心（有限合</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83"/>
              <w:jc w:val="left"/>
              <w:rPr>
                <w:rFonts w:ascii="宋体" w:hAnsi="宋体" w:cs="宋体" w:eastAsia="宋体" w:hint="default"/>
                <w:sz w:val="18"/>
                <w:szCs w:val="18"/>
              </w:rPr>
            </w:pPr>
            <w:r>
              <w:rPr>
                <w:rFonts w:ascii="宋体" w:hAnsi="宋体" w:cs="宋体" w:eastAsia="宋体" w:hint="default"/>
                <w:sz w:val="18"/>
                <w:szCs w:val="18"/>
              </w:rPr>
              <w:t>杨凌东方富海现代农业生物产业股权投 资企业（有限合伙）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2"/>
                <w:sz w:val="18"/>
                <w:szCs w:val="18"/>
              </w:rPr>
              <w:t>皖江（芜湖）物流产业投资基金（有限合</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2"/>
                <w:sz w:val="18"/>
                <w:szCs w:val="18"/>
              </w:rPr>
              <w:t>深圳市东方富海成长环保投资企业（有限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合伙）</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湖南电广传媒股份有限公司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深圳市彩虹精化股份有限公司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深圳广田装饰股份有限公司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中国中小企业协会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副会长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中国投资协会创业投资专业委员会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副会长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张霆</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北京澜讯科信投资顾问有限公司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财务经理</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张霆</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开信创业投资有限公司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投资经理</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北京中欧兴业投资管理有限公司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北京修实资产管理有限公司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张家港智能电力研究院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院长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张家港智能电力研究院有限公司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中关村兴业（北京）投资管理有限公司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友成企业家扶贫基金会修实公益基金</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管委会主任</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兼职教授</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赛晶电力电子集团有限公司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昆山青石投资管理有限公司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苏州清桥电子科技有限公司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北京水木源华电气股份有限公司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北京水木能研管理咨询有限公司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北京互联天下信息咨询服务有限公司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北京中关村海归文化发展有限公司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双清诚德科技（北京）有限公司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研究员</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徐珊</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厦门天健咨询有限公司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徐珊</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洛阳栾川钼业集团股份有限公司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徐珊</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阳光保险集团股份有限公司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徐珊</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欣贺股份有限公司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昆仑日本</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昆仑韩国</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昆仑集团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昆仑乐享</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游景蓝图</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网潮香港</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香港万维</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于明俭</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昆仑博远</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执行事务合 伙人</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李振春</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昆仑博观</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执行事务合 伙人</w:t>
            </w:r>
          </w:p>
        </w:tc>
        <w:tc>
          <w:tcPr>
            <w:tcW w:w="1230"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四、董事、监事、高级管理人员报酬情况</w:t>
      </w:r>
      <w:r>
        <w:rPr>
          <w:b w:val="0"/>
          <w:bCs w:val="0"/>
        </w:rPr>
      </w:r>
    </w:p>
    <w:p>
      <w:pPr>
        <w:spacing w:line="240" w:lineRule="auto" w:before="8"/>
        <w:rPr>
          <w:rFonts w:ascii="Microsoft JhengHei" w:hAnsi="Microsoft JhengHei" w:cs="Microsoft JhengHei" w:eastAsia="Microsoft JhengHei" w:hint="default"/>
          <w:b/>
          <w:bCs/>
          <w:sz w:val="18"/>
          <w:szCs w:val="18"/>
        </w:rPr>
      </w:pPr>
    </w:p>
    <w:p>
      <w:pPr>
        <w:spacing w:line="357" w:lineRule="auto" w:before="0"/>
        <w:ind w:left="444" w:right="0" w:hanging="291"/>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 </w:t>
      </w:r>
      <w:r>
        <w:rPr>
          <w:rFonts w:ascii="宋体" w:hAnsi="宋体" w:cs="宋体" w:eastAsia="宋体" w:hint="default"/>
          <w:spacing w:val="-1"/>
          <w:sz w:val="18"/>
          <w:szCs w:val="18"/>
        </w:rPr>
        <w:t>董事、监事、高级管理人员报酬的决策程序：公司董事、监事报酬由股东大会审议通过后方可实施；公司高级管理人员</w:t>
      </w:r>
    </w:p>
    <w:p>
      <w:pPr>
        <w:spacing w:line="224"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的报酬由董事会审议通过后方可实施；</w:t>
      </w:r>
    </w:p>
    <w:p>
      <w:pPr>
        <w:spacing w:line="316" w:lineRule="auto" w:before="76"/>
        <w:ind w:left="154" w:right="0" w:firstLine="290"/>
        <w:jc w:val="left"/>
        <w:rPr>
          <w:rFonts w:ascii="宋体" w:hAnsi="宋体" w:cs="宋体" w:eastAsia="宋体" w:hint="default"/>
          <w:sz w:val="18"/>
          <w:szCs w:val="18"/>
        </w:rPr>
      </w:pPr>
      <w:r>
        <w:rPr>
          <w:rFonts w:ascii="宋体" w:hAnsi="宋体" w:cs="宋体" w:eastAsia="宋体" w:hint="default"/>
          <w:spacing w:val="-1"/>
          <w:sz w:val="18"/>
          <w:szCs w:val="18"/>
        </w:rPr>
        <w:t>董事、监事、高级管理人员报酬确定依据：本公司独立董事以外的在公司领薪的董事、监事、高级管理人员及其他核心</w:t>
      </w:r>
      <w:r>
        <w:rPr>
          <w:rFonts w:ascii="宋体" w:hAnsi="宋体" w:cs="宋体" w:eastAsia="宋体" w:hint="default"/>
          <w:sz w:val="18"/>
          <w:szCs w:val="18"/>
        </w:rPr>
        <w:t> 人员的薪酬由工资、奖金、社会保险和住房公积金组成，参照同行业水平确定。</w:t>
      </w:r>
    </w:p>
    <w:p>
      <w:pPr>
        <w:spacing w:line="300" w:lineRule="auto" w:before="19"/>
        <w:ind w:left="154" w:right="0" w:firstLine="29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年度，公司董事、监事、高级管理人员的报酬严格按照上述程序确定，全年董事、监事、高级管理人员从公司领取</w:t>
      </w:r>
      <w:r>
        <w:rPr>
          <w:rFonts w:ascii="宋体" w:hAnsi="宋体" w:cs="宋体" w:eastAsia="宋体" w:hint="default"/>
          <w:sz w:val="18"/>
          <w:szCs w:val="18"/>
        </w:rPr>
        <w:t> 的报酬总额如下表</w:t>
      </w:r>
    </w:p>
    <w:p>
      <w:pPr>
        <w:spacing w:line="240" w:lineRule="auto" w:before="13"/>
        <w:rPr>
          <w:rFonts w:ascii="宋体" w:hAnsi="宋体" w:cs="宋体" w:eastAsia="宋体" w:hint="default"/>
          <w:sz w:val="25"/>
          <w:szCs w:val="25"/>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8" w:right="47"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68"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49"/>
              <w:jc w:val="center"/>
              <w:rPr>
                <w:rFonts w:ascii="宋体" w:hAnsi="宋体" w:cs="宋体" w:eastAsia="宋体" w:hint="default"/>
                <w:sz w:val="18"/>
                <w:szCs w:val="18"/>
              </w:rPr>
            </w:pPr>
            <w:r>
              <w:rPr>
                <w:rFonts w:ascii="宋体" w:hAnsi="宋体" w:cs="宋体" w:eastAsia="宋体" w:hint="default"/>
                <w:sz w:val="18"/>
                <w:szCs w:val="18"/>
              </w:rPr>
              <w:t>董事，高级管理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人员</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张霆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陈玮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8"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董事，高级管理 人员</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徐珊</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于明俭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李振春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陈向阳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吴绩伟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高级管理人员</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花伟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高级管理人员</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高级管理人员</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290.76</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98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公司董事、监事、高级管理人员报告期内被授予的股权激励情况</w:t>
      </w:r>
    </w:p>
    <w:p>
      <w:pPr>
        <w:spacing w:before="117"/>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pict>
          <v:shape style="position:absolute;margin-left:259.059998pt;margin-top:17.531706pt;width:58.1pt;height:66.4pt;mso-position-horizontal-relative:page;mso-position-vertical-relative:paragraph;z-index:-965632" type="#_x0000_t202" filled="false" stroked="false">
            <v:textbox inset="0,0,0,0">
              <w:txbxContent>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13"/>
                    <w:rPr>
                      <w:rFonts w:ascii="Microsoft JhengHei" w:hAnsi="Microsoft JhengHei" w:cs="Microsoft JhengHei" w:eastAsia="Microsoft JhengHei" w:hint="default"/>
                      <w:b/>
                      <w:bCs/>
                      <w:sz w:val="20"/>
                      <w:szCs w:val="20"/>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w:pict>
      </w: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5195" w:space="3725"/>
            <w:col w:w="1030"/>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0"/>
        <w:ind w:left="0" w:right="165" w:firstLine="0"/>
        <w:jc w:val="right"/>
        <w:rPr>
          <w:rFonts w:ascii="宋体" w:hAnsi="宋体" w:cs="宋体" w:eastAsia="宋体" w:hint="default"/>
          <w:sz w:val="18"/>
          <w:szCs w:val="18"/>
        </w:rPr>
      </w:pPr>
      <w:r>
        <w:rPr/>
        <w:pict>
          <v:shape style="position:absolute;margin-left:56.459999pt;margin-top:-110.178284pt;width:478.95pt;height:190.15pt;mso-position-horizontal-relative:page;mso-position-vertical-relative:paragraph;z-index:1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66"/>
                    <w:gridCol w:w="868"/>
                    <w:gridCol w:w="871"/>
                    <w:gridCol w:w="870"/>
                    <w:gridCol w:w="870"/>
                    <w:gridCol w:w="869"/>
                    <w:gridCol w:w="870"/>
                    <w:gridCol w:w="870"/>
                    <w:gridCol w:w="870"/>
                    <w:gridCol w:w="870"/>
                    <w:gridCol w:w="870"/>
                  </w:tblGrid>
                  <w:tr>
                    <w:trPr>
                      <w:trHeight w:val="1337"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68"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871" w:type="dxa"/>
                        <w:tcBorders>
                          <w:top w:val="single" w:sz="4" w:space="0" w:color="000000"/>
                          <w:left w:val="single" w:sz="5"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68" w:right="68"/>
                          <w:jc w:val="center"/>
                          <w:rPr>
                            <w:rFonts w:ascii="宋体" w:hAnsi="宋体" w:cs="宋体" w:eastAsia="宋体" w:hint="default"/>
                            <w:sz w:val="18"/>
                            <w:szCs w:val="18"/>
                          </w:rPr>
                        </w:pPr>
                        <w:r>
                          <w:rPr>
                            <w:rFonts w:ascii="宋体" w:hAnsi="宋体" w:cs="宋体" w:eastAsia="宋体" w:hint="default"/>
                            <w:sz w:val="18"/>
                            <w:szCs w:val="18"/>
                          </w:rPr>
                          <w:t>报告期内 可行权股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69" w:firstLine="46"/>
                          <w:jc w:val="both"/>
                          <w:rPr>
                            <w:rFonts w:ascii="Times New Roman" w:hAnsi="Times New Roman" w:cs="Times New Roman" w:eastAsia="Times New Roman"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12"/>
                            <w:sz w:val="18"/>
                            <w:szCs w:val="18"/>
                          </w:rPr>
                          <w:t>格（元</w:t>
                        </w:r>
                        <w:r>
                          <w:rPr>
                            <w:rFonts w:ascii="Times New Roman" w:hAnsi="Times New Roman" w:cs="Times New Roman" w:eastAsia="Times New Roman" w:hint="default"/>
                            <w:spacing w:val="-12"/>
                            <w:sz w:val="18"/>
                            <w:szCs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09" w:lineRule="auto"/>
                          <w:ind w:left="43" w:right="45"/>
                          <w:jc w:val="center"/>
                          <w:rPr>
                            <w:rFonts w:ascii="宋体" w:hAnsi="宋体" w:cs="宋体" w:eastAsia="宋体"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69" w:right="69"/>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报告期新 授予限制 性股票数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2"/>
                          <w:ind w:left="44" w:right="45"/>
                          <w:jc w:val="center"/>
                          <w:rPr>
                            <w:rFonts w:ascii="宋体" w:hAnsi="宋体" w:cs="宋体" w:eastAsia="宋体"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86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52"/>
                          <w:ind w:right="88"/>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1"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9,811,188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22" w:right="0"/>
                          <w:jc w:val="left"/>
                          <w:rPr>
                            <w:rFonts w:ascii="Times New Roman" w:hAnsi="Times New Roman" w:cs="Times New Roman" w:eastAsia="Times New Roman" w:hint="default"/>
                            <w:sz w:val="18"/>
                            <w:szCs w:val="18"/>
                          </w:rPr>
                        </w:pPr>
                        <w:r>
                          <w:rPr>
                            <w:rFonts w:ascii="Times New Roman"/>
                            <w:sz w:val="18"/>
                          </w:rPr>
                          <w:t>9.35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0" w:right="0"/>
                          <w:jc w:val="center"/>
                          <w:rPr>
                            <w:rFonts w:ascii="Times New Roman" w:hAnsi="Times New Roman" w:cs="Times New Roman" w:eastAsia="Times New Roman" w:hint="default"/>
                            <w:sz w:val="18"/>
                            <w:szCs w:val="18"/>
                          </w:rPr>
                        </w:pPr>
                        <w:r>
                          <w:rPr>
                            <w:rFonts w:ascii="Times New Roman"/>
                            <w:sz w:val="18"/>
                          </w:rPr>
                          <w:t>9,811,188</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8"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871"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9,811,188</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0" w:right="0"/>
                          <w:jc w:val="center"/>
                          <w:rPr>
                            <w:rFonts w:ascii="Times New Roman" w:hAnsi="Times New Roman" w:cs="Times New Roman" w:eastAsia="Times New Roman" w:hint="default"/>
                            <w:sz w:val="18"/>
                            <w:szCs w:val="18"/>
                          </w:rPr>
                        </w:pPr>
                        <w:r>
                          <w:rPr>
                            <w:rFonts w:ascii="Times New Roman"/>
                            <w:sz w:val="18"/>
                          </w:rPr>
                          <w:t>9,811,188</w:t>
                        </w:r>
                      </w:p>
                    </w:tc>
                  </w:tr>
                  <w:tr>
                    <w:trPr>
                      <w:trHeight w:val="1651" w:hRule="exact"/>
                    </w:trPr>
                    <w:tc>
                      <w:tcPr>
                        <w:tcW w:w="173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备注（如有）</w:t>
                        </w:r>
                      </w:p>
                    </w:tc>
                    <w:tc>
                      <w:tcPr>
                        <w:tcW w:w="7831" w:type="dxa"/>
                        <w:gridSpan w:val="9"/>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7" w:right="23"/>
                          <w:jc w:val="left"/>
                          <w:rPr>
                            <w:rFonts w:ascii="宋体" w:hAnsi="宋体" w:cs="宋体" w:eastAsia="宋体" w:hint="default"/>
                            <w:sz w:val="18"/>
                            <w:szCs w:val="18"/>
                          </w:rPr>
                        </w:pPr>
                        <w:r>
                          <w:rPr>
                            <w:rFonts w:ascii="宋体" w:hAnsi="宋体" w:cs="宋体" w:eastAsia="宋体" w:hint="default"/>
                            <w:sz w:val="18"/>
                            <w:szCs w:val="18"/>
                          </w:rPr>
                          <w:t>陈芳先生在报告期内担任昆仑游戏</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CEO</w:t>
                        </w:r>
                        <w:r>
                          <w:rPr>
                            <w:rFonts w:ascii="宋体" w:hAnsi="宋体" w:cs="宋体" w:eastAsia="宋体" w:hint="default"/>
                            <w:spacing w:val="-4"/>
                            <w:sz w:val="18"/>
                            <w:szCs w:val="18"/>
                          </w:rPr>
                          <w:t>，截止本年度报告披露前被公司董事会任命为公司副总经理</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报告期内实际授予陈芳的限制性股票数量为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股，授予价格为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36.39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元。因报告期内资本公</w:t>
                        </w:r>
                      </w:p>
                      <w:p>
                        <w:pPr>
                          <w:pStyle w:val="TableParagraph"/>
                          <w:spacing w:line="240" w:lineRule="auto" w:before="13"/>
                          <w:ind w:left="17" w:right="0"/>
                          <w:jc w:val="left"/>
                          <w:rPr>
                            <w:rFonts w:ascii="宋体" w:hAnsi="宋体" w:cs="宋体" w:eastAsia="宋体" w:hint="default"/>
                            <w:sz w:val="18"/>
                            <w:szCs w:val="18"/>
                          </w:rPr>
                        </w:pPr>
                        <w:r>
                          <w:rPr>
                            <w:rFonts w:ascii="宋体" w:hAnsi="宋体" w:cs="宋体" w:eastAsia="宋体" w:hint="default"/>
                            <w:sz w:val="18"/>
                            <w:szCs w:val="18"/>
                          </w:rPr>
                          <w:t>积转增股本，全体股东每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股转增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29.244754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股，至报告期末，陈芳持有的限制性股票数量变为</w:t>
                        </w:r>
                      </w:p>
                      <w:p>
                        <w:pPr>
                          <w:pStyle w:val="TableParagraph"/>
                          <w:spacing w:line="240" w:lineRule="auto" w:before="63"/>
                          <w:ind w:left="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9,811,188 </w:t>
                        </w:r>
                        <w:r>
                          <w:rPr>
                            <w:rFonts w:ascii="宋体" w:hAnsi="宋体" w:cs="宋体" w:eastAsia="宋体" w:hint="default"/>
                            <w:spacing w:val="-4"/>
                            <w:sz w:val="18"/>
                            <w:szCs w:val="18"/>
                          </w:rPr>
                          <w:t>股。据此，期末陈芳所持有限制性股票的实际授予价格按照</w:t>
                        </w:r>
                        <w:r>
                          <w:rPr>
                            <w:rFonts w:ascii="宋体" w:hAnsi="宋体" w:cs="宋体" w:eastAsia="宋体" w:hint="default"/>
                            <w:spacing w:val="-15"/>
                            <w:sz w:val="18"/>
                            <w:szCs w:val="18"/>
                          </w:rPr>
                          <w:t> </w:t>
                        </w:r>
                        <w:r>
                          <w:rPr>
                            <w:rFonts w:ascii="Times New Roman" w:hAnsi="Times New Roman" w:cs="Times New Roman" w:eastAsia="Times New Roman" w:hint="default"/>
                            <w:spacing w:val="-4"/>
                            <w:sz w:val="18"/>
                            <w:szCs w:val="18"/>
                          </w:rPr>
                          <w:t>36.39/</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1+29.244754/10</w:t>
                        </w:r>
                        <w:r>
                          <w:rPr>
                            <w:rFonts w:ascii="宋体" w:hAnsi="宋体" w:cs="宋体" w:eastAsia="宋体" w:hint="default"/>
                            <w:spacing w:val="-4"/>
                            <w:sz w:val="18"/>
                            <w:szCs w:val="18"/>
                          </w:rPr>
                          <w:t>）计算</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p>
      <w:pPr>
        <w:spacing w:before="0"/>
        <w:ind w:left="0" w:right="165"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91"/>
        <w:ind w:right="0"/>
        <w:jc w:val="left"/>
        <w:rPr>
          <w:b w:val="0"/>
          <w:bCs w:val="0"/>
        </w:rPr>
      </w:pPr>
      <w:r>
        <w:rPr/>
        <w:t>五、公司员工情况</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、员工数量、专业构成及教育程度</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123</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619</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742</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742</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7"/>
        <w:rPr>
          <w:rFonts w:ascii="Microsoft JhengHei" w:hAnsi="Microsoft JhengHei" w:cs="Microsoft JhengHei" w:eastAsia="Microsoft JhengHei" w:hint="default"/>
          <w:b/>
          <w:bCs/>
          <w:sz w:val="21"/>
          <w:szCs w:val="21"/>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398"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7"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338</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742</w:t>
            </w:r>
          </w:p>
        </w:tc>
      </w:tr>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硕士及以上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462</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大专及以下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217</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742</w:t>
            </w:r>
          </w:p>
        </w:tc>
      </w:tr>
    </w:tbl>
    <w:p>
      <w:pPr>
        <w:spacing w:line="240" w:lineRule="auto" w:before="7"/>
        <w:rPr>
          <w:rFonts w:ascii="Microsoft JhengHei" w:hAnsi="Microsoft JhengHei" w:cs="Microsoft JhengHei" w:eastAsia="Microsoft JhengHei" w:hint="default"/>
          <w:b/>
          <w:bCs/>
          <w:sz w:val="14"/>
          <w:szCs w:val="1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、薪酬政策</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line="319" w:lineRule="auto" w:before="0"/>
        <w:ind w:left="154" w:right="151" w:firstLine="290"/>
        <w:jc w:val="both"/>
        <w:rPr>
          <w:rFonts w:ascii="宋体" w:hAnsi="宋体" w:cs="宋体" w:eastAsia="宋体" w:hint="default"/>
          <w:sz w:val="18"/>
          <w:szCs w:val="18"/>
        </w:rPr>
      </w:pPr>
      <w:r>
        <w:rPr>
          <w:rFonts w:ascii="宋体" w:hAnsi="宋体" w:cs="宋体" w:eastAsia="宋体" w:hint="default"/>
          <w:spacing w:val="-1"/>
          <w:sz w:val="18"/>
          <w:szCs w:val="18"/>
        </w:rPr>
        <w:t>本公司采用劳动合同制，按照《中华人民共和国劳动合同法》和国家及地方其他有关劳动法律、法规的规定，与员工签</w:t>
      </w:r>
      <w:r>
        <w:rPr>
          <w:rFonts w:ascii="宋体" w:hAnsi="宋体" w:cs="宋体" w:eastAsia="宋体" w:hint="default"/>
          <w:sz w:val="18"/>
          <w:szCs w:val="18"/>
        </w:rPr>
        <w:t> </w:t>
      </w:r>
      <w:r>
        <w:rPr>
          <w:rFonts w:ascii="宋体" w:hAnsi="宋体" w:cs="宋体" w:eastAsia="宋体" w:hint="default"/>
          <w:spacing w:val="-2"/>
          <w:sz w:val="18"/>
          <w:szCs w:val="18"/>
        </w:rPr>
        <w:t>订劳动合同。公司严格执行国家用工制度、劳动保护制度、社会保障制度和医疗保障制度，按照国家规定为员工缴纳社会保</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险、医疗保险。</w:t>
      </w:r>
    </w:p>
    <w:p>
      <w:pPr>
        <w:spacing w:line="240" w:lineRule="auto" w:before="4"/>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、培训计划</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line="309" w:lineRule="auto" w:before="0"/>
        <w:ind w:left="154" w:right="153" w:firstLine="290"/>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年公司的培训内容包含工作技能、安全、质量、管理等各个方面知识，以内部培训、外部培训、在职培训等多种形</w:t>
      </w:r>
      <w:r>
        <w:rPr>
          <w:rFonts w:ascii="宋体" w:hAnsi="宋体" w:cs="宋体" w:eastAsia="宋体" w:hint="default"/>
          <w:sz w:val="18"/>
          <w:szCs w:val="18"/>
        </w:rPr>
        <w:t> </w:t>
      </w:r>
      <w:r>
        <w:rPr>
          <w:rFonts w:ascii="宋体" w:hAnsi="宋体" w:cs="宋体" w:eastAsia="宋体" w:hint="default"/>
          <w:spacing w:val="-2"/>
          <w:sz w:val="18"/>
          <w:szCs w:val="18"/>
        </w:rPr>
        <w:t>式开展。在计划培训时间安排上以部门上报时间为准的同时进行了较为均匀的分配。另外考虑到研发工作的不确定性，培训</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时间、培训内容历时等根据研发情况进行了灵活调整。</w:t>
      </w:r>
    </w:p>
    <w:p>
      <w:pPr>
        <w:spacing w:line="240" w:lineRule="auto" w:before="11"/>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、劳务外包情况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457" w:lineRule="exact"/>
        <w:ind w:left="3751" w:right="3789"/>
        <w:jc w:val="center"/>
        <w:rPr>
          <w:b w:val="0"/>
          <w:bCs w:val="0"/>
        </w:rPr>
      </w:pPr>
      <w:bookmarkStart w:name="_TOC_250002" w:id="9"/>
      <w:r>
        <w:rPr/>
        <w:t>第九节 </w:t>
      </w:r>
      <w:r>
        <w:rPr>
          <w:spacing w:val="5"/>
        </w:rPr>
        <w:t> </w:t>
      </w:r>
      <w:r>
        <w:rPr/>
        <w:t>公司治理</w:t>
      </w:r>
      <w:bookmarkEnd w:id="9"/>
      <w:r>
        <w:rPr>
          <w:b w:val="0"/>
          <w:bCs w:val="0"/>
        </w:rPr>
      </w:r>
    </w:p>
    <w:p>
      <w:pPr>
        <w:spacing w:line="240" w:lineRule="auto" w:before="12"/>
        <w:rPr>
          <w:rFonts w:ascii="Microsoft JhengHei" w:hAnsi="Microsoft JhengHei" w:cs="Microsoft JhengHei" w:eastAsia="Microsoft JhengHei" w:hint="default"/>
          <w:b/>
          <w:bCs/>
          <w:sz w:val="25"/>
          <w:szCs w:val="25"/>
        </w:rPr>
      </w:pPr>
    </w:p>
    <w:p>
      <w:pPr>
        <w:pStyle w:val="Heading2"/>
        <w:spacing w:line="367" w:lineRule="exact"/>
        <w:ind w:right="0"/>
        <w:jc w:val="both"/>
        <w:rPr>
          <w:b w:val="0"/>
          <w:bCs w:val="0"/>
        </w:rPr>
      </w:pPr>
      <w:r>
        <w:rPr/>
        <w:t>一、公司治理的基本状况</w:t>
      </w:r>
      <w:r>
        <w:rPr>
          <w:b w:val="0"/>
          <w:bCs w:val="0"/>
        </w:rPr>
      </w:r>
    </w:p>
    <w:p>
      <w:pPr>
        <w:spacing w:line="240" w:lineRule="auto" w:before="6"/>
        <w:rPr>
          <w:rFonts w:ascii="Microsoft JhengHei" w:hAnsi="Microsoft JhengHei" w:cs="Microsoft JhengHei" w:eastAsia="Microsoft JhengHei" w:hint="default"/>
          <w:b/>
          <w:bCs/>
          <w:sz w:val="18"/>
          <w:szCs w:val="18"/>
        </w:rPr>
      </w:pPr>
    </w:p>
    <w:p>
      <w:pPr>
        <w:spacing w:before="0"/>
        <w:ind w:left="444" w:right="82" w:firstLine="0"/>
        <w:jc w:val="left"/>
        <w:rPr>
          <w:rFonts w:ascii="宋体" w:hAnsi="宋体" w:cs="宋体" w:eastAsia="宋体" w:hint="default"/>
          <w:sz w:val="18"/>
          <w:szCs w:val="18"/>
        </w:rPr>
      </w:pPr>
      <w:r>
        <w:rPr>
          <w:rFonts w:ascii="宋体" w:hAnsi="宋体" w:cs="宋体" w:eastAsia="宋体" w:hint="default"/>
          <w:spacing w:val="-3"/>
          <w:sz w:val="18"/>
          <w:szCs w:val="18"/>
        </w:rPr>
        <w:t>报告期内，公司严格按照《公司法》、《证券法》、《上市公司治理准则》、《深圳证券交易所创业板股票上市规则》、</w:t>
      </w:r>
    </w:p>
    <w:p>
      <w:pPr>
        <w:spacing w:line="309" w:lineRule="auto" w:before="76"/>
        <w:ind w:left="154" w:right="193" w:firstLine="0"/>
        <w:jc w:val="both"/>
        <w:rPr>
          <w:rFonts w:ascii="宋体" w:hAnsi="宋体" w:cs="宋体" w:eastAsia="宋体" w:hint="default"/>
          <w:sz w:val="18"/>
          <w:szCs w:val="18"/>
        </w:rPr>
      </w:pPr>
      <w:r>
        <w:rPr>
          <w:rFonts w:ascii="宋体" w:hAnsi="宋体" w:cs="宋体" w:eastAsia="宋体" w:hint="default"/>
          <w:sz w:val="18"/>
          <w:szCs w:val="18"/>
        </w:rPr>
        <w:t>《深圳证券交易所创业板上市公司规范运作指引》等法律法规和中国证监会有关法律法规的要求</w:t>
      </w:r>
      <w:r>
        <w:rPr>
          <w:rFonts w:ascii="Times New Roman" w:hAnsi="Times New Roman" w:cs="Times New Roman" w:eastAsia="Times New Roman" w:hint="default"/>
          <w:sz w:val="18"/>
          <w:szCs w:val="18"/>
        </w:rPr>
        <w:t>,</w:t>
      </w:r>
      <w:r>
        <w:rPr>
          <w:rFonts w:ascii="宋体" w:hAnsi="宋体" w:cs="宋体" w:eastAsia="宋体" w:hint="default"/>
          <w:sz w:val="18"/>
          <w:szCs w:val="18"/>
        </w:rPr>
        <w:t>不断完善公司的法人治理 </w:t>
      </w:r>
      <w:r>
        <w:rPr>
          <w:rFonts w:ascii="宋体" w:hAnsi="宋体" w:cs="宋体" w:eastAsia="宋体" w:hint="default"/>
          <w:spacing w:val="-2"/>
          <w:sz w:val="18"/>
          <w:szCs w:val="18"/>
        </w:rPr>
        <w:t>结构，建立健全公司内部管理和控制制度，持续深入开展公司治理活动，促进公司规范运作，提高公司治理水平。截至报告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期末，公司治理的实际状况符合《上市公司治理准则》和《深圳证券交易所创业板股票上市规则》等要求。</w:t>
      </w:r>
    </w:p>
    <w:p>
      <w:pPr>
        <w:spacing w:line="316" w:lineRule="auto" w:before="24"/>
        <w:ind w:left="154" w:right="191" w:firstLine="0"/>
        <w:jc w:val="both"/>
        <w:rPr>
          <w:rFonts w:ascii="宋体" w:hAnsi="宋体" w:cs="宋体" w:eastAsia="宋体" w:hint="default"/>
          <w:sz w:val="18"/>
          <w:szCs w:val="18"/>
        </w:rPr>
      </w:pPr>
      <w:r>
        <w:rPr>
          <w:rFonts w:ascii="宋体" w:hAnsi="宋体" w:cs="宋体" w:eastAsia="宋体" w:hint="default"/>
          <w:spacing w:val="-2"/>
          <w:sz w:val="18"/>
          <w:szCs w:val="18"/>
        </w:rPr>
        <w:t>（一）股东大会方面：股东大会为公司最高权力机构，公司股东大会依据相关规定认真行使法定职权，严格遵守表决事项和</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表决程序的有关规定。公司历次股东大会的召集，召开均由律师进行现场见证</w:t>
      </w:r>
      <w:r>
        <w:rPr>
          <w:rFonts w:ascii="Times New Roman" w:hAnsi="Times New Roman" w:cs="Times New Roman" w:eastAsia="Times New Roman" w:hint="default"/>
          <w:sz w:val="18"/>
          <w:szCs w:val="18"/>
        </w:rPr>
        <w:t>,</w:t>
      </w:r>
      <w:r>
        <w:rPr>
          <w:rFonts w:ascii="宋体" w:hAnsi="宋体" w:cs="宋体" w:eastAsia="宋体" w:hint="default"/>
          <w:sz w:val="18"/>
          <w:szCs w:val="18"/>
        </w:rPr>
        <w:t>并出具股东大会合法，合规的法律意见。</w:t>
      </w:r>
    </w:p>
    <w:p>
      <w:pPr>
        <w:spacing w:line="309" w:lineRule="auto" w:before="0"/>
        <w:ind w:left="154" w:right="189" w:firstLine="0"/>
        <w:jc w:val="both"/>
        <w:rPr>
          <w:rFonts w:ascii="宋体" w:hAnsi="宋体" w:cs="宋体" w:eastAsia="宋体" w:hint="default"/>
          <w:sz w:val="18"/>
          <w:szCs w:val="18"/>
        </w:rPr>
      </w:pPr>
      <w:r>
        <w:rPr>
          <w:rFonts w:ascii="宋体" w:hAnsi="宋体" w:cs="宋体" w:eastAsia="宋体" w:hint="default"/>
          <w:spacing w:val="-2"/>
          <w:sz w:val="18"/>
          <w:szCs w:val="18"/>
        </w:rPr>
        <w:t>（二）董事与董事会方面：公司共有</w:t>
      </w: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名董事，其中独立董事</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名，董事会人数和人员构成符合法律，法规和《关于在上市公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司建立独立董事制度的指导意见》的要求。公司严格按照《公司章程》规定的董事选聘程序选举董事，公司各位董事能够以</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认真负责的态度出席股东大会和董事会，在召开会议前能够主动调查</w:t>
      </w:r>
      <w:r>
        <w:rPr>
          <w:rFonts w:ascii="Times New Roman" w:hAnsi="Times New Roman" w:cs="Times New Roman" w:eastAsia="Times New Roman" w:hint="default"/>
          <w:sz w:val="18"/>
          <w:szCs w:val="18"/>
        </w:rPr>
        <w:t>,</w:t>
      </w:r>
      <w:r>
        <w:rPr>
          <w:rFonts w:ascii="宋体" w:hAnsi="宋体" w:cs="宋体" w:eastAsia="宋体" w:hint="default"/>
          <w:sz w:val="18"/>
          <w:szCs w:val="18"/>
        </w:rPr>
        <w:t>获取做出决议所需要的情况和资料，认真审阅各项议 </w:t>
      </w:r>
      <w:r>
        <w:rPr>
          <w:rFonts w:ascii="宋体" w:hAnsi="宋体" w:cs="宋体" w:eastAsia="宋体" w:hint="default"/>
          <w:spacing w:val="-2"/>
          <w:sz w:val="18"/>
          <w:szCs w:val="18"/>
        </w:rPr>
        <w:t>案，为股东大会和董事会的重要决策做了充分的准备工作。能够积极参加有关培训，熟悉有关法律法规，了解作为董事的权</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利义务和责任。</w:t>
      </w:r>
    </w:p>
    <w:p>
      <w:pPr>
        <w:spacing w:line="300" w:lineRule="auto" w:before="24"/>
        <w:ind w:left="154" w:right="201" w:firstLine="0"/>
        <w:jc w:val="both"/>
        <w:rPr>
          <w:rFonts w:ascii="宋体" w:hAnsi="宋体" w:cs="宋体" w:eastAsia="宋体" w:hint="default"/>
          <w:sz w:val="18"/>
          <w:szCs w:val="18"/>
        </w:rPr>
      </w:pPr>
      <w:r>
        <w:rPr>
          <w:rFonts w:ascii="宋体" w:hAnsi="宋体" w:cs="宋体" w:eastAsia="宋体" w:hint="default"/>
          <w:sz w:val="18"/>
          <w:szCs w:val="18"/>
        </w:rPr>
        <w:t>（三）监事与监事会方面：公司共有</w:t>
      </w:r>
      <w:r>
        <w:rPr>
          <w:rFonts w:ascii="Times New Roman" w:hAnsi="Times New Roman" w:cs="Times New Roman" w:eastAsia="Times New Roman" w:hint="default"/>
          <w:sz w:val="18"/>
          <w:szCs w:val="18"/>
        </w:rPr>
        <w:t>3</w:t>
      </w:r>
      <w:r>
        <w:rPr>
          <w:rFonts w:ascii="宋体" w:hAnsi="宋体" w:cs="宋体" w:eastAsia="宋体" w:hint="default"/>
          <w:sz w:val="18"/>
          <w:szCs w:val="18"/>
        </w:rPr>
        <w:t>名监事，监事会的人数和人员结构符合法律、法规的要求。公司监事能够认真履行自 己的职责，能够本着对股东负责的态度</w:t>
      </w:r>
      <w:r>
        <w:rPr>
          <w:rFonts w:ascii="Times New Roman" w:hAnsi="Times New Roman" w:cs="Times New Roman" w:eastAsia="Times New Roman" w:hint="default"/>
          <w:sz w:val="18"/>
          <w:szCs w:val="18"/>
        </w:rPr>
        <w:t>,</w:t>
      </w:r>
      <w:r>
        <w:rPr>
          <w:rFonts w:ascii="宋体" w:hAnsi="宋体" w:cs="宋体" w:eastAsia="宋体" w:hint="default"/>
          <w:sz w:val="18"/>
          <w:szCs w:val="18"/>
        </w:rPr>
        <w:t>对公司财务和公司董事、高级管理人员履行职责的合法合规性进行监督。</w:t>
      </w:r>
    </w:p>
    <w:p>
      <w:pPr>
        <w:spacing w:line="314" w:lineRule="auto" w:before="13"/>
        <w:ind w:left="154" w:right="143" w:firstLine="0"/>
        <w:jc w:val="both"/>
        <w:rPr>
          <w:rFonts w:ascii="宋体" w:hAnsi="宋体" w:cs="宋体" w:eastAsia="宋体" w:hint="default"/>
          <w:sz w:val="18"/>
          <w:szCs w:val="18"/>
        </w:rPr>
      </w:pPr>
      <w:r>
        <w:rPr>
          <w:rFonts w:ascii="宋体" w:hAnsi="宋体" w:cs="宋体" w:eastAsia="宋体" w:hint="default"/>
          <w:sz w:val="18"/>
          <w:szCs w:val="18"/>
        </w:rPr>
        <w:t>（四）与控股股东的关系方面：公司与控股股东严格执行</w:t>
      </w:r>
      <w:r>
        <w:rPr>
          <w:rFonts w:ascii="Times New Roman" w:hAnsi="Times New Roman" w:cs="Times New Roman" w:eastAsia="Times New Roman" w:hint="default"/>
          <w:sz w:val="18"/>
          <w:szCs w:val="18"/>
        </w:rPr>
        <w:t>"</w:t>
      </w:r>
      <w:r>
        <w:rPr>
          <w:rFonts w:ascii="宋体" w:hAnsi="宋体" w:cs="宋体" w:eastAsia="宋体" w:hint="default"/>
          <w:sz w:val="18"/>
          <w:szCs w:val="18"/>
        </w:rPr>
        <w:t>五分开</w:t>
      </w:r>
      <w:r>
        <w:rPr>
          <w:rFonts w:ascii="Times New Roman" w:hAnsi="Times New Roman" w:cs="Times New Roman" w:eastAsia="Times New Roman" w:hint="default"/>
          <w:sz w:val="18"/>
          <w:szCs w:val="18"/>
        </w:rPr>
        <w:t>"</w:t>
      </w:r>
      <w:r>
        <w:rPr>
          <w:rFonts w:ascii="宋体" w:hAnsi="宋体" w:cs="宋体" w:eastAsia="宋体" w:hint="default"/>
          <w:sz w:val="18"/>
          <w:szCs w:val="18"/>
        </w:rPr>
        <w:t>，公司与控股股东基本上实行了人员、资产、财务分开， </w:t>
      </w:r>
      <w:r>
        <w:rPr>
          <w:rFonts w:ascii="宋体" w:hAnsi="宋体" w:cs="宋体" w:eastAsia="宋体" w:hint="default"/>
          <w:spacing w:val="-2"/>
          <w:sz w:val="18"/>
          <w:szCs w:val="18"/>
        </w:rPr>
        <w:t>机构、业务独立，各自独立核算，独立承担责任和风险。公司没有为控股股东及其控股子公司、附属企业提供担保或提供资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金；控股股东及其他关联企业也没有挤占、挪用本公司资金；公司积极采取措施降低公司与控股股东及其关联企业之间的日</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常关联交易；控股股东保证切实履行股东的职责，确保与公司在人员、资产、财务上分开，在机构、业务方面独立，不越过</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
          <w:sz w:val="18"/>
          <w:szCs w:val="18"/>
        </w:rPr>
        <w:t>公司股东大会和董事会直接或间接干预公司的重大决策及依法开展的生产经营活动，不利用资产重组等方式损害公司和其他</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股东的合法权益。</w:t>
      </w:r>
    </w:p>
    <w:p>
      <w:pPr>
        <w:spacing w:line="240" w:lineRule="auto" w:before="0"/>
        <w:rPr>
          <w:rFonts w:ascii="宋体" w:hAnsi="宋体" w:cs="宋体" w:eastAsia="宋体" w:hint="default"/>
          <w:sz w:val="18"/>
          <w:szCs w:val="18"/>
        </w:rPr>
      </w:pPr>
    </w:p>
    <w:p>
      <w:pPr>
        <w:spacing w:before="138"/>
        <w:ind w:left="154" w:right="0" w:firstLine="0"/>
        <w:jc w:val="both"/>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38" w:lineRule="auto" w:before="117"/>
        <w:ind w:left="154" w:right="26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公司治理的实际状况与中国证监会发布的有关上市公司治理的规范性文件不存在重大差异。</w:t>
      </w:r>
    </w:p>
    <w:p>
      <w:pPr>
        <w:spacing w:line="240" w:lineRule="auto" w:before="8"/>
        <w:rPr>
          <w:rFonts w:ascii="宋体" w:hAnsi="宋体" w:cs="宋体" w:eastAsia="宋体" w:hint="default"/>
          <w:sz w:val="13"/>
          <w:szCs w:val="13"/>
        </w:rPr>
      </w:pPr>
    </w:p>
    <w:p>
      <w:pPr>
        <w:pStyle w:val="Heading2"/>
        <w:spacing w:line="240" w:lineRule="auto"/>
        <w:ind w:right="0"/>
        <w:jc w:val="both"/>
        <w:rPr>
          <w:b w:val="0"/>
          <w:bCs w:val="0"/>
        </w:rPr>
      </w:pPr>
      <w:r>
        <w:rPr/>
        <w:t>二、公司相对于控股股东在业务、人员、资产、机构、财务等方面的独立情况</w:t>
      </w:r>
      <w:r>
        <w:rPr>
          <w:b w:val="0"/>
          <w:bCs w:val="0"/>
        </w:rPr>
      </w:r>
    </w:p>
    <w:p>
      <w:pPr>
        <w:spacing w:line="240" w:lineRule="auto" w:before="6"/>
        <w:rPr>
          <w:rFonts w:ascii="Microsoft JhengHei" w:hAnsi="Microsoft JhengHei" w:cs="Microsoft JhengHei" w:eastAsia="Microsoft JhengHei" w:hint="default"/>
          <w:b/>
          <w:bCs/>
          <w:sz w:val="18"/>
          <w:szCs w:val="18"/>
        </w:rPr>
      </w:pPr>
    </w:p>
    <w:p>
      <w:pPr>
        <w:spacing w:line="316" w:lineRule="auto" w:before="0"/>
        <w:ind w:left="514" w:right="82" w:hanging="360"/>
        <w:jc w:val="left"/>
        <w:rPr>
          <w:rFonts w:ascii="宋体" w:hAnsi="宋体" w:cs="宋体" w:eastAsia="宋体" w:hint="default"/>
          <w:sz w:val="18"/>
          <w:szCs w:val="18"/>
        </w:rPr>
      </w:pPr>
      <w:r>
        <w:rPr>
          <w:rFonts w:ascii="宋体" w:hAnsi="宋体" w:cs="宋体" w:eastAsia="宋体" w:hint="default"/>
          <w:sz w:val="18"/>
          <w:szCs w:val="18"/>
        </w:rPr>
        <w:t>（一）业务独立情况 </w:t>
      </w:r>
      <w:r>
        <w:rPr>
          <w:rFonts w:ascii="宋体" w:hAnsi="宋体" w:cs="宋体" w:eastAsia="宋体" w:hint="default"/>
          <w:spacing w:val="-2"/>
          <w:sz w:val="18"/>
          <w:szCs w:val="18"/>
        </w:rPr>
        <w:t>公司业务独立于公司控股股东。作为现代服务型企业，公司拥有完整独立的运营管理团队和服务系统，具有独立完整的</w:t>
      </w:r>
    </w:p>
    <w:p>
      <w:pPr>
        <w:spacing w:before="19"/>
        <w:ind w:left="154" w:right="0" w:firstLine="0"/>
        <w:jc w:val="both"/>
        <w:rPr>
          <w:rFonts w:ascii="宋体" w:hAnsi="宋体" w:cs="宋体" w:eastAsia="宋体" w:hint="default"/>
          <w:sz w:val="18"/>
          <w:szCs w:val="18"/>
        </w:rPr>
      </w:pPr>
      <w:r>
        <w:rPr>
          <w:rFonts w:ascii="宋体" w:hAnsi="宋体" w:cs="宋体" w:eastAsia="宋体" w:hint="default"/>
          <w:sz w:val="18"/>
          <w:szCs w:val="18"/>
        </w:rPr>
        <w:t>业务体系及面向市场独立经营的能力，不依赖于股东或其他任何关联方。</w:t>
      </w:r>
    </w:p>
    <w:p>
      <w:pPr>
        <w:spacing w:line="240" w:lineRule="auto" w:before="0"/>
        <w:rPr>
          <w:rFonts w:ascii="宋体" w:hAnsi="宋体" w:cs="宋体" w:eastAsia="宋体" w:hint="default"/>
          <w:sz w:val="18"/>
          <w:szCs w:val="18"/>
        </w:rPr>
      </w:pPr>
    </w:p>
    <w:p>
      <w:pPr>
        <w:spacing w:line="316" w:lineRule="auto" w:before="153"/>
        <w:ind w:left="514" w:right="82" w:hanging="360"/>
        <w:jc w:val="left"/>
        <w:rPr>
          <w:rFonts w:ascii="宋体" w:hAnsi="宋体" w:cs="宋体" w:eastAsia="宋体" w:hint="default"/>
          <w:sz w:val="18"/>
          <w:szCs w:val="18"/>
        </w:rPr>
      </w:pPr>
      <w:r>
        <w:rPr>
          <w:rFonts w:ascii="宋体" w:hAnsi="宋体" w:cs="宋体" w:eastAsia="宋体" w:hint="default"/>
          <w:sz w:val="18"/>
          <w:szCs w:val="18"/>
        </w:rPr>
        <w:t>（二）人员独立情况 </w:t>
      </w:r>
      <w:r>
        <w:rPr>
          <w:rFonts w:ascii="宋体" w:hAnsi="宋体" w:cs="宋体" w:eastAsia="宋体" w:hint="default"/>
          <w:spacing w:val="-2"/>
          <w:sz w:val="18"/>
          <w:szCs w:val="18"/>
        </w:rPr>
        <w:t>公司人员、劳动、人事及工资完全独立。公司总经理、董事会秘书、财务负责人等高级管理人员均在公司工作并领取薪</w:t>
      </w:r>
    </w:p>
    <w:p>
      <w:pPr>
        <w:spacing w:before="19"/>
        <w:ind w:left="154" w:right="0" w:firstLine="0"/>
        <w:jc w:val="both"/>
        <w:rPr>
          <w:rFonts w:ascii="宋体" w:hAnsi="宋体" w:cs="宋体" w:eastAsia="宋体" w:hint="default"/>
          <w:sz w:val="18"/>
          <w:szCs w:val="18"/>
        </w:rPr>
      </w:pPr>
      <w:r>
        <w:rPr>
          <w:rFonts w:ascii="宋体" w:hAnsi="宋体" w:cs="宋体" w:eastAsia="宋体" w:hint="default"/>
          <w:sz w:val="18"/>
          <w:szCs w:val="18"/>
        </w:rPr>
        <w:t>酬，未在控股股东及其下属企业担任任何职务和领取报酬；公司财务人员没有在控股股东及其下属企业兼职。</w:t>
      </w:r>
    </w:p>
    <w:p>
      <w:pPr>
        <w:spacing w:line="240" w:lineRule="auto" w:before="0"/>
        <w:rPr>
          <w:rFonts w:ascii="宋体" w:hAnsi="宋体" w:cs="宋体" w:eastAsia="宋体" w:hint="default"/>
          <w:sz w:val="18"/>
          <w:szCs w:val="18"/>
        </w:rPr>
      </w:pPr>
    </w:p>
    <w:p>
      <w:pPr>
        <w:spacing w:line="316" w:lineRule="auto" w:before="153"/>
        <w:ind w:left="514" w:right="82" w:hanging="360"/>
        <w:jc w:val="left"/>
        <w:rPr>
          <w:rFonts w:ascii="宋体" w:hAnsi="宋体" w:cs="宋体" w:eastAsia="宋体" w:hint="default"/>
          <w:sz w:val="18"/>
          <w:szCs w:val="18"/>
        </w:rPr>
      </w:pPr>
      <w:r>
        <w:rPr>
          <w:rFonts w:ascii="宋体" w:hAnsi="宋体" w:cs="宋体" w:eastAsia="宋体" w:hint="default"/>
          <w:sz w:val="18"/>
          <w:szCs w:val="18"/>
        </w:rPr>
        <w:t>（三）资产完整情况 </w:t>
      </w:r>
      <w:r>
        <w:rPr>
          <w:rFonts w:ascii="宋体" w:hAnsi="宋体" w:cs="宋体" w:eastAsia="宋体" w:hint="default"/>
          <w:spacing w:val="-4"/>
          <w:sz w:val="18"/>
          <w:szCs w:val="18"/>
        </w:rPr>
        <w:t>公司资产完整，拥有独立于股东单位及其他关联方的房屋、设备等固定资产，也独立拥有注册商标、著作权等无形资产。</w:t>
      </w:r>
    </w:p>
    <w:p>
      <w:pPr>
        <w:spacing w:line="240" w:lineRule="auto" w:before="4"/>
        <w:rPr>
          <w:rFonts w:ascii="宋体" w:hAnsi="宋体" w:cs="宋体" w:eastAsia="宋体" w:hint="default"/>
          <w:sz w:val="25"/>
          <w:szCs w:val="25"/>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（四）机构独立情况</w:t>
      </w:r>
    </w:p>
    <w:p>
      <w:pPr>
        <w:spacing w:after="0"/>
        <w:jc w:val="both"/>
        <w:rPr>
          <w:rFonts w:ascii="宋体" w:hAnsi="宋体" w:cs="宋体" w:eastAsia="宋体" w:hint="default"/>
          <w:sz w:val="18"/>
          <w:szCs w:val="18"/>
        </w:rPr>
        <w:sectPr>
          <w:pgSz w:w="11910" w:h="16840"/>
          <w:pgMar w:header="747" w:footer="979" w:top="1060" w:bottom="1160" w:left="980" w:right="940"/>
        </w:sectPr>
      </w:pPr>
    </w:p>
    <w:p>
      <w:pPr>
        <w:spacing w:line="240" w:lineRule="auto" w:before="12"/>
        <w:rPr>
          <w:rFonts w:ascii="宋体" w:hAnsi="宋体" w:cs="宋体" w:eastAsia="宋体" w:hint="default"/>
          <w:sz w:val="25"/>
          <w:szCs w:val="25"/>
        </w:rPr>
      </w:pPr>
    </w:p>
    <w:p>
      <w:pPr>
        <w:spacing w:line="316" w:lineRule="auto" w:before="44"/>
        <w:ind w:left="154" w:right="82" w:firstLine="360"/>
        <w:jc w:val="left"/>
        <w:rPr>
          <w:rFonts w:ascii="宋体" w:hAnsi="宋体" w:cs="宋体" w:eastAsia="宋体" w:hint="default"/>
          <w:sz w:val="18"/>
          <w:szCs w:val="18"/>
        </w:rPr>
      </w:pPr>
      <w:r>
        <w:rPr>
          <w:rFonts w:ascii="宋体" w:hAnsi="宋体" w:cs="宋体" w:eastAsia="宋体" w:hint="default"/>
          <w:spacing w:val="-4"/>
          <w:sz w:val="18"/>
          <w:szCs w:val="18"/>
        </w:rPr>
        <w:t>公司各部门独立履行其职责，负责公司的生产经营活动，其履行职能不受控股股东、其他有关部门或单位、个人的干预，</w:t>
      </w:r>
      <w:r>
        <w:rPr>
          <w:rFonts w:ascii="宋体" w:hAnsi="宋体" w:cs="宋体" w:eastAsia="宋体" w:hint="default"/>
          <w:sz w:val="18"/>
          <w:szCs w:val="18"/>
        </w:rPr>
        <w:t> </w:t>
      </w:r>
      <w:r>
        <w:rPr>
          <w:rFonts w:ascii="宋体" w:hAnsi="宋体" w:cs="宋体" w:eastAsia="宋体" w:hint="default"/>
          <w:spacing w:val="-4"/>
          <w:sz w:val="18"/>
          <w:szCs w:val="18"/>
        </w:rPr>
        <w:t>并且与控股股东及其职能部门之间不存在隶属关系，公司办公场所与股东单位完全分开，不存在混合经营、合署办公的情况。</w:t>
      </w:r>
    </w:p>
    <w:p>
      <w:pPr>
        <w:spacing w:line="240" w:lineRule="auto" w:before="4"/>
        <w:rPr>
          <w:rFonts w:ascii="宋体" w:hAnsi="宋体" w:cs="宋体" w:eastAsia="宋体" w:hint="default"/>
          <w:sz w:val="25"/>
          <w:szCs w:val="25"/>
        </w:rPr>
      </w:pPr>
    </w:p>
    <w:p>
      <w:pPr>
        <w:spacing w:line="338" w:lineRule="auto" w:before="0"/>
        <w:ind w:left="154" w:right="92" w:firstLine="0"/>
        <w:jc w:val="left"/>
        <w:rPr>
          <w:rFonts w:ascii="宋体" w:hAnsi="宋体" w:cs="宋体" w:eastAsia="宋体" w:hint="default"/>
          <w:sz w:val="18"/>
          <w:szCs w:val="18"/>
        </w:rPr>
      </w:pPr>
      <w:r>
        <w:rPr>
          <w:rFonts w:ascii="宋体" w:hAnsi="宋体" w:cs="宋体" w:eastAsia="宋体" w:hint="default"/>
          <w:sz w:val="18"/>
          <w:szCs w:val="18"/>
        </w:rPr>
        <w:t>（五）财务独立情况 </w:t>
      </w:r>
      <w:r>
        <w:rPr>
          <w:rFonts w:ascii="宋体" w:hAnsi="宋体" w:cs="宋体" w:eastAsia="宋体" w:hint="default"/>
          <w:spacing w:val="-2"/>
          <w:sz w:val="18"/>
          <w:szCs w:val="18"/>
        </w:rPr>
        <w:t>公司设有独立的财务会计部门和财务负责人，建立了独立的财务规章制度，有完整独立的财务核算体系，能够独立作出财务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决策，开设了独立的银行账户，并依法独立纳税，公司不存在与股东单位及其关联方共用银行账户的情况，也不存在资金、</w:t>
      </w:r>
    </w:p>
    <w:p>
      <w:pPr>
        <w:spacing w:before="4"/>
        <w:ind w:left="154" w:right="82" w:firstLine="0"/>
        <w:jc w:val="left"/>
        <w:rPr>
          <w:rFonts w:ascii="宋体" w:hAnsi="宋体" w:cs="宋体" w:eastAsia="宋体" w:hint="default"/>
          <w:sz w:val="18"/>
          <w:szCs w:val="18"/>
        </w:rPr>
      </w:pPr>
      <w:r>
        <w:rPr>
          <w:rFonts w:ascii="宋体" w:hAnsi="宋体" w:cs="宋体" w:eastAsia="宋体" w:hint="default"/>
          <w:sz w:val="18"/>
          <w:szCs w:val="18"/>
        </w:rPr>
        <w:t>资产被股东单位及其关联方非法占用的情况。</w:t>
      </w:r>
    </w:p>
    <w:p>
      <w:pPr>
        <w:spacing w:line="240" w:lineRule="auto" w:before="3"/>
        <w:rPr>
          <w:rFonts w:ascii="宋体" w:hAnsi="宋体" w:cs="宋体" w:eastAsia="宋体" w:hint="default"/>
          <w:sz w:val="19"/>
          <w:szCs w:val="19"/>
        </w:rPr>
      </w:pPr>
    </w:p>
    <w:p>
      <w:pPr>
        <w:pStyle w:val="Heading2"/>
        <w:spacing w:line="240" w:lineRule="auto"/>
        <w:ind w:right="82"/>
        <w:jc w:val="left"/>
        <w:rPr>
          <w:b w:val="0"/>
          <w:bCs w:val="0"/>
        </w:rPr>
      </w:pPr>
      <w:r>
        <w:rPr/>
        <w:t>三、同业竞争情况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8"/>
          <w:szCs w:val="18"/>
        </w:rPr>
      </w:pPr>
    </w:p>
    <w:p>
      <w:pPr>
        <w:pStyle w:val="Heading2"/>
        <w:spacing w:line="240" w:lineRule="auto"/>
        <w:ind w:right="82"/>
        <w:jc w:val="left"/>
        <w:rPr>
          <w:b w:val="0"/>
          <w:bCs w:val="0"/>
        </w:rPr>
      </w:pPr>
      <w:r>
        <w:rPr/>
        <w:t>四、报告期内召开的年度股东大会和临时股东大会的有关情况</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8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、本报告期股东大会情况</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 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2015-055</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2015-012</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2015-070</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2015-092</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年第四次临时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2015-101</w:t>
            </w:r>
          </w:p>
        </w:tc>
      </w:tr>
      <w:tr>
        <w:trPr>
          <w:trHeight w:val="1337"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年第五次临时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2015-110</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年第六次临时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66.70%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40"/>
        </w:sectPr>
      </w:pPr>
    </w:p>
    <w:p>
      <w:pPr>
        <w:spacing w:line="240" w:lineRule="auto" w:before="7"/>
        <w:rPr>
          <w:rFonts w:ascii="Microsoft JhengHei" w:hAnsi="Microsoft JhengHei" w:cs="Microsoft JhengHei" w:eastAsia="Microsoft JhengHei" w:hint="default"/>
          <w:b/>
          <w:bCs/>
          <w:sz w:val="21"/>
          <w:szCs w:val="21"/>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9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28" w:lineRule="auto" w:before="50"/>
              <w:ind w:left="23" w:right="61"/>
              <w:jc w:val="both"/>
              <w:rPr>
                <w:rFonts w:ascii="Times New Roman" w:hAnsi="Times New Roman" w:cs="Times New Roman" w:eastAsia="Times New Roman" w:hint="default"/>
                <w:sz w:val="18"/>
                <w:szCs w:val="18"/>
              </w:rPr>
            </w:pP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2015-122</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年第七次临时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66.69%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t>
              </w:r>
            </w:hyperlink>
            <w:r>
              <w:rPr>
                <w:rFonts w:ascii="Times New Roman" w:hAnsi="Times New Roman" w:cs="Times New Roman" w:eastAsia="Times New Roman" w:hint="default"/>
                <w:spacing w:val="-1"/>
                <w:sz w:val="18"/>
                <w:szCs w:val="18"/>
              </w:rPr>
              <w:t>w</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2015-129</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年第八次临时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66.78%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6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6">
              <w:r>
                <w:rPr>
                  <w:rFonts w:ascii="Times New Roman" w:hAnsi="Times New Roman" w:cs="Times New Roman" w:eastAsia="Times New Roman" w:hint="default"/>
                  <w:spacing w:val="-1"/>
                  <w:sz w:val="18"/>
                  <w:szCs w:val="18"/>
                </w:rPr>
                <w:t>(http://www</w:t>
              </w:r>
            </w:hyperlink>
            <w:r>
              <w:rPr>
                <w:rFonts w:ascii="Times New Roman" w:hAnsi="Times New Roman" w:cs="Times New Roman" w:eastAsia="Times New Roman" w:hint="default"/>
                <w:spacing w:val="-1"/>
                <w:sz w:val="18"/>
                <w:szCs w:val="18"/>
              </w:rPr>
              <w:t>.</w:t>
            </w:r>
            <w:hyperlink r:id="rId46">
              <w:r>
                <w:rPr>
                  <w:rFonts w:ascii="Times New Roman" w:hAnsi="Times New Roman" w:cs="Times New Roman" w:eastAsia="Times New Roman" w:hint="default"/>
                  <w:spacing w:val="-1"/>
                  <w:sz w:val="18"/>
                  <w:szCs w:val="18"/>
                </w:rPr>
                <w:t>cninfo.c</w:t>
              </w:r>
            </w:hyperlink>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42"/>
                <w:sz w:val="18"/>
                <w:szCs w:val="18"/>
              </w:rPr>
            </w:r>
            <w:r>
              <w:rPr>
                <w:rFonts w:ascii="Times New Roman" w:hAnsi="Times New Roman" w:cs="Times New Roman" w:eastAsia="Times New Roman" w:hint="default"/>
                <w:sz w:val="18"/>
                <w:szCs w:val="18"/>
              </w:rPr>
              <w:t>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2015-135</w:t>
            </w:r>
          </w:p>
        </w:tc>
      </w:tr>
    </w:tbl>
    <w:p>
      <w:pPr>
        <w:spacing w:line="240" w:lineRule="auto" w:before="7"/>
        <w:rPr>
          <w:rFonts w:ascii="Microsoft JhengHei" w:hAnsi="Microsoft JhengHei" w:cs="Microsoft JhengHei" w:eastAsia="Microsoft JhengHei" w:hint="default"/>
          <w:b/>
          <w:bCs/>
          <w:sz w:val="14"/>
          <w:szCs w:val="1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、表决权恢复的优先股股东请求召开临时股东大会</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r>
        <w:rPr/>
        <w:t>五、报告期内独立董事履行职责的情况</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、独立董事出席董事会及股东大会的情况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1624"/>
        <w:gridCol w:w="1325"/>
        <w:gridCol w:w="1324"/>
        <w:gridCol w:w="1324"/>
        <w:gridCol w:w="1325"/>
        <w:gridCol w:w="1324"/>
        <w:gridCol w:w="1324"/>
      </w:tblGrid>
      <w:tr>
        <w:trPr>
          <w:trHeight w:val="402" w:hRule="exact"/>
        </w:trPr>
        <w:tc>
          <w:tcPr>
            <w:tcW w:w="9569"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独立董事出席董事会情况</w:t>
            </w:r>
          </w:p>
        </w:tc>
      </w:tr>
      <w:tr>
        <w:trPr>
          <w:trHeight w:val="714" w:hRule="exact"/>
        </w:trPr>
        <w:tc>
          <w:tcPr>
            <w:tcW w:w="1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07" w:right="25" w:hanging="180"/>
              <w:jc w:val="left"/>
              <w:rPr>
                <w:rFonts w:ascii="宋体" w:hAnsi="宋体" w:cs="宋体" w:eastAsia="宋体" w:hint="default"/>
                <w:sz w:val="18"/>
                <w:szCs w:val="18"/>
              </w:rPr>
            </w:pPr>
            <w:r>
              <w:rPr>
                <w:rFonts w:ascii="宋体" w:hAnsi="宋体" w:cs="宋体" w:eastAsia="宋体" w:hint="default"/>
                <w:sz w:val="18"/>
                <w:szCs w:val="18"/>
              </w:rPr>
              <w:t>本报告期应参加 董事会次数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116" w:right="0"/>
              <w:jc w:val="left"/>
              <w:rPr>
                <w:rFonts w:ascii="宋体" w:hAnsi="宋体" w:cs="宋体" w:eastAsia="宋体" w:hint="default"/>
                <w:sz w:val="18"/>
                <w:szCs w:val="18"/>
              </w:rPr>
            </w:pPr>
            <w:r>
              <w:rPr>
                <w:rFonts w:ascii="宋体" w:hAnsi="宋体" w:cs="宋体" w:eastAsia="宋体" w:hint="default"/>
                <w:sz w:val="18"/>
                <w:szCs w:val="18"/>
              </w:rPr>
              <w:t>现场出席次数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76" w:right="25" w:hanging="450"/>
              <w:jc w:val="left"/>
              <w:rPr>
                <w:rFonts w:ascii="宋体" w:hAnsi="宋体" w:cs="宋体" w:eastAsia="宋体" w:hint="default"/>
                <w:sz w:val="18"/>
                <w:szCs w:val="18"/>
              </w:rPr>
            </w:pPr>
            <w:r>
              <w:rPr>
                <w:rFonts w:ascii="宋体" w:hAnsi="宋体" w:cs="宋体" w:eastAsia="宋体" w:hint="default"/>
                <w:sz w:val="18"/>
                <w:szCs w:val="18"/>
              </w:rPr>
              <w:t>以通讯方式参加 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委托出席次数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296" w:right="0"/>
              <w:jc w:val="left"/>
              <w:rPr>
                <w:rFonts w:ascii="宋体" w:hAnsi="宋体" w:cs="宋体" w:eastAsia="宋体" w:hint="default"/>
                <w:sz w:val="18"/>
                <w:szCs w:val="18"/>
              </w:rPr>
            </w:pPr>
            <w:r>
              <w:rPr>
                <w:rFonts w:ascii="宋体" w:hAnsi="宋体" w:cs="宋体" w:eastAsia="宋体" w:hint="default"/>
                <w:sz w:val="18"/>
                <w:szCs w:val="18"/>
              </w:rPr>
              <w:t>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6" w:right="25" w:hanging="90"/>
              <w:jc w:val="left"/>
              <w:rPr>
                <w:rFonts w:ascii="宋体" w:hAnsi="宋体" w:cs="宋体" w:eastAsia="宋体" w:hint="default"/>
                <w:sz w:val="18"/>
                <w:szCs w:val="18"/>
              </w:rPr>
            </w:pPr>
            <w:r>
              <w:rPr>
                <w:rFonts w:ascii="宋体" w:hAnsi="宋体" w:cs="宋体" w:eastAsia="宋体" w:hint="default"/>
                <w:sz w:val="18"/>
                <w:szCs w:val="18"/>
              </w:rPr>
              <w:t>是否连续两次未 亲自参加会议</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李凤玲</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徐珊</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94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独立董事列席股东大会次数</w:t>
            </w:r>
          </w:p>
        </w:tc>
        <w:tc>
          <w:tcPr>
            <w:tcW w:w="66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、独立董事对公司有关事项提出异议的情况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40" w:lineRule="auto" w:before="116"/>
        <w:ind w:left="154" w:right="59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报告期内独立董事对公司有关事项未提出异议。</w:t>
      </w:r>
    </w:p>
    <w:p>
      <w:pPr>
        <w:spacing w:line="240" w:lineRule="auto" w:before="1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、独立董事履行职责的其他说明</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38" w:lineRule="auto" w:before="116"/>
        <w:ind w:left="154" w:right="58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独立董事对公司有关建议被采纳或未被采纳的说明</w:t>
      </w:r>
    </w:p>
    <w:p>
      <w:pPr>
        <w:spacing w:before="42"/>
        <w:ind w:left="73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年度，公司独立董事积极出席相关会议，认真审阅各项议案，客观地发表自己的看法和观点，了解公司运营、</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2"/>
        <w:rPr>
          <w:rFonts w:ascii="宋体" w:hAnsi="宋体" w:cs="宋体" w:eastAsia="宋体" w:hint="default"/>
          <w:sz w:val="25"/>
          <w:szCs w:val="25"/>
        </w:rPr>
      </w:pPr>
    </w:p>
    <w:p>
      <w:pPr>
        <w:spacing w:line="316" w:lineRule="auto" w:before="44"/>
        <w:ind w:left="732" w:right="234" w:hanging="579"/>
        <w:jc w:val="left"/>
        <w:rPr>
          <w:rFonts w:ascii="宋体" w:hAnsi="宋体" w:cs="宋体" w:eastAsia="宋体" w:hint="default"/>
          <w:sz w:val="18"/>
          <w:szCs w:val="18"/>
        </w:rPr>
      </w:pPr>
      <w:r>
        <w:rPr>
          <w:rFonts w:ascii="宋体" w:hAnsi="宋体" w:cs="宋体" w:eastAsia="宋体" w:hint="default"/>
          <w:sz w:val="18"/>
          <w:szCs w:val="18"/>
        </w:rPr>
        <w:t>经营状况、内部控制建设以及董事会决议和股东大会决议的执行情况。 作为各自所处领域的专家，公司独立董事利用自己的专业知识，积极地向公司提出了许多有建设性的宝贵意见和建</w:t>
      </w:r>
    </w:p>
    <w:p>
      <w:pPr>
        <w:spacing w:line="319" w:lineRule="auto" w:before="19"/>
        <w:ind w:left="154" w:right="190" w:firstLine="0"/>
        <w:jc w:val="both"/>
        <w:rPr>
          <w:rFonts w:ascii="宋体" w:hAnsi="宋体" w:cs="宋体" w:eastAsia="宋体" w:hint="default"/>
          <w:sz w:val="18"/>
          <w:szCs w:val="18"/>
        </w:rPr>
      </w:pPr>
      <w:r>
        <w:rPr>
          <w:rFonts w:ascii="宋体" w:hAnsi="宋体" w:cs="宋体" w:eastAsia="宋体" w:hint="default"/>
          <w:spacing w:val="-2"/>
          <w:sz w:val="18"/>
          <w:szCs w:val="18"/>
        </w:rPr>
        <w:t>议。公司董事会、高管团队认真听取了独立董事的意见，不断优化公司管理结构、明确部门职能、优化业务流程，深入开展</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2"/>
          <w:sz w:val="18"/>
          <w:szCs w:val="18"/>
        </w:rPr>
        <w:t>公司治理、加大公司内部审核力度和内控建设，加强对前沿产业的研究和布局，构建完整的产业链，不断提高公司的管理水</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平。</w:t>
      </w:r>
    </w:p>
    <w:p>
      <w:pPr>
        <w:spacing w:line="240" w:lineRule="auto" w:before="10"/>
        <w:rPr>
          <w:rFonts w:ascii="宋体" w:hAnsi="宋体" w:cs="宋体" w:eastAsia="宋体" w:hint="default"/>
          <w:sz w:val="14"/>
          <w:szCs w:val="14"/>
        </w:rPr>
      </w:pPr>
    </w:p>
    <w:p>
      <w:pPr>
        <w:pStyle w:val="Heading2"/>
        <w:spacing w:line="240" w:lineRule="auto"/>
        <w:ind w:right="0"/>
        <w:jc w:val="both"/>
        <w:rPr>
          <w:b w:val="0"/>
          <w:bCs w:val="0"/>
        </w:rPr>
      </w:pPr>
      <w:r>
        <w:rPr/>
        <w:t>六、董事会下设专门委员会在报告期内履行职责情况</w:t>
      </w:r>
      <w:r>
        <w:rPr>
          <w:b w:val="0"/>
          <w:bCs w:val="0"/>
        </w:rPr>
      </w:r>
    </w:p>
    <w:p>
      <w:pPr>
        <w:spacing w:line="240" w:lineRule="auto" w:before="6"/>
        <w:rPr>
          <w:rFonts w:ascii="Microsoft JhengHei" w:hAnsi="Microsoft JhengHei" w:cs="Microsoft JhengHei" w:eastAsia="Microsoft JhengHei" w:hint="default"/>
          <w:b/>
          <w:bCs/>
          <w:sz w:val="18"/>
          <w:szCs w:val="18"/>
        </w:rPr>
      </w:pPr>
    </w:p>
    <w:p>
      <w:pPr>
        <w:spacing w:line="309" w:lineRule="auto" w:before="0"/>
        <w:ind w:left="154" w:right="191" w:firstLine="290"/>
        <w:jc w:val="both"/>
        <w:rPr>
          <w:rFonts w:ascii="宋体" w:hAnsi="宋体" w:cs="宋体" w:eastAsia="宋体" w:hint="default"/>
          <w:sz w:val="18"/>
          <w:szCs w:val="18"/>
        </w:rPr>
      </w:pPr>
      <w:r>
        <w:rPr>
          <w:rFonts w:ascii="宋体" w:hAnsi="宋体" w:cs="宋体" w:eastAsia="宋体" w:hint="default"/>
          <w:spacing w:val="-1"/>
          <w:sz w:val="18"/>
          <w:szCs w:val="18"/>
        </w:rPr>
        <w:t>根据公司《董事会审计委员会工作细则》的规定，审计委员会充分发挥了审核与监督作用，主要负责公司财务监督和核</w:t>
      </w:r>
      <w:r>
        <w:rPr>
          <w:rFonts w:ascii="宋体" w:hAnsi="宋体" w:cs="宋体" w:eastAsia="宋体" w:hint="default"/>
          <w:sz w:val="18"/>
          <w:szCs w:val="18"/>
        </w:rPr>
        <w:t> </w:t>
      </w:r>
      <w:r>
        <w:rPr>
          <w:rFonts w:ascii="宋体" w:hAnsi="宋体" w:cs="宋体" w:eastAsia="宋体" w:hint="default"/>
          <w:spacing w:val="-2"/>
          <w:sz w:val="18"/>
          <w:szCs w:val="18"/>
        </w:rPr>
        <w:t>查工作及与外部审计机构的沟通、协调工作。审计委员会对公司</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年内控情况进行了核查，认为公司已经建立的内控制度</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体系符合相关法规的规定，并能有效控制相关风险。</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年，审计委员会召开了各项会议，重点对公司定期财务报告、内部</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控制、募集资金使用情况、控股股东及关联方资金占用等事项进行审议，对内部审计计划、审计专项报告等进行了审查。审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计委员会就会计师事务所从事公司年度审计的工作进行了总结评价，提出了续聘会计事务所的建议。</w:t>
      </w:r>
    </w:p>
    <w:p>
      <w:pPr>
        <w:spacing w:line="240" w:lineRule="auto" w:before="4"/>
        <w:rPr>
          <w:rFonts w:ascii="宋体" w:hAnsi="宋体" w:cs="宋体" w:eastAsia="宋体" w:hint="default"/>
          <w:sz w:val="15"/>
          <w:szCs w:val="15"/>
        </w:rPr>
      </w:pPr>
    </w:p>
    <w:p>
      <w:pPr>
        <w:pStyle w:val="Heading2"/>
        <w:spacing w:line="240" w:lineRule="auto"/>
        <w:ind w:right="0"/>
        <w:jc w:val="both"/>
        <w:rPr>
          <w:b w:val="0"/>
          <w:bCs w:val="0"/>
        </w:rPr>
      </w:pPr>
      <w:r>
        <w:rPr/>
        <w:t>七、监事会工作情况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监事会在报告期内的监督活动是否发现公司存在风险</w:t>
      </w:r>
    </w:p>
    <w:p>
      <w:pPr>
        <w:spacing w:line="340" w:lineRule="auto" w:before="116"/>
        <w:ind w:left="154" w:right="63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公司监事会对报告期内的监督事项无异议。</w:t>
      </w:r>
    </w:p>
    <w:p>
      <w:pPr>
        <w:spacing w:line="240" w:lineRule="auto" w:before="5"/>
        <w:rPr>
          <w:rFonts w:ascii="宋体" w:hAnsi="宋体" w:cs="宋体" w:eastAsia="宋体" w:hint="default"/>
          <w:sz w:val="13"/>
          <w:szCs w:val="13"/>
        </w:rPr>
      </w:pPr>
    </w:p>
    <w:p>
      <w:pPr>
        <w:pStyle w:val="Heading2"/>
        <w:spacing w:line="240" w:lineRule="auto"/>
        <w:ind w:right="0"/>
        <w:jc w:val="both"/>
        <w:rPr>
          <w:b w:val="0"/>
          <w:bCs w:val="0"/>
        </w:rPr>
      </w:pPr>
      <w:r>
        <w:rPr/>
        <w:t>八、高级管理人员的考评及激励情况</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line="360" w:lineRule="auto" w:before="0"/>
        <w:ind w:left="444" w:right="82" w:firstLine="69"/>
        <w:jc w:val="left"/>
        <w:rPr>
          <w:rFonts w:ascii="宋体" w:hAnsi="宋体" w:cs="宋体" w:eastAsia="宋体" w:hint="default"/>
          <w:sz w:val="18"/>
          <w:szCs w:val="18"/>
        </w:rPr>
      </w:pPr>
      <w:r>
        <w:rPr>
          <w:rFonts w:ascii="宋体" w:hAnsi="宋体" w:cs="宋体" w:eastAsia="宋体" w:hint="default"/>
          <w:spacing w:val="-4"/>
          <w:sz w:val="18"/>
          <w:szCs w:val="18"/>
        </w:rPr>
        <w:t>公司已建立高级管理人员的绩效评价体系。公司董事会根据年初确定的工作计划和经营指标，对高级管理人员进行考核。</w:t>
      </w:r>
      <w:r>
        <w:rPr>
          <w:rFonts w:ascii="宋体" w:hAnsi="宋体" w:cs="宋体" w:eastAsia="宋体" w:hint="default"/>
          <w:sz w:val="18"/>
          <w:szCs w:val="18"/>
        </w:rPr>
        <w:t> 董事会下设薪酬与考核委员会，薪酬委以《北京昆仑万维科技股份有限公司高级管理人员薪酬与绩效管理制度》为考核</w:t>
      </w:r>
    </w:p>
    <w:p>
      <w:pPr>
        <w:spacing w:line="221" w:lineRule="exact"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规范，根据公司年度财务报告的各项考核指标和年度经营计划目标，对公司高级管理人员及其所负责的单位进行经营业绩和</w:t>
      </w:r>
    </w:p>
    <w:p>
      <w:pPr>
        <w:spacing w:line="319" w:lineRule="auto" w:before="76"/>
        <w:ind w:left="154" w:right="82" w:firstLine="0"/>
        <w:jc w:val="left"/>
        <w:rPr>
          <w:rFonts w:ascii="宋体" w:hAnsi="宋体" w:cs="宋体" w:eastAsia="宋体" w:hint="default"/>
          <w:sz w:val="18"/>
          <w:szCs w:val="18"/>
        </w:rPr>
      </w:pPr>
      <w:r>
        <w:rPr>
          <w:rFonts w:ascii="宋体" w:hAnsi="宋体" w:cs="宋体" w:eastAsia="宋体" w:hint="default"/>
          <w:spacing w:val="-2"/>
          <w:sz w:val="18"/>
          <w:szCs w:val="18"/>
        </w:rPr>
        <w:t>管理指标的考核，以此作为奖惩依据。公司将继续按照市场化取向，逐步建立更加完善的激励和约束机制，以促使高级管理</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人员勤勉尽责，提高公司法人治理水平，实现股东利益和公司利益最大化。</w:t>
      </w:r>
    </w:p>
    <w:p>
      <w:pPr>
        <w:spacing w:line="240" w:lineRule="auto" w:before="9"/>
        <w:rPr>
          <w:rFonts w:ascii="宋体" w:hAnsi="宋体" w:cs="宋体" w:eastAsia="宋体" w:hint="default"/>
          <w:sz w:val="14"/>
          <w:szCs w:val="14"/>
        </w:rPr>
      </w:pPr>
    </w:p>
    <w:p>
      <w:pPr>
        <w:pStyle w:val="Heading2"/>
        <w:spacing w:line="240" w:lineRule="auto"/>
        <w:ind w:right="0"/>
        <w:jc w:val="both"/>
        <w:rPr>
          <w:b w:val="0"/>
          <w:bCs w:val="0"/>
        </w:rPr>
      </w:pPr>
      <w:r>
        <w:rPr/>
        <w:t>九、内部控制评价报告</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、报告期内发现的内部控制重大缺陷的具体情况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9569"/>
      </w:tblGrid>
      <w:tr>
        <w:trPr>
          <w:trHeight w:val="402" w:hRule="exact"/>
        </w:trPr>
        <w:tc>
          <w:tcPr>
            <w:tcW w:w="9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78" w:right="0"/>
              <w:jc w:val="left"/>
              <w:rPr>
                <w:rFonts w:ascii="宋体" w:hAnsi="宋体" w:cs="宋体" w:eastAsia="宋体" w:hint="default"/>
                <w:sz w:val="18"/>
                <w:szCs w:val="18"/>
              </w:rPr>
            </w:pPr>
            <w:r>
              <w:rPr>
                <w:rFonts w:ascii="宋体" w:hAnsi="宋体" w:cs="宋体" w:eastAsia="宋体" w:hint="default"/>
                <w:sz w:val="18"/>
                <w:szCs w:val="18"/>
              </w:rPr>
              <w:t>报告期内发现的内部控制重大缺陷的具体情况</w:t>
            </w:r>
          </w:p>
        </w:tc>
      </w:tr>
      <w:tr>
        <w:trPr>
          <w:trHeight w:val="402" w:hRule="exact"/>
        </w:trPr>
        <w:tc>
          <w:tcPr>
            <w:tcW w:w="9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报告期内未发现内部控制重大缺陷</w:t>
            </w:r>
          </w:p>
        </w:tc>
      </w:tr>
    </w:tbl>
    <w:p>
      <w:pPr>
        <w:spacing w:line="240" w:lineRule="auto" w:before="2"/>
        <w:rPr>
          <w:rFonts w:ascii="宋体" w:hAnsi="宋体" w:cs="宋体" w:eastAsia="宋体" w:hint="default"/>
          <w:sz w:val="19"/>
          <w:szCs w:val="19"/>
        </w:rPr>
      </w:pPr>
    </w:p>
    <w:p>
      <w:pPr>
        <w:spacing w:line="334" w:lineRule="exact" w:before="0"/>
        <w:ind w:left="154" w:right="8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、内控自我评价报告</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3194"/>
        <w:gridCol w:w="6375"/>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见巨潮资讯网（</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）上披露的报告</w:t>
            </w:r>
          </w:p>
        </w:tc>
      </w:tr>
      <w:tr>
        <w:trPr>
          <w:trHeight w:val="71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9"/>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4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4"/>
        <w:rPr>
          <w:rFonts w:ascii="Microsoft JhengHei" w:hAnsi="Microsoft JhengHei" w:cs="Microsoft JhengHei" w:eastAsia="Microsoft JhengHei" w:hint="default"/>
          <w:b/>
          <w:bCs/>
          <w:sz w:val="29"/>
          <w:szCs w:val="29"/>
        </w:rPr>
      </w:pPr>
    </w:p>
    <w:p>
      <w:pPr>
        <w:spacing w:line="624" w:lineRule="exact"/>
        <w:ind w:left="6676"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1"/>
          <w:sz w:val="20"/>
          <w:szCs w:val="20"/>
        </w:rPr>
        <w:pict>
          <v:group style="width:152.1pt;height:31.2pt;mso-position-horizontal-relative:char;mso-position-vertical-relative:line" coordorigin="0,0" coordsize="3042,624">
            <v:group style="position:absolute;left:0;top:0;width:3042;height:624" coordorigin="0,0" coordsize="3042,624">
              <v:shape style="position:absolute;left:0;top:0;width:3042;height:624" coordorigin="0,0" coordsize="3042,624" path="m0,624l3041,624,3041,0,0,0,0,624xe" filled="true" fillcolor="#ffffff" stroked="false">
                <v:path arrowok="t"/>
                <v:fill type="solid"/>
              </v:shape>
            </v:group>
          </v:group>
        </w:pict>
      </w:r>
      <w:r>
        <w:rPr>
          <w:rFonts w:ascii="Microsoft JhengHei" w:hAnsi="Microsoft JhengHei" w:cs="Microsoft JhengHei" w:eastAsia="Microsoft JhengHei" w:hint="default"/>
          <w:position w:val="-11"/>
          <w:sz w:val="20"/>
          <w:szCs w:val="20"/>
        </w:rPr>
      </w:r>
    </w:p>
    <w:p>
      <w:pPr>
        <w:spacing w:line="240" w:lineRule="auto" w:before="6"/>
        <w:rPr>
          <w:rFonts w:ascii="Microsoft JhengHei" w:hAnsi="Microsoft JhengHei" w:cs="Microsoft JhengHei" w:eastAsia="Microsoft JhengHei" w:hint="default"/>
          <w:b/>
          <w:bCs/>
          <w:sz w:val="18"/>
          <w:szCs w:val="18"/>
        </w:rPr>
      </w:pPr>
    </w:p>
    <w:p>
      <w:pPr>
        <w:spacing w:before="44"/>
        <w:ind w:left="0" w:right="159" w:firstLine="0"/>
        <w:jc w:val="right"/>
        <w:rPr>
          <w:rFonts w:ascii="宋体" w:hAnsi="宋体" w:cs="宋体" w:eastAsia="宋体" w:hint="default"/>
          <w:sz w:val="18"/>
          <w:szCs w:val="18"/>
        </w:rPr>
      </w:pPr>
      <w:r>
        <w:rPr/>
        <w:pict>
          <v:shape style="position:absolute;margin-left:56.459999pt;margin-top:-123.568268pt;width:479.2pt;height:555.85pt;mso-position-horizontal-relative:page;mso-position-vertical-relative:paragraph;z-index:1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89"/>
                    <w:gridCol w:w="3329"/>
                    <w:gridCol w:w="3051"/>
                  </w:tblGrid>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281"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9" w:type="dxa"/>
                        <w:vMerge w:val="restart"/>
                        <w:tcBorders>
                          <w:top w:val="single" w:sz="4" w:space="0" w:color="000000"/>
                          <w:left w:val="single" w:sz="4" w:space="0" w:color="000000"/>
                          <w:right w:val="single" w:sz="4" w:space="0" w:color="000000"/>
                        </w:tcBorders>
                      </w:tcPr>
                      <w:p>
                        <w:pPr>
                          <w:pStyle w:val="TableParagraph"/>
                          <w:spacing w:line="309" w:lineRule="auto" w:before="51"/>
                          <w:ind w:left="28" w:right="-4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重大缺陷：是指一个或多个控制缺陷的 组合，可能导致企业严重偏离控制目标。 </w:t>
                        </w:r>
                        <w:r>
                          <w:rPr>
                            <w:rFonts w:ascii="宋体" w:hAnsi="宋体" w:cs="宋体" w:eastAsia="宋体" w:hint="default"/>
                            <w:spacing w:val="-5"/>
                            <w:sz w:val="18"/>
                            <w:szCs w:val="18"/>
                          </w:rPr>
                          <w:t>出现下列特征的，认定为重大缺陷：（</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w:t>
                        </w:r>
                        <w:r>
                          <w:rPr>
                            <w:rFonts w:ascii="宋体" w:hAnsi="宋体" w:cs="宋体" w:eastAsia="宋体" w:hint="default"/>
                            <w:spacing w:val="-85"/>
                            <w:sz w:val="18"/>
                            <w:szCs w:val="18"/>
                          </w:rPr>
                          <w:t> </w:t>
                        </w:r>
                        <w:r>
                          <w:rPr>
                            <w:rFonts w:ascii="宋体" w:hAnsi="宋体" w:cs="宋体" w:eastAsia="宋体" w:hint="default"/>
                            <w:spacing w:val="-5"/>
                            <w:sz w:val="18"/>
                            <w:szCs w:val="18"/>
                          </w:rPr>
                          <w:t>董事、监事和高级管理人员舞弊；（</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）对</w:t>
                        </w:r>
                        <w:r>
                          <w:rPr>
                            <w:rFonts w:ascii="宋体" w:hAnsi="宋体" w:cs="宋体" w:eastAsia="宋体" w:hint="default"/>
                            <w:spacing w:val="-85"/>
                            <w:sz w:val="18"/>
                            <w:szCs w:val="18"/>
                          </w:rPr>
                          <w:t> </w:t>
                        </w:r>
                        <w:r>
                          <w:rPr>
                            <w:rFonts w:ascii="宋体" w:hAnsi="宋体" w:cs="宋体" w:eastAsia="宋体" w:hint="default"/>
                            <w:sz w:val="18"/>
                            <w:szCs w:val="18"/>
                          </w:rPr>
                          <w:t>已经公告的财务报告出现的重大差错进行 错报更正（由于政策变化或其他客观因素 </w:t>
                        </w:r>
                        <w:r>
                          <w:rPr>
                            <w:rFonts w:ascii="宋体" w:hAnsi="宋体" w:cs="宋体" w:eastAsia="宋体" w:hint="default"/>
                            <w:spacing w:val="-5"/>
                            <w:sz w:val="18"/>
                            <w:szCs w:val="18"/>
                          </w:rPr>
                          <w:t>变化导致的对以前年度的追溯调整除外）；</w:t>
                        </w:r>
                      </w:p>
                      <w:p>
                        <w:pPr>
                          <w:pStyle w:val="TableParagraph"/>
                          <w:spacing w:line="309" w:lineRule="auto" w:before="24"/>
                          <w:ind w:left="28" w:right="2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）当期财务报告存在重大错报，而内部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5"/>
                            <w:sz w:val="18"/>
                            <w:szCs w:val="18"/>
                          </w:rPr>
                          <w:t>控制在运行过程中未能发现该错报；（</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w:t>
                        </w:r>
                        <w:r>
                          <w:rPr>
                            <w:rFonts w:ascii="宋体" w:hAnsi="宋体" w:cs="宋体" w:eastAsia="宋体" w:hint="default"/>
                            <w:spacing w:val="-85"/>
                            <w:sz w:val="18"/>
                            <w:szCs w:val="18"/>
                          </w:rPr>
                          <w:t> </w:t>
                        </w:r>
                        <w:r>
                          <w:rPr>
                            <w:rFonts w:ascii="宋体" w:hAnsi="宋体" w:cs="宋体" w:eastAsia="宋体" w:hint="default"/>
                            <w:sz w:val="18"/>
                            <w:szCs w:val="18"/>
                          </w:rPr>
                          <w:t>审计委员会以及内部审计部门对财务报告 内部控制监督无效。</w:t>
                        </w:r>
                        <w:r>
                          <w:rPr>
                            <w:rFonts w:ascii="Times New Roman" w:hAnsi="Times New Roman" w:cs="Times New Roman" w:eastAsia="Times New Roman" w:hint="default"/>
                            <w:sz w:val="18"/>
                            <w:szCs w:val="18"/>
                          </w:rPr>
                          <w:t>2.</w:t>
                        </w:r>
                        <w:r>
                          <w:rPr>
                            <w:rFonts w:ascii="宋体" w:hAnsi="宋体" w:cs="宋体" w:eastAsia="宋体" w:hint="default"/>
                            <w:sz w:val="18"/>
                            <w:szCs w:val="18"/>
                          </w:rPr>
                          <w:t>重要缺陷：是指一 个或多个控制缺陷的组合，其严重程度和 经济后果低于重大缺陷但仍有可能导致企 业偏离控制目标。出现以下特征的，认定 </w:t>
                        </w:r>
                        <w:r>
                          <w:rPr>
                            <w:rFonts w:ascii="宋体" w:hAnsi="宋体" w:cs="宋体" w:eastAsia="宋体" w:hint="default"/>
                            <w:spacing w:val="-5"/>
                            <w:sz w:val="18"/>
                            <w:szCs w:val="18"/>
                          </w:rPr>
                          <w:t>为重要缺陷：（</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）未依照公认会计准则选</w:t>
                        </w:r>
                        <w:r>
                          <w:rPr>
                            <w:rFonts w:ascii="宋体" w:hAnsi="宋体" w:cs="宋体" w:eastAsia="宋体" w:hint="default"/>
                            <w:spacing w:val="-85"/>
                            <w:sz w:val="18"/>
                            <w:szCs w:val="18"/>
                          </w:rPr>
                          <w:t> </w:t>
                        </w:r>
                        <w:r>
                          <w:rPr>
                            <w:rFonts w:ascii="宋体" w:hAnsi="宋体" w:cs="宋体" w:eastAsia="宋体" w:hint="default"/>
                            <w:spacing w:val="-5"/>
                            <w:sz w:val="18"/>
                            <w:szCs w:val="18"/>
                          </w:rPr>
                          <w:t>择和应用会计政策；（</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）未建立反舞弊程</w:t>
                        </w:r>
                        <w:r>
                          <w:rPr>
                            <w:rFonts w:ascii="宋体" w:hAnsi="宋体" w:cs="宋体" w:eastAsia="宋体" w:hint="default"/>
                            <w:spacing w:val="-85"/>
                            <w:sz w:val="18"/>
                            <w:szCs w:val="18"/>
                          </w:rPr>
                          <w:t> </w:t>
                        </w:r>
                        <w:r>
                          <w:rPr>
                            <w:rFonts w:ascii="宋体" w:hAnsi="宋体" w:cs="宋体" w:eastAsia="宋体" w:hint="default"/>
                            <w:spacing w:val="-5"/>
                            <w:sz w:val="18"/>
                            <w:szCs w:val="18"/>
                          </w:rPr>
                          <w:t>序和控制措施；（</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）对于非常规或特殊交</w:t>
                        </w:r>
                        <w:r>
                          <w:rPr>
                            <w:rFonts w:ascii="宋体" w:hAnsi="宋体" w:cs="宋体" w:eastAsia="宋体" w:hint="default"/>
                            <w:spacing w:val="-85"/>
                            <w:sz w:val="18"/>
                            <w:szCs w:val="18"/>
                          </w:rPr>
                          <w:t> </w:t>
                        </w:r>
                        <w:r>
                          <w:rPr>
                            <w:rFonts w:ascii="宋体" w:hAnsi="宋体" w:cs="宋体" w:eastAsia="宋体" w:hint="default"/>
                            <w:sz w:val="18"/>
                            <w:szCs w:val="18"/>
                          </w:rPr>
                          <w:t>易的账务处理没有建立相应的控制机制或 </w:t>
                        </w:r>
                        <w:r>
                          <w:rPr>
                            <w:rFonts w:ascii="宋体" w:hAnsi="宋体" w:cs="宋体" w:eastAsia="宋体" w:hint="default"/>
                            <w:spacing w:val="-5"/>
                            <w:sz w:val="18"/>
                            <w:szCs w:val="18"/>
                          </w:rPr>
                          <w:t>没有实施且没有相应的补偿性控制；（</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w:t>
                        </w:r>
                        <w:r>
                          <w:rPr>
                            <w:rFonts w:ascii="宋体" w:hAnsi="宋体" w:cs="宋体" w:eastAsia="宋体" w:hint="default"/>
                            <w:spacing w:val="-85"/>
                            <w:sz w:val="18"/>
                            <w:szCs w:val="18"/>
                          </w:rPr>
                          <w:t> </w:t>
                        </w:r>
                        <w:r>
                          <w:rPr>
                            <w:rFonts w:ascii="宋体" w:hAnsi="宋体" w:cs="宋体" w:eastAsia="宋体" w:hint="default"/>
                            <w:sz w:val="18"/>
                            <w:szCs w:val="18"/>
                          </w:rPr>
                          <w:t>对于期末财务报告过程的控制存在一项或 多项缺陷且不能合理保证编制的财务报表 达到真实、准确的目标。</w:t>
                        </w:r>
                      </w:p>
                    </w:tc>
                    <w:tc>
                      <w:tcPr>
                        <w:tcW w:w="30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00" w:lineRule="auto"/>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．具有以下特征的缺陷，认定为重大 </w:t>
                        </w:r>
                        <w:r>
                          <w:rPr>
                            <w:rFonts w:ascii="宋体" w:hAnsi="宋体" w:cs="宋体" w:eastAsia="宋体" w:hint="default"/>
                            <w:spacing w:val="-14"/>
                            <w:sz w:val="18"/>
                            <w:szCs w:val="18"/>
                          </w:rPr>
                          <w:t>缺陷：（</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）公司决策程序导致重大损失</w:t>
                        </w:r>
                      </w:p>
                      <w:p>
                        <w:pPr>
                          <w:pStyle w:val="TableParagraph"/>
                          <w:spacing w:line="307" w:lineRule="auto" w:before="13"/>
                          <w:ind w:left="22" w:right="-42"/>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）严重违反法律、法规；（</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）公司</w:t>
                        </w:r>
                        <w:r>
                          <w:rPr>
                            <w:rFonts w:ascii="宋体" w:hAnsi="宋体" w:cs="宋体" w:eastAsia="宋体" w:hint="default"/>
                            <w:sz w:val="18"/>
                            <w:szCs w:val="18"/>
                          </w:rPr>
                          <w:t> 中高级管理人员和高级技术人员流失 </w:t>
                        </w:r>
                        <w:r>
                          <w:rPr>
                            <w:rFonts w:ascii="宋体" w:hAnsi="宋体" w:cs="宋体" w:eastAsia="宋体" w:hint="default"/>
                            <w:spacing w:val="-9"/>
                            <w:sz w:val="18"/>
                            <w:szCs w:val="18"/>
                          </w:rPr>
                          <w:t>严重；（</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）媒体频现负面新闻，涉及面</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广且负面影响一直未能消除；（</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）公司</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重要业务缺乏制度控制或制度体系失 </w:t>
                        </w:r>
                        <w:r>
                          <w:rPr>
                            <w:rFonts w:ascii="宋体" w:hAnsi="宋体" w:cs="宋体" w:eastAsia="宋体" w:hint="default"/>
                            <w:spacing w:val="-4"/>
                            <w:sz w:val="18"/>
                            <w:szCs w:val="18"/>
                          </w:rPr>
                          <w:t>效，重要的经济业务虽有内控制度，但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9"/>
                            <w:sz w:val="18"/>
                            <w:szCs w:val="18"/>
                          </w:rPr>
                          <w:t>没有有效的运行；（</w:t>
                        </w:r>
                        <w:r>
                          <w:rPr>
                            <w:rFonts w:ascii="Times New Roman" w:hAnsi="Times New Roman" w:cs="Times New Roman" w:eastAsia="Times New Roman" w:hint="default"/>
                            <w:spacing w:val="-9"/>
                            <w:sz w:val="18"/>
                            <w:szCs w:val="18"/>
                          </w:rPr>
                          <w:t>6</w:t>
                        </w:r>
                        <w:r>
                          <w:rPr>
                            <w:rFonts w:ascii="宋体" w:hAnsi="宋体" w:cs="宋体" w:eastAsia="宋体" w:hint="default"/>
                            <w:spacing w:val="-9"/>
                            <w:sz w:val="18"/>
                            <w:szCs w:val="18"/>
                          </w:rPr>
                          <w:t>）公司内部控制重</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大或重要缺陷未得到整改；（</w:t>
                        </w:r>
                        <w:r>
                          <w:rPr>
                            <w:rFonts w:ascii="Times New Roman" w:hAnsi="Times New Roman" w:cs="Times New Roman" w:eastAsia="Times New Roman" w:hint="default"/>
                            <w:spacing w:val="-9"/>
                            <w:sz w:val="18"/>
                            <w:szCs w:val="18"/>
                          </w:rPr>
                          <w:t>7</w:t>
                        </w:r>
                        <w:r>
                          <w:rPr>
                            <w:rFonts w:ascii="宋体" w:hAnsi="宋体" w:cs="宋体" w:eastAsia="宋体" w:hint="default"/>
                            <w:spacing w:val="-9"/>
                            <w:sz w:val="18"/>
                            <w:szCs w:val="18"/>
                          </w:rPr>
                          <w:t>）公司遭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3"/>
                            <w:sz w:val="18"/>
                            <w:szCs w:val="18"/>
                          </w:rPr>
                          <w:t>受证监会处罚或证券交易所警告。</w:t>
                        </w:r>
                        <w:r>
                          <w:rPr>
                            <w:rFonts w:ascii="Times New Roman" w:hAnsi="Times New Roman" w:cs="Times New Roman" w:eastAsia="Times New Roman" w:hint="default"/>
                            <w:spacing w:val="-13"/>
                            <w:sz w:val="18"/>
                            <w:szCs w:val="18"/>
                          </w:rPr>
                          <w:t>2</w:t>
                        </w:r>
                        <w:r>
                          <w:rPr>
                            <w:rFonts w:ascii="宋体" w:hAnsi="宋体" w:cs="宋体" w:eastAsia="宋体" w:hint="default"/>
                            <w:spacing w:val="-13"/>
                            <w:sz w:val="18"/>
                            <w:szCs w:val="18"/>
                          </w:rPr>
                          <w:t>．具</w:t>
                        </w:r>
                        <w:r>
                          <w:rPr>
                            <w:rFonts w:ascii="宋体" w:hAnsi="宋体" w:cs="宋体" w:eastAsia="宋体" w:hint="default"/>
                            <w:spacing w:val="-78"/>
                            <w:sz w:val="18"/>
                            <w:szCs w:val="18"/>
                          </w:rPr>
                          <w:t> </w:t>
                        </w:r>
                        <w:r>
                          <w:rPr>
                            <w:rFonts w:ascii="宋体" w:hAnsi="宋体" w:cs="宋体" w:eastAsia="宋体" w:hint="default"/>
                            <w:sz w:val="18"/>
                            <w:szCs w:val="18"/>
                          </w:rPr>
                          <w:t>有以下特征的缺陷，认定为重要缺陷：</w:t>
                        </w:r>
                      </w:p>
                      <w:p>
                        <w:pPr>
                          <w:pStyle w:val="TableParagraph"/>
                          <w:spacing w:line="240" w:lineRule="auto" w:before="26"/>
                          <w:ind w:left="22"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）公司决策程序导致出现重大失误</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）公司关键岗位业务人员流失严重</w:t>
                        </w:r>
                      </w:p>
                      <w:p>
                        <w:pPr>
                          <w:pStyle w:val="TableParagraph"/>
                          <w:spacing w:line="300" w:lineRule="auto" w:before="63"/>
                          <w:ind w:left="22" w:right="2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）媒体出现负面新闻，波及局部区 </w:t>
                        </w:r>
                        <w:r>
                          <w:rPr>
                            <w:rFonts w:ascii="宋体" w:hAnsi="宋体" w:cs="宋体" w:eastAsia="宋体" w:hint="default"/>
                            <w:spacing w:val="-9"/>
                            <w:sz w:val="18"/>
                            <w:szCs w:val="18"/>
                          </w:rPr>
                          <w:t>域；（</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）公司重要业务制度或系统存在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缺陷；（</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）公司内部控制重要缺陷未在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合理期间内得到整改。</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9" w:type="dxa"/>
                        <w:vMerge/>
                        <w:tcBorders>
                          <w:left w:val="single" w:sz="4" w:space="0" w:color="000000"/>
                          <w:right w:val="single" w:sz="4" w:space="0" w:color="000000"/>
                        </w:tcBorders>
                      </w:tcPr>
                      <w:p>
                        <w:pPr/>
                      </w:p>
                    </w:tc>
                    <w:tc>
                      <w:tcPr>
                        <w:tcW w:w="3051" w:type="dxa"/>
                        <w:vMerge/>
                        <w:tcBorders>
                          <w:left w:val="single" w:sz="4" w:space="0" w:color="000000"/>
                          <w:right w:val="single" w:sz="4" w:space="0" w:color="000000"/>
                        </w:tcBorders>
                      </w:tcPr>
                      <w:p>
                        <w:pPr/>
                      </w:p>
                    </w:tc>
                  </w:tr>
                  <w:tr>
                    <w:trPr>
                      <w:trHeight w:val="3281"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9" w:type="dxa"/>
                        <w:vMerge/>
                        <w:tcBorders>
                          <w:left w:val="single" w:sz="4" w:space="0" w:color="000000"/>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r>
                    <w:trPr>
                      <w:trHeight w:val="317"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9" w:type="dxa"/>
                        <w:vMerge w:val="restart"/>
                        <w:tcBorders>
                          <w:top w:val="single" w:sz="4" w:space="0" w:color="000000"/>
                          <w:left w:val="single" w:sz="4" w:space="0" w:color="000000"/>
                          <w:right w:val="single" w:sz="4" w:space="0" w:color="000000"/>
                        </w:tcBorders>
                      </w:tcPr>
                      <w:p>
                        <w:pPr>
                          <w:pStyle w:val="TableParagraph"/>
                          <w:spacing w:line="300" w:lineRule="auto" w:before="51"/>
                          <w:ind w:left="28" w:right="23"/>
                          <w:jc w:val="both"/>
                          <w:rPr>
                            <w:rFonts w:ascii="宋体" w:hAnsi="宋体" w:cs="宋体" w:eastAsia="宋体" w:hint="default"/>
                            <w:sz w:val="18"/>
                            <w:szCs w:val="18"/>
                          </w:rPr>
                        </w:pPr>
                        <w:r>
                          <w:rPr>
                            <w:rFonts w:ascii="宋体" w:hAnsi="宋体" w:cs="宋体" w:eastAsia="宋体" w:hint="default"/>
                            <w:sz w:val="18"/>
                            <w:szCs w:val="18"/>
                          </w:rPr>
                          <w:t>重大缺陷：错报</w:t>
                        </w:r>
                        <w:r>
                          <w:rPr>
                            <w:rFonts w:ascii="Times New Roman" w:hAnsi="Times New Roman" w:cs="Times New Roman" w:eastAsia="Times New Roman" w:hint="default"/>
                            <w:sz w:val="18"/>
                            <w:szCs w:val="18"/>
                          </w:rPr>
                          <w:t>≥</w:t>
                        </w:r>
                        <w:r>
                          <w:rPr>
                            <w:rFonts w:ascii="宋体" w:hAnsi="宋体" w:cs="宋体" w:eastAsia="宋体" w:hint="default"/>
                            <w:sz w:val="18"/>
                            <w:szCs w:val="18"/>
                          </w:rPr>
                          <w:t>利润总额的</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；重要 </w:t>
                        </w:r>
                        <w:r>
                          <w:rPr>
                            <w:rFonts w:ascii="宋体" w:hAnsi="宋体" w:cs="宋体" w:eastAsia="宋体" w:hint="default"/>
                            <w:spacing w:val="-6"/>
                            <w:sz w:val="18"/>
                            <w:szCs w:val="18"/>
                          </w:rPr>
                          <w:t>缺陷：利润总额的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z w:val="18"/>
                            <w:szCs w:val="18"/>
                          </w:rPr>
                          <w:t>≤</w:t>
                        </w:r>
                        <w:r>
                          <w:rPr>
                            <w:rFonts w:ascii="宋体" w:hAnsi="宋体" w:cs="宋体" w:eastAsia="宋体" w:hint="default"/>
                            <w:sz w:val="18"/>
                            <w:szCs w:val="18"/>
                          </w:rPr>
                          <w:t>错报＜利润总额的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c>
                      <w:tcPr>
                        <w:tcW w:w="3051" w:type="dxa"/>
                        <w:vMerge w:val="restart"/>
                        <w:tcBorders>
                          <w:top w:val="single" w:sz="4" w:space="0" w:color="000000"/>
                          <w:left w:val="single" w:sz="4" w:space="0" w:color="000000"/>
                          <w:right w:val="single" w:sz="4" w:space="0" w:color="000000"/>
                        </w:tcBorders>
                      </w:tcPr>
                      <w:p>
                        <w:pPr>
                          <w:pStyle w:val="TableParagraph"/>
                          <w:spacing w:line="300" w:lineRule="auto" w:before="51"/>
                          <w:ind w:left="22" w:right="42"/>
                          <w:jc w:val="both"/>
                          <w:rPr>
                            <w:rFonts w:ascii="宋体" w:hAnsi="宋体" w:cs="宋体" w:eastAsia="宋体" w:hint="default"/>
                            <w:sz w:val="18"/>
                            <w:szCs w:val="18"/>
                          </w:rPr>
                        </w:pPr>
                        <w:r>
                          <w:rPr>
                            <w:rFonts w:ascii="宋体" w:hAnsi="宋体" w:cs="宋体" w:eastAsia="宋体" w:hint="default"/>
                            <w:sz w:val="18"/>
                            <w:szCs w:val="18"/>
                          </w:rPr>
                          <w:t>重大缺陷：错报</w:t>
                        </w:r>
                        <w:r>
                          <w:rPr>
                            <w:rFonts w:ascii="Times New Roman" w:hAnsi="Times New Roman" w:cs="Times New Roman" w:eastAsia="Times New Roman" w:hint="default"/>
                            <w:sz w:val="18"/>
                            <w:szCs w:val="18"/>
                          </w:rPr>
                          <w:t>≥</w:t>
                        </w:r>
                        <w:r>
                          <w:rPr>
                            <w:rFonts w:ascii="宋体" w:hAnsi="宋体" w:cs="宋体" w:eastAsia="宋体" w:hint="default"/>
                            <w:sz w:val="18"/>
                            <w:szCs w:val="18"/>
                          </w:rPr>
                          <w:t>利润总额的</w:t>
                        </w:r>
                        <w:r>
                          <w:rPr>
                            <w:rFonts w:ascii="宋体" w:hAnsi="宋体" w:cs="宋体" w:eastAsia="宋体" w:hint="default"/>
                            <w:spacing w:val="-19"/>
                            <w:sz w:val="18"/>
                            <w:szCs w:val="18"/>
                          </w:rPr>
                          <w:t> </w:t>
                        </w:r>
                        <w:r>
                          <w:rPr>
                            <w:rFonts w:ascii="Times New Roman" w:hAnsi="Times New Roman" w:cs="Times New Roman" w:eastAsia="Times New Roman" w:hint="default"/>
                            <w:spacing w:val="-9"/>
                            <w:sz w:val="18"/>
                            <w:szCs w:val="18"/>
                          </w:rPr>
                          <w:t>10%</w:t>
                        </w:r>
                        <w:r>
                          <w:rPr>
                            <w:rFonts w:ascii="宋体" w:hAnsi="宋体" w:cs="宋体" w:eastAsia="宋体" w:hint="default"/>
                            <w:spacing w:val="-9"/>
                            <w:sz w:val="18"/>
                            <w:szCs w:val="18"/>
                          </w:rPr>
                          <w:t>；重</w:t>
                        </w:r>
                        <w:r>
                          <w:rPr>
                            <w:rFonts w:ascii="宋体" w:hAnsi="宋体" w:cs="宋体" w:eastAsia="宋体" w:hint="default"/>
                            <w:spacing w:val="-22"/>
                            <w:sz w:val="18"/>
                            <w:szCs w:val="18"/>
                          </w:rPr>
                          <w:t> </w:t>
                        </w:r>
                        <w:r>
                          <w:rPr>
                            <w:rFonts w:ascii="宋体" w:hAnsi="宋体" w:cs="宋体" w:eastAsia="宋体" w:hint="default"/>
                            <w:sz w:val="18"/>
                            <w:szCs w:val="18"/>
                          </w:rPr>
                          <w:t>要缺陷：利润总额的</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z w:val="18"/>
                            <w:szCs w:val="18"/>
                          </w:rPr>
                          <w:t>≤</w:t>
                        </w:r>
                        <w:r>
                          <w:rPr>
                            <w:rFonts w:ascii="宋体" w:hAnsi="宋体" w:cs="宋体" w:eastAsia="宋体" w:hint="default"/>
                            <w:sz w:val="18"/>
                            <w:szCs w:val="18"/>
                          </w:rPr>
                          <w:t>错报＜利润 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9" w:type="dxa"/>
                        <w:vMerge/>
                        <w:tcBorders>
                          <w:left w:val="single" w:sz="4" w:space="0" w:color="000000"/>
                          <w:right w:val="single" w:sz="4" w:space="0" w:color="000000"/>
                        </w:tcBorders>
                      </w:tcPr>
                      <w:p>
                        <w:pPr/>
                      </w:p>
                    </w:tc>
                    <w:tc>
                      <w:tcPr>
                        <w:tcW w:w="3051" w:type="dxa"/>
                        <w:vMerge/>
                        <w:tcBorders>
                          <w:left w:val="single" w:sz="4" w:space="0" w:color="000000"/>
                          <w:right w:val="single" w:sz="4" w:space="0" w:color="000000"/>
                        </w:tcBorders>
                      </w:tcPr>
                      <w:p>
                        <w:pPr/>
                      </w:p>
                    </w:tc>
                  </w:tr>
                  <w:tr>
                    <w:trPr>
                      <w:trHeight w:val="317"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9" w:type="dxa"/>
                        <w:vMerge/>
                        <w:tcBorders>
                          <w:left w:val="single" w:sz="4" w:space="0" w:color="000000"/>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before="44"/>
        <w:ind w:left="0" w:right="159" w:firstLine="0"/>
        <w:jc w:val="right"/>
        <w:rPr>
          <w:rFonts w:ascii="宋体" w:hAnsi="宋体" w:cs="宋体" w:eastAsia="宋体" w:hint="default"/>
          <w:sz w:val="18"/>
          <w:szCs w:val="18"/>
        </w:rPr>
      </w:pPr>
      <w:r>
        <w:rPr>
          <w:rFonts w:ascii="宋体" w:hAnsi="宋体" w:cs="宋体" w:eastAsia="宋体" w:hint="default"/>
          <w:sz w:val="18"/>
          <w:szCs w:val="18"/>
        </w:rPr>
        <w:t>；</w:t>
      </w:r>
    </w:p>
    <w:p>
      <w:pPr>
        <w:spacing w:before="76"/>
        <w:ind w:left="0" w:right="15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spacing w:line="624" w:lineRule="exact"/>
        <w:ind w:left="6676"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152.1pt;height:31.2pt;mso-position-horizontal-relative:char;mso-position-vertical-relative:line" coordorigin="0,0" coordsize="3042,624">
            <v:group style="position:absolute;left:0;top:0;width:3042;height:624" coordorigin="0,0" coordsize="3042,624">
              <v:shape style="position:absolute;left:0;top:0;width:3042;height:624" coordorigin="0,0" coordsize="3042,624" path="m0,624l3041,624,3041,0,0,0,0,624xe" filled="true" fillcolor="#ffffff" stroked="false">
                <v:path arrowok="t"/>
                <v:fill type="solid"/>
              </v:shape>
            </v:group>
          </v:group>
        </w:pict>
      </w:r>
      <w:r>
        <w:rPr>
          <w:rFonts w:ascii="宋体" w:hAnsi="宋体" w:cs="宋体" w:eastAsia="宋体" w:hint="default"/>
          <w:position w:val="-1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2"/>
        <w:spacing w:line="367" w:lineRule="exact"/>
        <w:ind w:right="0"/>
        <w:jc w:val="left"/>
        <w:rPr>
          <w:b w:val="0"/>
          <w:bCs w:val="0"/>
        </w:rPr>
      </w:pPr>
      <w:r>
        <w:rPr/>
        <w:t>十、内部控制审计报告或鉴证报告</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4"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84"/>
              <w:jc w:val="left"/>
              <w:rPr>
                <w:rFonts w:ascii="宋体" w:hAnsi="宋体" w:cs="宋体" w:eastAsia="宋体" w:hint="default"/>
                <w:sz w:val="18"/>
                <w:szCs w:val="18"/>
              </w:rPr>
            </w:pPr>
            <w:r>
              <w:rPr>
                <w:rFonts w:ascii="宋体" w:hAnsi="宋体" w:cs="宋体" w:eastAsia="宋体" w:hint="default"/>
                <w:sz w:val="18"/>
                <w:szCs w:val="18"/>
              </w:rPr>
              <w:t>我们认为，贵公司按照财政部等五部委颁发的《企业内部控制基本规范》及相关规定于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 面保持了与财务报表相关的有效的内部控制。</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见巨潮资讯网（</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）上披露的报告</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38" w:lineRule="auto" w:before="117"/>
        <w:ind w:left="154" w:right="36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会计师事务所出具的内部控制鉴证报告与董事会的自我评价报告意见是否一致</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457" w:lineRule="exact"/>
        <w:ind w:right="615"/>
        <w:jc w:val="center"/>
        <w:rPr>
          <w:b w:val="0"/>
          <w:bCs w:val="0"/>
        </w:rPr>
      </w:pPr>
      <w:bookmarkStart w:name="_TOC_250001" w:id="10"/>
      <w:r>
        <w:rPr/>
        <w:t>第十节 </w:t>
      </w:r>
      <w:r>
        <w:rPr>
          <w:spacing w:val="5"/>
        </w:rPr>
        <w:t> </w:t>
      </w:r>
      <w:r>
        <w:rPr/>
        <w:t>财务报告</w:t>
      </w:r>
      <w:bookmarkEnd w:id="10"/>
      <w:r>
        <w:rPr>
          <w:b w:val="0"/>
          <w:bCs w:val="0"/>
        </w:rPr>
      </w:r>
    </w:p>
    <w:p>
      <w:pPr>
        <w:spacing w:line="240" w:lineRule="auto" w:before="12"/>
        <w:rPr>
          <w:rFonts w:ascii="Microsoft JhengHei" w:hAnsi="Microsoft JhengHei" w:cs="Microsoft JhengHei" w:eastAsia="Microsoft JhengHei" w:hint="default"/>
          <w:b/>
          <w:bCs/>
          <w:sz w:val="25"/>
          <w:szCs w:val="25"/>
        </w:rPr>
      </w:pPr>
    </w:p>
    <w:p>
      <w:pPr>
        <w:pStyle w:val="Heading2"/>
        <w:spacing w:line="367" w:lineRule="exact"/>
        <w:ind w:right="0"/>
        <w:jc w:val="left"/>
        <w:rPr>
          <w:b w:val="0"/>
          <w:bCs w:val="0"/>
        </w:rPr>
      </w:pPr>
      <w:r>
        <w:rPr/>
        <w:t>一、审计报告</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标准无保留审计意见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[2016]  </w:t>
            </w:r>
            <w:r>
              <w:rPr>
                <w:rFonts w:ascii="宋体" w:hAnsi="宋体" w:cs="宋体" w:eastAsia="宋体" w:hint="default"/>
                <w:sz w:val="18"/>
                <w:szCs w:val="18"/>
              </w:rPr>
              <w:t>第 </w:t>
            </w:r>
            <w:r>
              <w:rPr>
                <w:rFonts w:ascii="Times New Roman" w:hAnsi="Times New Roman" w:cs="Times New Roman" w:eastAsia="Times New Roman" w:hint="default"/>
                <w:sz w:val="18"/>
                <w:szCs w:val="18"/>
              </w:rPr>
              <w:t>210550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王友业、孙继伟</w:t>
            </w:r>
          </w:p>
        </w:tc>
      </w:tr>
    </w:tbl>
    <w:p>
      <w:pPr>
        <w:spacing w:before="51"/>
        <w:ind w:left="615" w:right="614"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spacing w:line="256" w:lineRule="auto" w:before="89"/>
        <w:ind w:left="154" w:right="0" w:firstLine="420"/>
        <w:jc w:val="left"/>
        <w:rPr>
          <w:rFonts w:ascii="宋体" w:hAnsi="宋体" w:cs="宋体" w:eastAsia="宋体" w:hint="default"/>
          <w:sz w:val="21"/>
          <w:szCs w:val="21"/>
        </w:rPr>
      </w:pPr>
      <w:r>
        <w:rPr>
          <w:rFonts w:ascii="宋体" w:hAnsi="宋体" w:cs="宋体" w:eastAsia="宋体" w:hint="default"/>
          <w:spacing w:val="-1"/>
          <w:sz w:val="21"/>
          <w:szCs w:val="21"/>
        </w:rPr>
        <w:t>我们审计了后附的北京昆仑万维科技股份有限公司（以下简称贵公司）财务报表，包括</w:t>
      </w:r>
      <w:r>
        <w:rPr>
          <w:rFonts w:ascii="Times New Roman" w:hAnsi="Times New Roman" w:cs="Times New Roman" w:eastAsia="Times New Roman" w:hint="default"/>
          <w:spacing w:val="-1"/>
          <w:sz w:val="21"/>
          <w:szCs w:val="21"/>
        </w:rPr>
        <w:t>2015</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31</w:t>
      </w:r>
      <w:r>
        <w:rPr>
          <w:rFonts w:ascii="Times New Roman" w:hAnsi="Times New Roman" w:cs="Times New Roman" w:eastAsia="Times New Roman" w:hint="default"/>
          <w:sz w:val="21"/>
          <w:szCs w:val="21"/>
        </w:rPr>
        <w:t> </w:t>
      </w:r>
      <w:r>
        <w:rPr>
          <w:rFonts w:ascii="宋体" w:hAnsi="宋体" w:cs="宋体" w:eastAsia="宋体" w:hint="default"/>
          <w:sz w:val="21"/>
          <w:szCs w:val="21"/>
        </w:rPr>
        <w:t>日的合并及公司资产负债表、</w:t>
      </w:r>
      <w:r>
        <w:rPr>
          <w:rFonts w:ascii="宋体" w:hAnsi="宋体" w:cs="宋体" w:eastAsia="宋体" w:hint="default"/>
          <w:spacing w:val="-22"/>
          <w:sz w:val="21"/>
          <w:szCs w:val="21"/>
        </w:rPr>
        <w:t> </w:t>
      </w:r>
      <w:r>
        <w:rPr>
          <w:rFonts w:ascii="Times New Roman" w:hAnsi="Times New Roman" w:cs="Times New Roman" w:eastAsia="Times New Roman" w:hint="default"/>
          <w:sz w:val="21"/>
          <w:szCs w:val="21"/>
        </w:rPr>
        <w:t>2015</w:t>
      </w:r>
      <w:r>
        <w:rPr>
          <w:rFonts w:ascii="宋体" w:hAnsi="宋体" w:cs="宋体" w:eastAsia="宋体" w:hint="default"/>
          <w:sz w:val="21"/>
          <w:szCs w:val="21"/>
        </w:rPr>
        <w:t>年度的合并及公司利润表、合并及公司现金流量表、合并及公司所有 者权益变动表以及财务报表附注。</w:t>
      </w:r>
    </w:p>
    <w:p>
      <w:pPr>
        <w:spacing w:line="610" w:lineRule="atLeast" w:before="23"/>
        <w:ind w:left="574" w:right="217" w:hanging="421"/>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一、管理层对财务报表的责任</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z w:val="21"/>
          <w:szCs w:val="21"/>
        </w:rPr>
        <w:t>编制和公允列报财务报表是贵公司管理层的责任。这种责任包括：（</w:t>
      </w:r>
      <w:r>
        <w:rPr>
          <w:rFonts w:ascii="Times New Roman" w:hAnsi="Times New Roman" w:cs="Times New Roman" w:eastAsia="Times New Roman" w:hint="default"/>
          <w:sz w:val="21"/>
          <w:szCs w:val="21"/>
        </w:rPr>
        <w:t>1</w:t>
      </w:r>
      <w:r>
        <w:rPr>
          <w:rFonts w:ascii="宋体" w:hAnsi="宋体" w:cs="宋体" w:eastAsia="宋体" w:hint="default"/>
          <w:sz w:val="21"/>
          <w:szCs w:val="21"/>
        </w:rPr>
        <w:t>）按照企业会计准则的规定编</w:t>
      </w:r>
    </w:p>
    <w:p>
      <w:pPr>
        <w:spacing w:line="256" w:lineRule="auto" w:before="21"/>
        <w:ind w:left="154" w:right="217" w:firstLine="0"/>
        <w:jc w:val="left"/>
        <w:rPr>
          <w:rFonts w:ascii="宋体" w:hAnsi="宋体" w:cs="宋体" w:eastAsia="宋体" w:hint="default"/>
          <w:sz w:val="21"/>
          <w:szCs w:val="21"/>
        </w:rPr>
      </w:pPr>
      <w:r>
        <w:rPr>
          <w:rFonts w:ascii="宋体" w:hAnsi="宋体" w:cs="宋体" w:eastAsia="宋体" w:hint="default"/>
          <w:sz w:val="21"/>
          <w:szCs w:val="21"/>
        </w:rPr>
        <w:t>制财务报表，并使其实现公允反映；（</w:t>
      </w:r>
      <w:r>
        <w:rPr>
          <w:rFonts w:ascii="Times New Roman" w:hAnsi="Times New Roman" w:cs="Times New Roman" w:eastAsia="Times New Roman" w:hint="default"/>
          <w:sz w:val="21"/>
          <w:szCs w:val="21"/>
        </w:rPr>
        <w:t>2</w:t>
      </w:r>
      <w:r>
        <w:rPr>
          <w:rFonts w:ascii="宋体" w:hAnsi="宋体" w:cs="宋体" w:eastAsia="宋体" w:hint="default"/>
          <w:sz w:val="21"/>
          <w:szCs w:val="21"/>
        </w:rPr>
        <w:t>）设计、执行和维护必要的内部控制，以使财务报表不存在由于 舞弊或错误导致的重大错报。</w:t>
      </w:r>
    </w:p>
    <w:p>
      <w:pPr>
        <w:spacing w:line="600" w:lineRule="atLeast" w:before="33"/>
        <w:ind w:left="574" w:right="0" w:hanging="421"/>
        <w:jc w:val="left"/>
        <w:rPr>
          <w:rFonts w:ascii="宋体" w:hAnsi="宋体" w:cs="宋体" w:eastAsia="宋体" w:hint="default"/>
          <w:sz w:val="21"/>
          <w:szCs w:val="21"/>
        </w:rPr>
      </w:pPr>
      <w:r>
        <w:rPr>
          <w:rFonts w:ascii="Microsoft JhengHei" w:hAnsi="Microsoft JhengHei" w:cs="Microsoft JhengHei" w:eastAsia="Microsoft JhengHei" w:hint="default"/>
          <w:b/>
          <w:bCs/>
          <w:sz w:val="21"/>
          <w:szCs w:val="21"/>
        </w:rPr>
        <w:t>二、注册会计师的责任</w:t>
      </w:r>
      <w:r>
        <w:rPr>
          <w:rFonts w:ascii="Microsoft JhengHei" w:hAnsi="Microsoft JhengHei" w:cs="Microsoft JhengHei" w:eastAsia="Microsoft JhengHei" w:hint="default"/>
          <w:b/>
          <w:bCs/>
          <w:spacing w:val="-47"/>
          <w:sz w:val="21"/>
          <w:szCs w:val="21"/>
        </w:rPr>
        <w:t> </w:t>
      </w:r>
      <w:r>
        <w:rPr>
          <w:rFonts w:ascii="Microsoft JhengHei" w:hAnsi="Microsoft JhengHei" w:cs="Microsoft JhengHei" w:eastAsia="Microsoft JhengHei" w:hint="default"/>
          <w:b/>
          <w:bCs/>
          <w:spacing w:val="-47"/>
          <w:sz w:val="21"/>
          <w:szCs w:val="21"/>
        </w:rPr>
      </w:r>
      <w:r>
        <w:rPr>
          <w:rFonts w:ascii="宋体" w:hAnsi="宋体" w:cs="宋体" w:eastAsia="宋体" w:hint="default"/>
          <w:spacing w:val="-1"/>
          <w:sz w:val="21"/>
          <w:szCs w:val="21"/>
        </w:rPr>
        <w:t>我们的责任是在执行审计工作的基础上对财务报表发表审计意见。我们按照中国注册会计师审计准则</w:t>
      </w:r>
    </w:p>
    <w:p>
      <w:pPr>
        <w:spacing w:line="273" w:lineRule="auto" w:before="37"/>
        <w:ind w:left="154" w:right="0" w:firstLine="0"/>
        <w:jc w:val="left"/>
        <w:rPr>
          <w:rFonts w:ascii="宋体" w:hAnsi="宋体" w:cs="宋体" w:eastAsia="宋体" w:hint="default"/>
          <w:sz w:val="21"/>
          <w:szCs w:val="21"/>
        </w:rPr>
      </w:pPr>
      <w:r>
        <w:rPr>
          <w:rFonts w:ascii="宋体" w:hAnsi="宋体" w:cs="宋体" w:eastAsia="宋体" w:hint="default"/>
          <w:spacing w:val="-1"/>
          <w:sz w:val="21"/>
          <w:szCs w:val="21"/>
        </w:rPr>
        <w:t>的规定执行了审计工作。中国注册会计师审计准则要求我们遵守中国注册会计师职业道德守则，计划和执</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行审计工作以对财务报表是否不存在重大错报获取合理保证。</w:t>
      </w:r>
    </w:p>
    <w:p>
      <w:pPr>
        <w:spacing w:line="240" w:lineRule="auto" w:before="6"/>
        <w:rPr>
          <w:rFonts w:ascii="宋体" w:hAnsi="宋体" w:cs="宋体" w:eastAsia="宋体" w:hint="default"/>
          <w:sz w:val="24"/>
          <w:szCs w:val="24"/>
        </w:rPr>
      </w:pPr>
    </w:p>
    <w:p>
      <w:pPr>
        <w:spacing w:line="273" w:lineRule="auto" w:before="0"/>
        <w:ind w:left="154" w:right="151" w:firstLine="420"/>
        <w:jc w:val="both"/>
        <w:rPr>
          <w:rFonts w:ascii="宋体" w:hAnsi="宋体" w:cs="宋体" w:eastAsia="宋体" w:hint="default"/>
          <w:sz w:val="21"/>
          <w:szCs w:val="21"/>
        </w:rPr>
      </w:pPr>
      <w:r>
        <w:rPr>
          <w:rFonts w:ascii="宋体" w:hAnsi="宋体" w:cs="宋体" w:eastAsia="宋体" w:hint="default"/>
          <w:spacing w:val="-1"/>
          <w:sz w:val="21"/>
          <w:szCs w:val="21"/>
        </w:rPr>
        <w:t>审计工作涉及实施审计程序，以获取有关财务报表金额和披露的审计证据。选择的审计程序取决于注</w:t>
      </w:r>
      <w:r>
        <w:rPr>
          <w:rFonts w:ascii="宋体" w:hAnsi="宋体" w:cs="宋体" w:eastAsia="宋体" w:hint="default"/>
          <w:sz w:val="21"/>
          <w:szCs w:val="21"/>
        </w:rPr>
        <w:t> </w:t>
      </w:r>
      <w:r>
        <w:rPr>
          <w:rFonts w:ascii="宋体" w:hAnsi="宋体" w:cs="宋体" w:eastAsia="宋体" w:hint="default"/>
          <w:spacing w:val="-1"/>
          <w:sz w:val="21"/>
          <w:szCs w:val="21"/>
        </w:rPr>
        <w:t>册会计师的判断，包括对由于舞弊或错误导致的财务报表重大错报风险的评估。在进行风险评估时，注册</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会计师考虑与财务报表编制和公允列报相关的内部控制，以设计恰当的审计程序。审计工作还包括评价管</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理层选用会计政策的恰当性和作出会计估计的合理性，以及评价财务报表的总体列报。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87" w:lineRule="auto" w:before="158"/>
        <w:ind w:left="154" w:right="2002" w:firstLine="42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我们相信，我们获取的审计证据是充分、适当的，为发表审计意见提供了基础。 </w:t>
      </w:r>
      <w:r>
        <w:rPr>
          <w:rFonts w:ascii="Microsoft JhengHei" w:hAnsi="Microsoft JhengHei" w:cs="Microsoft JhengHei" w:eastAsia="Microsoft JhengHei" w:hint="default"/>
          <w:b/>
          <w:bCs/>
          <w:sz w:val="21"/>
          <w:szCs w:val="21"/>
        </w:rPr>
        <w:t>三、审计意见</w:t>
      </w:r>
      <w:r>
        <w:rPr>
          <w:rFonts w:ascii="Microsoft JhengHei" w:hAnsi="Microsoft JhengHei" w:cs="Microsoft JhengHei" w:eastAsia="Microsoft JhengHei" w:hint="default"/>
          <w:sz w:val="21"/>
          <w:szCs w:val="21"/>
        </w:rPr>
      </w:r>
    </w:p>
    <w:p>
      <w:pPr>
        <w:spacing w:before="37"/>
        <w:ind w:left="574" w:right="0" w:firstLine="0"/>
        <w:jc w:val="left"/>
        <w:rPr>
          <w:rFonts w:ascii="宋体" w:hAnsi="宋体" w:cs="宋体" w:eastAsia="宋体" w:hint="default"/>
          <w:sz w:val="21"/>
          <w:szCs w:val="21"/>
        </w:rPr>
      </w:pPr>
      <w:r>
        <w:rPr>
          <w:rFonts w:ascii="宋体" w:hAnsi="宋体" w:cs="宋体" w:eastAsia="宋体" w:hint="default"/>
          <w:sz w:val="21"/>
          <w:szCs w:val="21"/>
        </w:rPr>
        <w:t>我们认为，贵公司财务报表在所有重大方面按照企业会计准则的规定编制，公允反映了贵公司</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p>
    <w:p>
      <w:pPr>
        <w:spacing w:before="21"/>
        <w:ind w:left="15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日的合并及公司财务状况以及</w:t>
      </w:r>
      <w:r>
        <w:rPr>
          <w:rFonts w:ascii="Times New Roman" w:hAnsi="Times New Roman" w:cs="Times New Roman" w:eastAsia="Times New Roman" w:hint="default"/>
          <w:sz w:val="21"/>
          <w:szCs w:val="21"/>
        </w:rPr>
        <w:t>2015</w:t>
      </w:r>
      <w:r>
        <w:rPr>
          <w:rFonts w:ascii="宋体" w:hAnsi="宋体" w:cs="宋体" w:eastAsia="宋体" w:hint="default"/>
          <w:sz w:val="21"/>
          <w:szCs w:val="21"/>
        </w:rPr>
        <w:t>年度的合并及公司经营成果和现金流量。</w:t>
      </w:r>
    </w:p>
    <w:p>
      <w:pPr>
        <w:spacing w:after="0"/>
        <w:jc w:val="left"/>
        <w:rPr>
          <w:rFonts w:ascii="宋体" w:hAnsi="宋体" w:cs="宋体" w:eastAsia="宋体" w:hint="default"/>
          <w:sz w:val="21"/>
          <w:szCs w:val="21"/>
        </w:rPr>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5632" w:val="left" w:leader="none"/>
        </w:tabs>
        <w:spacing w:line="339" w:lineRule="exact" w:before="130"/>
        <w:ind w:left="719"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立信会计师事务所</w:t>
        <w:tab/>
        <w:t>中国注册会计师：王友业</w:t>
      </w:r>
      <w:r>
        <w:rPr>
          <w:rFonts w:ascii="Microsoft JhengHei" w:hAnsi="Microsoft JhengHei" w:cs="Microsoft JhengHei" w:eastAsia="Microsoft JhengHei" w:hint="default"/>
          <w:sz w:val="21"/>
          <w:szCs w:val="21"/>
        </w:rPr>
      </w:r>
    </w:p>
    <w:p>
      <w:pPr>
        <w:tabs>
          <w:tab w:pos="5812" w:val="left" w:leader="none"/>
        </w:tabs>
        <w:spacing w:line="339" w:lineRule="exact" w:before="0"/>
        <w:ind w:left="719"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（特殊普通合伙）</w:t>
        <w:tab/>
        <w:t>中国注册会计师：</w:t>
      </w:r>
      <w:r>
        <w:rPr>
          <w:rFonts w:ascii="Microsoft JhengHei" w:hAnsi="Microsoft JhengHei" w:cs="Microsoft JhengHei" w:eastAsia="Microsoft JhengHei" w:hint="default"/>
          <w:b/>
          <w:bCs/>
          <w:spacing w:val="43"/>
          <w:sz w:val="21"/>
          <w:szCs w:val="21"/>
        </w:rPr>
        <w:t> </w:t>
      </w:r>
      <w:r>
        <w:rPr>
          <w:rFonts w:ascii="Microsoft JhengHei" w:hAnsi="Microsoft JhengHei" w:cs="Microsoft JhengHei" w:eastAsia="Microsoft JhengHei" w:hint="default"/>
          <w:b/>
          <w:bCs/>
          <w:sz w:val="21"/>
          <w:szCs w:val="21"/>
        </w:rPr>
        <w:t>孙继伟</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1"/>
        <w:rPr>
          <w:rFonts w:ascii="Microsoft JhengHei" w:hAnsi="Microsoft JhengHei" w:cs="Microsoft JhengHei" w:eastAsia="Microsoft JhengHei" w:hint="default"/>
          <w:b/>
          <w:bCs/>
          <w:sz w:val="28"/>
          <w:szCs w:val="28"/>
        </w:rPr>
      </w:pPr>
    </w:p>
    <w:p>
      <w:pPr>
        <w:tabs>
          <w:tab w:pos="6503" w:val="left" w:leader="none"/>
        </w:tabs>
        <w:spacing w:before="0"/>
        <w:ind w:left="1287"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中国</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上海</w:t>
        <w:tab/>
        <w:t>二零一六年四月八日</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2"/>
          <w:szCs w:val="12"/>
        </w:rPr>
      </w:pPr>
    </w:p>
    <w:p>
      <w:pPr>
        <w:pStyle w:val="Heading2"/>
        <w:spacing w:line="240" w:lineRule="auto"/>
        <w:ind w:right="0"/>
        <w:jc w:val="left"/>
        <w:rPr>
          <w:b w:val="0"/>
          <w:bCs w:val="0"/>
        </w:rPr>
      </w:pPr>
      <w:r>
        <w:rPr/>
        <w:t>二、财务报表</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财务附注中报表的单位为：人民币元</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、合并资产负债表</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10" w:h="16840"/>
          <w:pgMar w:header="747" w:footer="979" w:top="1060" w:bottom="1160" w:left="980" w:right="98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编制单位：北京昆仑万维科技股份有限公司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0"/>
        <w:ind w:left="153" w:right="-1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980"/>
          <w:cols w:num="3" w:equalWidth="0">
            <w:col w:w="3575" w:space="503"/>
            <w:col w:w="1639" w:space="3203"/>
            <w:col w:w="103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1,047,811,978.64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704,825,166.03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01"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288,512,695.57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254,302,444.16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211,462,011.17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127,642,048.83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240,529,260.53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33,229,224.11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71,486,430.36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8,629,401.78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1,859,802,376.27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1,128,628,284.91</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1,128,458,691.17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160,580,373.69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581,554,981.10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25,271,425.57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30,813,873.38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12,470,725.18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15,100,545.15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888,850.39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138,183,314.31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119,379,338.86</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785,068.72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614,302.26</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141,957,731.60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12,237,527.35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2,028,681,937.65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339,614,811.08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3,888,484,313.92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1,468,243,095.99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247,823,862.19</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327,082,691.94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222,091,015.77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158,189,357.96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170,056,942.78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22,296,579.23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26,400,996.16</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44,509,492.50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30,261,110.25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199,511.24</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8,337,643.75</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374,944,337.55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4,364,549.74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1,183,383,476.36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453,174,614.70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1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25,081,883.65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3,162,916.62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25,081,883.65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3,162,916.62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1,208,465,360.01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456,337,531.32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1,127,230,993.00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873,311,461.04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163,376,650.19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265,305,390.00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-36,620,146.24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-7,584,722.86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78,717,825.46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70,747,271.94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902,684,210.65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575,366,365.40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2,680,018,953.91</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1,011,905,564.67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2,680,018,953.91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1,011,905,564.67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3,888,484,313.92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1,468,243,095.99</w:t>
            </w:r>
          </w:p>
        </w:tc>
      </w:tr>
    </w:tbl>
    <w:p>
      <w:pPr>
        <w:spacing w:line="240" w:lineRule="auto" w:before="3"/>
        <w:rPr>
          <w:rFonts w:ascii="Times New Roman" w:hAnsi="Times New Roman" w:cs="Times New Roman" w:eastAsia="Times New Roman" w:hint="default"/>
          <w:sz w:val="23"/>
          <w:szCs w:val="23"/>
        </w:rPr>
      </w:pPr>
    </w:p>
    <w:p>
      <w:pPr>
        <w:tabs>
          <w:tab w:pos="3574" w:val="left" w:leader="none"/>
          <w:tab w:pos="7715" w:val="left" w:leader="none"/>
        </w:tabs>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法定代表人：周亚辉</w:t>
        <w:tab/>
        <w:t>主管会计工作负责人：王立伟</w:t>
        <w:tab/>
        <w:t>会计机构负责人：马苓月</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、母公司资产负债表</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280,490,504.52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14,003,800.56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01"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19,982,865.13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21,052,956.00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34,865,286.49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10,585,503.79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255,580,921.96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146,193,321.09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585,283,467.31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281,295,875.65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69,814,532.15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310,067.48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1,246,017,577.56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473,441,524.57</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128,509,781.02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20,990,000.00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865,480,211.35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104,862,253.78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6,109,933.16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9,145,567.03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1,966,215.11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1,591,014.47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2,273,203.61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6,337,951.77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58,600,000.00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1,062,939,344.25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142,926,787.05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2,308,956,921.81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616,368,311.62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79,736,197.33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14,376,030.21</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3,316,771.50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2,537,461.00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3,683,909.22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4,056,507.81</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188,733.00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272,877.57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8,337,643.75</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267,425,378.89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20,423,096.00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362,688,633.69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41,665,972.59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1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362,688,633.69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41,665,972.59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1,127,230,993.00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1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872,907,178.22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162,972,367.37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265,305,390.00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78,717,825.46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70,747,271.94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132,717,681.44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130,982,699.72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1,946,268,288.12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574,702,339.03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2,308,956,921.81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616,368,311.62</w:t>
            </w:r>
          </w:p>
        </w:tc>
      </w:tr>
    </w:tbl>
    <w:p>
      <w:pPr>
        <w:spacing w:line="240" w:lineRule="auto" w:before="10"/>
        <w:rPr>
          <w:rFonts w:ascii="Times New Roman" w:hAnsi="Times New Roman" w:cs="Times New Roman" w:eastAsia="Times New Roman" w:hint="default"/>
          <w:sz w:val="21"/>
          <w:szCs w:val="21"/>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、合并利润表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081"/>
        <w:gridCol w:w="3210"/>
        <w:gridCol w:w="3277"/>
      </w:tblGrid>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shape style="position:absolute;margin-left:177.860001pt;margin-top:682.119995pt;width:193.1pt;height:19.650pt;mso-position-horizontal-relative:page;mso-position-vertical-relative:page;z-index:-965512"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号填列）</w:t>
                  </w:r>
                </w:p>
              </w:txbxContent>
            </v:textbox>
            <w10:wrap type="none"/>
          </v:shape>
        </w:pict>
      </w:r>
      <w:r>
        <w:rPr/>
        <w:pict>
          <v:group style="position:absolute;margin-left:210.979996pt;margin-top:561.519958pt;width:160pt;height:19.650pt;mso-position-horizontal-relative:page;mso-position-vertical-relative:page;z-index:-965488" coordorigin="4220,11230" coordsize="3200,393">
            <v:group style="position:absolute;left:7396;top:11230;width:23;height:393" coordorigin="7396,11230" coordsize="23,393">
              <v:shape style="position:absolute;left:7396;top:11230;width:23;height:393" coordorigin="7396,11230" coordsize="23,393" path="m7396,11623l7419,11623,7419,11230,7396,11230,7396,11623xe" filled="true" fillcolor="#ffffff" stroked="false">
                <v:path arrowok="t"/>
                <v:fill type="solid"/>
              </v:shape>
            </v:group>
            <v:group style="position:absolute;left:4220;top:11230;width:23;height:393" coordorigin="4220,11230" coordsize="23,393">
              <v:shape style="position:absolute;left:4220;top:11230;width:23;height:393" coordorigin="4220,11230" coordsize="23,393" path="m4220,11623l4242,11623,4242,11230,4220,11230,4220,11623xe" filled="true" fillcolor="#ffffff" stroked="false">
                <v:path arrowok="t"/>
                <v:fill type="solid"/>
              </v:shape>
            </v:group>
            <v:group style="position:absolute;left:4242;top:11230;width:3154;height:393" coordorigin="4242,11230" coordsize="3154,393">
              <v:shape style="position:absolute;left:4242;top:11230;width:3154;height:393" coordorigin="4242,11230" coordsize="3154,393" path="m4242,11623l7396,11623,7396,11230,4242,11230,4242,11623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080"/>
        <w:gridCol w:w="1060"/>
        <w:gridCol w:w="2151"/>
        <w:gridCol w:w="3278"/>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17" w:right="0"/>
              <w:jc w:val="left"/>
              <w:rPr>
                <w:rFonts w:ascii="Times New Roman" w:hAnsi="Times New Roman" w:cs="Times New Roman" w:eastAsia="Times New Roman" w:hint="default"/>
                <w:sz w:val="18"/>
                <w:szCs w:val="18"/>
              </w:rPr>
            </w:pPr>
            <w:r>
              <w:rPr>
                <w:rFonts w:ascii="Times New Roman"/>
                <w:sz w:val="18"/>
              </w:rPr>
              <w:t>1,789,140,564.52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1,934,145,769.25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17" w:right="0"/>
              <w:jc w:val="left"/>
              <w:rPr>
                <w:rFonts w:ascii="Times New Roman" w:hAnsi="Times New Roman" w:cs="Times New Roman" w:eastAsia="Times New Roman" w:hint="default"/>
                <w:sz w:val="18"/>
                <w:szCs w:val="18"/>
              </w:rPr>
            </w:pPr>
            <w:r>
              <w:rPr>
                <w:rFonts w:ascii="Times New Roman"/>
                <w:sz w:val="18"/>
              </w:rPr>
              <w:t>1,789,140,564.52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1,934,145,769.25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17" w:right="0"/>
              <w:jc w:val="left"/>
              <w:rPr>
                <w:rFonts w:ascii="Times New Roman" w:hAnsi="Times New Roman" w:cs="Times New Roman" w:eastAsia="Times New Roman" w:hint="default"/>
                <w:sz w:val="18"/>
                <w:szCs w:val="18"/>
              </w:rPr>
            </w:pPr>
            <w:r>
              <w:rPr>
                <w:rFonts w:ascii="Times New Roman"/>
                <w:sz w:val="18"/>
              </w:rPr>
              <w:t>1,545,385,603.52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1,610,626,246.30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698,615,340.93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598,145,060.84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5"/>
              <w:jc w:val="righ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4,887,060.83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3,995,932.93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682,282,412.25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714,801,372.92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8" w:right="0"/>
              <w:jc w:val="left"/>
              <w:rPr>
                <w:rFonts w:ascii="Times New Roman" w:hAnsi="Times New Roman" w:cs="Times New Roman" w:eastAsia="Times New Roman" w:hint="default"/>
                <w:sz w:val="18"/>
                <w:szCs w:val="18"/>
              </w:rPr>
            </w:pPr>
            <w:r>
              <w:rPr>
                <w:rFonts w:ascii="Times New Roman"/>
                <w:sz w:val="18"/>
              </w:rPr>
              <w:t>230,783,119.94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264,233,279.61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3" w:right="0"/>
              <w:jc w:val="left"/>
              <w:rPr>
                <w:rFonts w:ascii="Times New Roman" w:hAnsi="Times New Roman" w:cs="Times New Roman" w:eastAsia="Times New Roman" w:hint="default"/>
                <w:sz w:val="18"/>
                <w:szCs w:val="18"/>
              </w:rPr>
            </w:pPr>
            <w:r>
              <w:rPr>
                <w:rFonts w:ascii="Times New Roman"/>
                <w:sz w:val="18"/>
              </w:rPr>
              <w:t>-75,405,088.67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10,713,969.85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4,222,758.24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18,736,630.15</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53" w:right="0"/>
              <w:jc w:val="left"/>
              <w:rPr>
                <w:rFonts w:ascii="Times New Roman" w:hAnsi="Times New Roman" w:cs="Times New Roman" w:eastAsia="Times New Roman" w:hint="default"/>
                <w:sz w:val="18"/>
                <w:szCs w:val="18"/>
              </w:rPr>
            </w:pPr>
            <w:r>
              <w:rPr>
                <w:rFonts w:ascii="Times New Roman"/>
                <w:sz w:val="18"/>
              </w:rPr>
              <w:t>158,792,517.68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-13,824.04</w:t>
            </w:r>
            <w:r>
              <w:rPr>
                <w:rFonts w:ascii="Times New Roman"/>
                <w:sz w:val="18"/>
              </w:rPr>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-7,059,363.91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-13,824.04</w:t>
            </w:r>
            <w:r>
              <w:rPr>
                <w:rFonts w:ascii="Times New Roman"/>
                <w:sz w:val="18"/>
              </w:rPr>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5"/>
              <w:jc w:val="right"/>
              <w:rPr>
                <w:rFonts w:ascii="宋体" w:hAnsi="宋体" w:cs="宋体" w:eastAsia="宋体" w:hint="default"/>
                <w:sz w:val="18"/>
                <w:szCs w:val="18"/>
              </w:rPr>
            </w:pPr>
            <w:r>
              <w:rPr>
                <w:rFonts w:ascii="宋体" w:hAnsi="宋体" w:cs="宋体" w:eastAsia="宋体" w:hint="default"/>
                <w:spacing w:val="-1"/>
                <w:sz w:val="18"/>
                <w:szCs w:val="18"/>
              </w:rPr>
              <w:t>汇兑收益（损失以</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38" w:right="0"/>
              <w:jc w:val="left"/>
              <w:rPr>
                <w:rFonts w:ascii="宋体" w:hAnsi="宋体" w:cs="宋体" w:eastAsia="宋体" w:hint="default"/>
                <w:sz w:val="18"/>
                <w:szCs w:val="18"/>
              </w:rPr>
            </w:pPr>
            <w:r>
              <w:rPr>
                <w:rFonts w:ascii="宋体" w:hAnsi="宋体" w:cs="宋体" w:eastAsia="宋体" w:hint="default"/>
                <w:sz w:val="18"/>
                <w:szCs w:val="18"/>
              </w:rPr>
              <w:t>）</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402,547,478.68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323,505,698.91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14,451,787.09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6,951,643.42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5"/>
              <w:jc w:val="right"/>
              <w:rPr>
                <w:rFonts w:ascii="宋体" w:hAnsi="宋体" w:cs="宋体" w:eastAsia="宋体" w:hint="default"/>
                <w:sz w:val="18"/>
                <w:szCs w:val="18"/>
              </w:rPr>
            </w:pPr>
            <w:r>
              <w:rPr>
                <w:rFonts w:ascii="宋体" w:hAnsi="宋体" w:cs="宋体" w:eastAsia="宋体" w:hint="default"/>
                <w:sz w:val="18"/>
                <w:szCs w:val="18"/>
              </w:rPr>
              <w:t>其中：非流动资产处置利得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56,165.19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16,273.11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1,040,726.82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771,245.47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5"/>
              <w:jc w:val="righ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94,034.72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112,769.69</w:t>
            </w: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四、利润总额（亏损总额以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w:t>
            </w:r>
          </w:p>
        </w:tc>
        <w:tc>
          <w:tcPr>
            <w:tcW w:w="1060" w:type="dxa"/>
            <w:tcBorders>
              <w:top w:val="single" w:sz="4" w:space="0" w:color="000000"/>
              <w:left w:val="single" w:sz="9" w:space="0" w:color="FFFFFF"/>
              <w:bottom w:val="single" w:sz="4" w:space="0" w:color="000000"/>
              <w:right w:val="nil" w:sz="6" w:space="0" w:color="auto"/>
            </w:tcBorders>
          </w:tcPr>
          <w:p>
            <w:pPr/>
          </w:p>
        </w:tc>
        <w:tc>
          <w:tcPr>
            <w:tcW w:w="2151" w:type="dxa"/>
            <w:tcBorders>
              <w:top w:val="single" w:sz="4" w:space="0" w:color="000000"/>
              <w:left w:val="nil" w:sz="6" w:space="0" w:color="auto"/>
              <w:bottom w:val="single" w:sz="4" w:space="0" w:color="000000"/>
              <w:right w:val="single" w:sz="13" w:space="0" w:color="FFFFFF"/>
            </w:tcBorders>
          </w:tcPr>
          <w:p>
            <w:pPr>
              <w:pStyle w:val="TableParagraph"/>
              <w:spacing w:line="240" w:lineRule="auto" w:before="91"/>
              <w:ind w:left="997" w:right="0"/>
              <w:jc w:val="left"/>
              <w:rPr>
                <w:rFonts w:ascii="Times New Roman" w:hAnsi="Times New Roman" w:cs="Times New Roman" w:eastAsia="Times New Roman" w:hint="default"/>
                <w:sz w:val="18"/>
                <w:szCs w:val="18"/>
              </w:rPr>
            </w:pPr>
            <w:r>
              <w:rPr>
                <w:rFonts w:ascii="Times New Roman"/>
                <w:sz w:val="18"/>
              </w:rPr>
              <w:t>415,958,538.95</w:t>
            </w:r>
          </w:p>
        </w:tc>
        <w:tc>
          <w:tcPr>
            <w:tcW w:w="3278"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329,686,096.86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10,670,140.18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3,303,820.04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405,288,398.77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326,382,276.82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405,288,398.77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326,382,276.82</w:t>
            </w:r>
          </w:p>
        </w:tc>
      </w:tr>
    </w:tbl>
    <w:p>
      <w:pPr>
        <w:spacing w:after="0" w:line="240" w:lineRule="auto"/>
        <w:jc w:val="right"/>
        <w:rPr>
          <w:rFonts w:ascii="Times New Roman" w:hAnsi="Times New Roman" w:cs="Times New Roman" w:eastAsia="Times New Roman" w:hint="default"/>
          <w:sz w:val="18"/>
          <w:szCs w:val="18"/>
        </w:rPr>
        <w:sectPr>
          <w:footerReference w:type="default" r:id="rId47"/>
          <w:pgSz w:w="11910" w:h="16840"/>
          <w:pgMar w:footer="979" w:header="747"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081"/>
        <w:gridCol w:w="3210"/>
        <w:gridCol w:w="3278"/>
      </w:tblGrid>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-29,035,423.38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-2,909,497.10</w:t>
            </w: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6"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-29,035,423.38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-2,909,497.10</w:t>
            </w: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firstLine="342"/>
              <w:jc w:val="left"/>
              <w:rPr>
                <w:rFonts w:ascii="宋体" w:hAnsi="宋体" w:cs="宋体" w:eastAsia="宋体" w:hint="default"/>
                <w:sz w:val="18"/>
                <w:szCs w:val="18"/>
              </w:rPr>
            </w:pPr>
            <w:r>
              <w:rPr>
                <w:rFonts w:ascii="宋体" w:hAnsi="宋体" w:cs="宋体" w:eastAsia="宋体" w:hint="default"/>
                <w:spacing w:val="-2"/>
                <w:sz w:val="18"/>
                <w:szCs w:val="18"/>
              </w:rPr>
              <w:t>（一）以后不能重分类进损益的其</w:t>
            </w:r>
            <w:r>
              <w:rPr>
                <w:rFonts w:ascii="宋体" w:hAnsi="宋体" w:cs="宋体" w:eastAsia="宋体" w:hint="default"/>
                <w:sz w:val="18"/>
                <w:szCs w:val="18"/>
              </w:rPr>
              <w:t> 他综合收益</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 有的份额</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firstLine="342"/>
              <w:jc w:val="left"/>
              <w:rPr>
                <w:rFonts w:ascii="宋体" w:hAnsi="宋体" w:cs="宋体" w:eastAsia="宋体" w:hint="default"/>
                <w:sz w:val="18"/>
                <w:szCs w:val="18"/>
              </w:rPr>
            </w:pPr>
            <w:r>
              <w:rPr>
                <w:rFonts w:ascii="宋体" w:hAnsi="宋体" w:cs="宋体" w:eastAsia="宋体" w:hint="default"/>
                <w:spacing w:val="-2"/>
                <w:sz w:val="18"/>
                <w:szCs w:val="18"/>
              </w:rPr>
              <w:t>（二）以后将重分类进损益的其他</w:t>
            </w:r>
            <w:r>
              <w:rPr>
                <w:rFonts w:ascii="宋体" w:hAnsi="宋体" w:cs="宋体" w:eastAsia="宋体" w:hint="default"/>
                <w:sz w:val="18"/>
                <w:szCs w:val="18"/>
              </w:rPr>
              <w:t> 综合收益</w:t>
            </w:r>
          </w:p>
        </w:tc>
        <w:tc>
          <w:tcPr>
            <w:tcW w:w="3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-29,035,423.38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-2,909,497.10</w:t>
            </w:r>
          </w:p>
        </w:tc>
      </w:tr>
      <w:tr>
        <w:trPr>
          <w:trHeight w:val="1026"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 享有的份额</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11"/>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-29,035,423.38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-2,909,497.10</w:t>
            </w: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6"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10"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376,252,975.39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323,472,779.72</w:t>
            </w:r>
          </w:p>
        </w:tc>
      </w:tr>
      <w:tr>
        <w:trPr>
          <w:trHeight w:val="714"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6"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376,252,975.39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323,472,779.72</w:t>
            </w: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6"/>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0.39</w:t>
            </w:r>
          </w:p>
        </w:tc>
      </w:tr>
      <w:tr>
        <w:trPr>
          <w:trHeight w:val="402" w:hRule="exact"/>
        </w:trPr>
        <w:tc>
          <w:tcPr>
            <w:tcW w:w="3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0.39</w:t>
            </w:r>
          </w:p>
        </w:tc>
      </w:tr>
    </w:tbl>
    <w:p>
      <w:pPr>
        <w:tabs>
          <w:tab w:pos="3574" w:val="left" w:leader="none"/>
          <w:tab w:pos="7715" w:val="left" w:leader="none"/>
        </w:tabs>
        <w:spacing w:line="624" w:lineRule="auto" w:before="51"/>
        <w:ind w:left="154" w:right="249"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本期发生同一控制下企业合并的，被合并方在合并前实现的净利润为：元，上期被合并方实现的净利润为：元。 法定代表人：周亚辉</w:t>
        <w:tab/>
        <w:t>主管会计工作负责人：王立伟</w:t>
        <w:tab/>
        <w:t>会计机构负责人：马苓月</w:t>
      </w:r>
    </w:p>
    <w:p>
      <w:pPr>
        <w:spacing w:after="0" w:line="624" w:lineRule="auto"/>
        <w:jc w:val="left"/>
        <w:rPr>
          <w:rFonts w:ascii="宋体" w:hAnsi="宋体" w:cs="宋体" w:eastAsia="宋体" w:hint="default"/>
          <w:sz w:val="18"/>
          <w:szCs w:val="18"/>
        </w:rPr>
        <w:sectPr>
          <w:footerReference w:type="default" r:id="rId48"/>
          <w:pgSz w:w="11910" w:h="16840"/>
          <w:pgMar w:footer="979" w:header="747" w:top="1060" w:bottom="1160" w:left="980" w:right="980"/>
          <w:pgNumType w:start="101"/>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、母公司利润表</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13,580,047.03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43,698,135.19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2,779,302.31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3,534,914.58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394,228.46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568,152.77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7,717,794.21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11,653,162.32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100,426,477.03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49,101,203.62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-9,965,281.05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434,741.30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-9,486,153.66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7,257,692.61</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156,575,593.21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219,979,745.34</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53"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-2,379,079.40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78,289,272.94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191,128,013.33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1,697,804.38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4,294,571.17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其中：非流动资产处置利得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24,052.75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10,789.15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281,542.08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110,468.91</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81,542.08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110,468.91</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79,705,535.24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195,312,115.59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1,302,790.24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79,705,535.24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194,009,325.35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53"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净负债或净资产的变动</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22" w:right="53"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 不能重分类进损益的其他综合收益中 享有的份额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53" w:firstLine="360"/>
              <w:jc w:val="left"/>
              <w:rPr>
                <w:rFonts w:ascii="宋体" w:hAnsi="宋体" w:cs="宋体" w:eastAsia="宋体" w:hint="default"/>
                <w:sz w:val="18"/>
                <w:szCs w:val="18"/>
              </w:rPr>
            </w:pPr>
            <w:r>
              <w:rPr>
                <w:rFonts w:ascii="宋体" w:hAnsi="宋体" w:cs="宋体" w:eastAsia="宋体" w:hint="default"/>
                <w:sz w:val="18"/>
                <w:szCs w:val="18"/>
              </w:rPr>
              <w:t>（二）以后将重分类进损益的其 他综合收益</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98"/>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权益法下在被投资单位</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67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53"/>
              <w:jc w:val="left"/>
              <w:rPr>
                <w:rFonts w:ascii="宋体" w:hAnsi="宋体" w:cs="宋体" w:eastAsia="宋体" w:hint="default"/>
                <w:sz w:val="18"/>
                <w:szCs w:val="18"/>
              </w:rPr>
            </w:pPr>
            <w:r>
              <w:rPr>
                <w:rFonts w:ascii="宋体" w:hAnsi="宋体" w:cs="宋体" w:eastAsia="宋体" w:hint="default"/>
                <w:sz w:val="18"/>
                <w:szCs w:val="18"/>
              </w:rPr>
              <w:t>以后将重分类进损益的其他综合收益 中享有的份额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79,705,535.24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194,009,325.35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、合并现金流量表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2"/>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1,471,095,317.09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1,549,753,083.39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2"/>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52"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2"/>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2"/>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195,609,888.20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56,913,564.39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1,666,705,205.29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1,606,666,647.78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754,889,162.87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638,641,957.88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176,882,387.75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177,590,616.17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39,195,654.93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45,803,861.95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503,584,684.64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347,829,992.71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1,474,551,890.19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1,209,866,428.71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192,153,315.10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396,800,219.07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808,335,824.98</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4,505,602.71</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369,811.46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322,138.55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137,473,950.35</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950,685,189.50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322,138.55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8,554,766.47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31,326,632.15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2,415,017,901.70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147,027,237.15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46,080.12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171,439,304.84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12,293,530.43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2,595,011,973.01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190,693,479.85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-1,644,326,783.51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-190,371,341.30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1,605,840,385.51</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239,464,073.04</w:t>
            </w: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1,845,304,458.55</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64,873,857.63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165,000,000.00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61,035,083.35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1,640,010.20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125,908,940.98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166,640,010.20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1,719,395,517.57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-166,640,010.20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22,764,763.45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5,373,692.91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289,986,812.61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45,162,560.48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704,825,166.03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659,662,605.55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994,811,978.64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704,825,166.03</w:t>
            </w:r>
          </w:p>
        </w:tc>
      </w:tr>
    </w:tbl>
    <w:p>
      <w:pPr>
        <w:spacing w:line="240" w:lineRule="auto" w:before="10"/>
        <w:rPr>
          <w:rFonts w:ascii="Times New Roman" w:hAnsi="Times New Roman" w:cs="Times New Roman" w:eastAsia="Times New Roman" w:hint="default"/>
          <w:sz w:val="21"/>
          <w:szCs w:val="21"/>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、母公司现金流量表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21,734,923.62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96,386,567.29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289,961,210.33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306,016,788.74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311,696,133.95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402,403,356.03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35,284,016.42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3,803,625.47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21,836,295.04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27,046,964.22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5,093,049.88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1,635,983.28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578,290,127.89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271,094,780.09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640,503,489.23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303,581,353.06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-328,807,355.28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98,822,002.97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408,335,824.98</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1,531,465.74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24,209,375.00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130,700.44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321,838.55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534,997,991.16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24,531,213.55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1,335,298.50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1,781,286.12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662,920,000.00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20,990,000.00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671,497,036.97</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140,132,588.68</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1,475,884,924.15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22,771,286.12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-940,886,932.99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1,759,927.43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1,605,805,390.00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1,605,805,390.00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61,662,356.25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61,035,083.35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1,640,010.20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122,697,439.60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166,640,010.20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1,483,107,950.40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-166,640,010.20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73,041.83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-252,900.21</w:t>
            </w:r>
            <w:r>
              <w:rPr>
                <w:rFonts w:ascii="Times New Roman"/>
                <w:sz w:val="18"/>
              </w:rPr>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213,486,703.96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-66,310,980.01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14,003,800.56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80,314,780.57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227,490,504.52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14,003,800.56</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、合并所有者权益变动表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681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319" w:lineRule="auto"/>
              <w:ind w:left="56" w:right="5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319" w:lineRule="auto"/>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5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9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9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316" w:lineRule="auto"/>
              <w:ind w:left="236" w:right="5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316" w:lineRule="auto"/>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316" w:lineRule="auto"/>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316" w:lineRule="auto"/>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316" w:lineRule="auto"/>
              <w:ind w:left="236" w:right="57"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316" w:lineRule="auto"/>
              <w:ind w:left="57" w:right="56"/>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316" w:lineRule="auto"/>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714"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563"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70" w:right="7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4" w:type="dxa"/>
            <w:vMerge/>
            <w:tcBorders>
              <w:left w:val="single" w:sz="4" w:space="0" w:color="000000"/>
              <w:bottom w:val="single" w:sz="4" w:space="0" w:color="000000"/>
              <w:right w:val="single" w:sz="4" w:space="0" w:color="000000"/>
            </w:tcBorders>
            <w:shd w:val="clear" w:color="auto" w:fill="D2D2D2"/>
          </w:tcPr>
          <w:p>
            <w:pPr/>
          </w:p>
        </w:tc>
        <w:tc>
          <w:tcPr>
            <w:tcW w:w="666"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210,00</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163,376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,650.19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-7,584,7</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22.86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70,747,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271.94</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575,366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,365.40</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1,011,9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05,564.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67</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3"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210,00</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163,376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,650.19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-7,584,7</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22.86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70,747,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271.94</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575,366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,365.40</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1,011,9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05,564.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67</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917,23</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0,993.</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709,934</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,810.85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265,305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,390.00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-29,035,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423.38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8" w:right="0"/>
              <w:jc w:val="center"/>
              <w:rPr>
                <w:rFonts w:ascii="Times New Roman" w:hAnsi="Times New Roman" w:cs="Times New Roman" w:eastAsia="Times New Roman" w:hint="default"/>
                <w:sz w:val="18"/>
                <w:szCs w:val="18"/>
              </w:rPr>
            </w:pPr>
            <w:r>
              <w:rPr>
                <w:rFonts w:ascii="Times New Roman"/>
                <w:sz w:val="18"/>
              </w:rPr>
              <w:t>7,970,5</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53.52</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327,317</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,845.25</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1,668,1</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13,389.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24</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-29,035,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423.38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405,288</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,398.77</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376,252</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,975.39</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77,231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1,549,9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34,803.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265,305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,390.00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1,361,8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60,413.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85</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1,260,3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79,600.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1,330,3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79,600.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7,231,</w:t>
            </w:r>
          </w:p>
          <w:p>
            <w:pPr>
              <w:pStyle w:val="TableParagraph"/>
              <w:spacing w:line="240" w:lineRule="auto" w:before="106"/>
              <w:ind w:left="35" w:right="0"/>
              <w:jc w:val="left"/>
              <w:rPr>
                <w:rFonts w:ascii="Times New Roman" w:hAnsi="Times New Roman" w:cs="Times New Roman" w:eastAsia="Times New Roman" w:hint="default"/>
                <w:sz w:val="18"/>
                <w:szCs w:val="18"/>
              </w:rPr>
            </w:pPr>
            <w:r>
              <w:rPr>
                <w:rFonts w:ascii="Times New Roman"/>
                <w:sz w:val="18"/>
              </w:rPr>
              <w:t>000.00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289,555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,203.85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265,305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,390.00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31,480,</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813.85</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 w:right="0"/>
              <w:jc w:val="center"/>
              <w:rPr>
                <w:rFonts w:ascii="Times New Roman" w:hAnsi="Times New Roman" w:cs="Times New Roman" w:eastAsia="Times New Roman" w:hint="default"/>
                <w:sz w:val="18"/>
                <w:szCs w:val="18"/>
              </w:rPr>
            </w:pPr>
            <w:r>
              <w:rPr>
                <w:rFonts w:ascii="Times New Roman"/>
                <w:sz w:val="18"/>
              </w:rPr>
              <w:t>7,970,5</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53.52</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-77,970,</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553.52</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-70,000,</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 w:right="0"/>
              <w:jc w:val="center"/>
              <w:rPr>
                <w:rFonts w:ascii="Times New Roman" w:hAnsi="Times New Roman" w:cs="Times New Roman" w:eastAsia="Times New Roman" w:hint="default"/>
                <w:sz w:val="18"/>
                <w:szCs w:val="18"/>
              </w:rPr>
            </w:pPr>
            <w:r>
              <w:rPr>
                <w:rFonts w:ascii="Times New Roman"/>
                <w:sz w:val="18"/>
              </w:rPr>
              <w:t>7,970,5</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53.52</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-7,970,5</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53.52</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-70,000,</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-70,000,</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000.00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839,99</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9,993.</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-839,99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9,993.0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839,99</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9,993.</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-839,99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9,993.0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1,127,</w:t>
            </w:r>
          </w:p>
          <w:p>
            <w:pPr>
              <w:pStyle w:val="TableParagraph"/>
              <w:spacing w:line="240" w:lineRule="auto" w:before="105"/>
              <w:ind w:left="14" w:right="0"/>
              <w:jc w:val="center"/>
              <w:rPr>
                <w:rFonts w:ascii="Times New Roman" w:hAnsi="Times New Roman" w:cs="Times New Roman" w:eastAsia="Times New Roman" w:hint="default"/>
                <w:sz w:val="18"/>
                <w:szCs w:val="18"/>
              </w:rPr>
            </w:pPr>
            <w:r>
              <w:rPr>
                <w:rFonts w:ascii="Times New Roman"/>
                <w:sz w:val="18"/>
              </w:rPr>
              <w:t>230,99</w:t>
            </w:r>
          </w:p>
          <w:p>
            <w:pPr>
              <w:pStyle w:val="TableParagraph"/>
              <w:spacing w:line="240" w:lineRule="auto" w:before="106"/>
              <w:ind w:left="194" w:right="0"/>
              <w:jc w:val="center"/>
              <w:rPr>
                <w:rFonts w:ascii="Times New Roman" w:hAnsi="Times New Roman" w:cs="Times New Roman" w:eastAsia="Times New Roman" w:hint="default"/>
                <w:sz w:val="18"/>
                <w:szCs w:val="18"/>
              </w:rPr>
            </w:pPr>
            <w:r>
              <w:rPr>
                <w:rFonts w:ascii="Times New Roman"/>
                <w:sz w:val="18"/>
              </w:rPr>
              <w:t>3.00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873,311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,461.04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265,305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,390.00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-36,620,</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146.24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78,717,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825.46</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902,684</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,210.65</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2,680,0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18,953.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91</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38"/>
        <w:gridCol w:w="562"/>
        <w:gridCol w:w="530"/>
        <w:gridCol w:w="532"/>
        <w:gridCol w:w="530"/>
        <w:gridCol w:w="665"/>
        <w:gridCol w:w="665"/>
        <w:gridCol w:w="665"/>
        <w:gridCol w:w="665"/>
        <w:gridCol w:w="665"/>
        <w:gridCol w:w="665"/>
        <w:gridCol w:w="678"/>
        <w:gridCol w:w="652"/>
        <w:gridCol w:w="659"/>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6822"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316" w:lineRule="auto"/>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316" w:lineRule="auto"/>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9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237" w:right="5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236" w:right="57"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56" w:right="56"/>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713"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78" w:type="dxa"/>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4" w:right="0"/>
              <w:jc w:val="left"/>
              <w:rPr>
                <w:rFonts w:ascii="Times New Roman" w:hAnsi="Times New Roman" w:cs="Times New Roman" w:eastAsia="Times New Roman" w:hint="default"/>
                <w:sz w:val="18"/>
                <w:szCs w:val="18"/>
              </w:rPr>
            </w:pPr>
            <w:r>
              <w:rPr>
                <w:rFonts w:ascii="Times New Roman"/>
                <w:sz w:val="18"/>
              </w:rPr>
              <w:t>210,00</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163,376</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,650.19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-4,675,2</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25.76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51,346,</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339.40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433,385</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,021.12</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853,432</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,784.95</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743" w:right="0"/>
              <w:jc w:val="left"/>
              <w:rPr>
                <w:rFonts w:ascii="宋体" w:hAnsi="宋体" w:cs="宋体" w:eastAsia="宋体" w:hint="default"/>
                <w:sz w:val="18"/>
                <w:szCs w:val="18"/>
              </w:rPr>
            </w:pPr>
            <w:r>
              <w:rPr>
                <w:rFonts w:ascii="宋体" w:hAnsi="宋体" w:cs="宋体" w:eastAsia="宋体" w:hint="default"/>
                <w:sz w:val="18"/>
                <w:szCs w:val="18"/>
              </w:rPr>
              <w:t>同一控</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制下企业合并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210,00</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163,376</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,650.19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-4,675,2</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25.76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51,346,</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339.40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433,385</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,021.12</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853,432</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,784.95</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-2,909,4</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97.10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19,400,</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932.54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141,981</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,344.28</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158,472</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,779.72</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-2,909,4</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97.10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326,382</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,276.82</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323,472</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,779.72</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19,400,</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932.54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-184,40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0,932.5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-165,00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19,400,</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932.54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-19,400,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932.54</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-165,00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-165,00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210,00</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163,376</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,650.19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-7,584,7</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22.86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70,747,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271.94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575,366</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,365.40</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1,011,9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05,564.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67</w:t>
            </w:r>
          </w:p>
        </w:tc>
      </w:tr>
    </w:tbl>
    <w:p>
      <w:pPr>
        <w:spacing w:line="240" w:lineRule="auto" w:before="10"/>
        <w:rPr>
          <w:rFonts w:ascii="Times New Roman" w:hAnsi="Times New Roman" w:cs="Times New Roman" w:eastAsia="Times New Roman" w:hint="default"/>
          <w:sz w:val="21"/>
          <w:szCs w:val="21"/>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、母公司所有者权益变动表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402" w:hRule="exact"/>
        </w:trPr>
        <w:tc>
          <w:tcPr>
            <w:tcW w:w="14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442"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402"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210,000,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162,972,3</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67.37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70,747,27</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1.94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130,982</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,699.72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574,702,3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39.03</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3"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210,000,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162,972,3</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67.37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70,747,27</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1.94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130,982</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,699.72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574,702,3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39.03</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917,230,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993.00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709,934,8</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10.85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265,305,3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90.00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7,970,553</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.52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1" w:right="0"/>
              <w:jc w:val="center"/>
              <w:rPr>
                <w:rFonts w:ascii="Times New Roman" w:hAnsi="Times New Roman" w:cs="Times New Roman" w:eastAsia="Times New Roman" w:hint="default"/>
                <w:sz w:val="18"/>
                <w:szCs w:val="18"/>
              </w:rPr>
            </w:pPr>
            <w:r>
              <w:rPr>
                <w:rFonts w:ascii="Times New Roman"/>
                <w:sz w:val="18"/>
              </w:rPr>
              <w:t>1,734,9</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81.72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1,371,565</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,949.09</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79,705,</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535.24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79,705,53</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5.24</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77,231,0</w:t>
            </w:r>
          </w:p>
          <w:p>
            <w:pPr>
              <w:pStyle w:val="TableParagraph"/>
              <w:spacing w:line="240" w:lineRule="auto" w:before="106"/>
              <w:ind w:left="253" w:right="0"/>
              <w:jc w:val="left"/>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1,549,934</w:t>
            </w:r>
          </w:p>
          <w:p>
            <w:pPr>
              <w:pStyle w:val="TableParagraph"/>
              <w:spacing w:line="240" w:lineRule="auto" w:before="106"/>
              <w:ind w:left="202" w:right="0"/>
              <w:jc w:val="center"/>
              <w:rPr>
                <w:rFonts w:ascii="Times New Roman" w:hAnsi="Times New Roman" w:cs="Times New Roman" w:eastAsia="Times New Roman" w:hint="default"/>
                <w:sz w:val="18"/>
                <w:szCs w:val="18"/>
              </w:rPr>
            </w:pPr>
            <w:r>
              <w:rPr>
                <w:rFonts w:ascii="Times New Roman"/>
                <w:sz w:val="18"/>
              </w:rPr>
              <w:t>,803.85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265,305,3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90.00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1,361,860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,413.85</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70,000,0</w:t>
            </w:r>
          </w:p>
          <w:p>
            <w:pPr>
              <w:pStyle w:val="TableParagraph"/>
              <w:spacing w:line="240" w:lineRule="auto" w:before="106"/>
              <w:ind w:left="253" w:right="0"/>
              <w:jc w:val="left"/>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1,260,379</w:t>
            </w:r>
          </w:p>
          <w:p>
            <w:pPr>
              <w:pStyle w:val="TableParagraph"/>
              <w:spacing w:line="240" w:lineRule="auto" w:before="106"/>
              <w:ind w:left="202" w:right="0"/>
              <w:jc w:val="center"/>
              <w:rPr>
                <w:rFonts w:ascii="Times New Roman" w:hAnsi="Times New Roman" w:cs="Times New Roman" w:eastAsia="Times New Roman" w:hint="default"/>
                <w:sz w:val="18"/>
                <w:szCs w:val="18"/>
              </w:rPr>
            </w:pPr>
            <w:r>
              <w:rPr>
                <w:rFonts w:ascii="Times New Roman"/>
                <w:sz w:val="18"/>
              </w:rPr>
              <w:t>,600.00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1,330,379</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,600.00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7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7,231,00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289,555,2</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03.85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265,305,3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90.00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31,480,81</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3.85</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7,970,553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-77,970,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553.52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-70,000,0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7,970,553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-7,970,5</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53.52</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-70,000,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000.00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-70,000,0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839,999,</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993.00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-839,999,</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993.00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839,999,</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993.00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-839,999,</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993.00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1,127,23</w:t>
            </w:r>
          </w:p>
          <w:p>
            <w:pPr>
              <w:pStyle w:val="TableParagraph"/>
              <w:spacing w:line="240" w:lineRule="auto" w:before="105"/>
              <w:ind w:left="27" w:right="0"/>
              <w:jc w:val="left"/>
              <w:rPr>
                <w:rFonts w:ascii="Times New Roman" w:hAnsi="Times New Roman" w:cs="Times New Roman" w:eastAsia="Times New Roman" w:hint="default"/>
                <w:sz w:val="18"/>
                <w:szCs w:val="18"/>
              </w:rPr>
            </w:pPr>
            <w:r>
              <w:rPr>
                <w:rFonts w:ascii="Times New Roman"/>
                <w:sz w:val="18"/>
              </w:rPr>
              <w:t>0,993.00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872,907,1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78.22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265,305,3</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90.00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78,717,82</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5.46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132,717</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,681.44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1,946,268</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,288.12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402" w:hRule="exact"/>
        </w:trPr>
        <w:tc>
          <w:tcPr>
            <w:tcW w:w="14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42"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402"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210,000,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162,972,3</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67.37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51,346,33</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9.40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121,374</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,306.91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545,693,0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13.68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3"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7" w:right="0"/>
              <w:jc w:val="left"/>
              <w:rPr>
                <w:rFonts w:ascii="Times New Roman" w:hAnsi="Times New Roman" w:cs="Times New Roman" w:eastAsia="Times New Roman" w:hint="default"/>
                <w:sz w:val="18"/>
                <w:szCs w:val="18"/>
              </w:rPr>
            </w:pPr>
            <w:r>
              <w:rPr>
                <w:rFonts w:ascii="Times New Roman"/>
                <w:sz w:val="18"/>
              </w:rPr>
              <w:t>210,000,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162,972,3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51,346,33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58" w:right="0"/>
              <w:jc w:val="left"/>
              <w:rPr>
                <w:rFonts w:ascii="Times New Roman" w:hAnsi="Times New Roman" w:cs="Times New Roman" w:eastAsia="Times New Roman" w:hint="default"/>
                <w:sz w:val="18"/>
                <w:szCs w:val="18"/>
              </w:rPr>
            </w:pPr>
            <w:r>
              <w:rPr>
                <w:rFonts w:ascii="Times New Roman"/>
                <w:sz w:val="18"/>
              </w:rPr>
              <w:t>121,374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7" w:right="0"/>
              <w:jc w:val="left"/>
              <w:rPr>
                <w:rFonts w:ascii="Times New Roman" w:hAnsi="Times New Roman" w:cs="Times New Roman" w:eastAsia="Times New Roman" w:hint="default"/>
                <w:sz w:val="18"/>
                <w:szCs w:val="18"/>
              </w:rPr>
            </w:pPr>
            <w:r>
              <w:rPr>
                <w:rFonts w:ascii="Times New Roman"/>
                <w:sz w:val="18"/>
              </w:rPr>
              <w:t>545,693,0</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3" w:right="0"/>
              <w:jc w:val="left"/>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9" w:right="0"/>
              <w:jc w:val="left"/>
              <w:rPr>
                <w:rFonts w:ascii="Times New Roman" w:hAnsi="Times New Roman" w:cs="Times New Roman" w:eastAsia="Times New Roman" w:hint="default"/>
                <w:sz w:val="18"/>
                <w:szCs w:val="18"/>
              </w:rPr>
            </w:pPr>
            <w:r>
              <w:rPr>
                <w:rFonts w:ascii="Times New Roman"/>
                <w:sz w:val="18"/>
              </w:rPr>
              <w:t>67.37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9" w:right="0"/>
              <w:jc w:val="left"/>
              <w:rPr>
                <w:rFonts w:ascii="Times New Roman" w:hAnsi="Times New Roman" w:cs="Times New Roman" w:eastAsia="Times New Roman" w:hint="default"/>
                <w:sz w:val="18"/>
                <w:szCs w:val="18"/>
              </w:rPr>
            </w:pPr>
            <w:r>
              <w:rPr>
                <w:rFonts w:ascii="Times New Roman"/>
                <w:sz w:val="18"/>
              </w:rPr>
              <w:t>9.40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z w:val="18"/>
              </w:rPr>
              <w:t>,306.91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Times New Roman" w:hAnsi="Times New Roman" w:cs="Times New Roman" w:eastAsia="Times New Roman" w:hint="default"/>
                <w:sz w:val="18"/>
                <w:szCs w:val="18"/>
              </w:rPr>
            </w:pPr>
            <w:r>
              <w:rPr>
                <w:rFonts w:ascii="Times New Roman"/>
                <w:sz w:val="18"/>
              </w:rPr>
              <w:t>13.68</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19,400,93</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2.54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1" w:right="0"/>
              <w:jc w:val="center"/>
              <w:rPr>
                <w:rFonts w:ascii="Times New Roman" w:hAnsi="Times New Roman" w:cs="Times New Roman" w:eastAsia="Times New Roman" w:hint="default"/>
                <w:sz w:val="18"/>
                <w:szCs w:val="18"/>
              </w:rPr>
            </w:pPr>
            <w:r>
              <w:rPr>
                <w:rFonts w:ascii="Times New Roman"/>
                <w:sz w:val="18"/>
              </w:rPr>
              <w:t>9,608,3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92.81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29,009,32</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5.35</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194,009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,325.35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194,009,3</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25.35</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19,400,93</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2.54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-184,40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0,932.5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-165,000,</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19,400,93</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2.54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-19,400,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932.54</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-165,00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-165,000,</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000.00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210,000,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162,972,3</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67.37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70,747,27</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1.94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130,982</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,699.72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574,702,3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39.03</w:t>
            </w:r>
          </w:p>
        </w:tc>
      </w:tr>
    </w:tbl>
    <w:p>
      <w:pPr>
        <w:spacing w:line="240" w:lineRule="auto" w:before="8"/>
        <w:rPr>
          <w:rFonts w:ascii="Times New Roman" w:hAnsi="Times New Roman" w:cs="Times New Roman" w:eastAsia="Times New Roman" w:hint="default"/>
          <w:sz w:val="20"/>
          <w:szCs w:val="20"/>
        </w:rPr>
      </w:pPr>
    </w:p>
    <w:p>
      <w:pPr>
        <w:pStyle w:val="Heading2"/>
        <w:spacing w:line="367" w:lineRule="exact"/>
        <w:ind w:right="0"/>
        <w:jc w:val="left"/>
        <w:rPr>
          <w:b w:val="0"/>
          <w:bCs w:val="0"/>
        </w:rPr>
      </w:pPr>
      <w:r>
        <w:rPr/>
        <w:t>三、公司基本情况</w:t>
      </w:r>
      <w:r>
        <w:rPr>
          <w:b w:val="0"/>
          <w:bCs w:val="0"/>
        </w:rPr>
      </w:r>
    </w:p>
    <w:p>
      <w:pPr>
        <w:spacing w:line="240" w:lineRule="auto" w:before="15"/>
        <w:rPr>
          <w:rFonts w:ascii="Microsoft JhengHei" w:hAnsi="Microsoft JhengHei" w:cs="Microsoft JhengHei" w:eastAsia="Microsoft JhengHei" w:hint="default"/>
          <w:b/>
          <w:bCs/>
          <w:sz w:val="16"/>
          <w:szCs w:val="16"/>
        </w:rPr>
      </w:pPr>
    </w:p>
    <w:p>
      <w:pPr>
        <w:spacing w:line="261" w:lineRule="auto" w:before="0"/>
        <w:ind w:left="154" w:right="159" w:firstLine="420"/>
        <w:jc w:val="left"/>
        <w:rPr>
          <w:rFonts w:ascii="宋体" w:hAnsi="宋体" w:cs="宋体" w:eastAsia="宋体" w:hint="default"/>
          <w:sz w:val="21"/>
          <w:szCs w:val="21"/>
        </w:rPr>
      </w:pPr>
      <w:r>
        <w:rPr>
          <w:rFonts w:ascii="宋体" w:hAnsi="宋体" w:cs="宋体" w:eastAsia="宋体" w:hint="default"/>
          <w:sz w:val="21"/>
          <w:szCs w:val="21"/>
        </w:rPr>
        <w:t>北京昆仑万维科技股份有限公司（以下简称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公司</w:t>
      </w:r>
      <w:r>
        <w:rPr>
          <w:rFonts w:ascii="Times New Roman" w:hAnsi="Times New Roman" w:cs="Times New Roman" w:eastAsia="Times New Roman" w:hint="default"/>
          <w:sz w:val="21"/>
          <w:szCs w:val="21"/>
        </w:rPr>
        <w:t>”</w:t>
      </w:r>
      <w:r>
        <w:rPr>
          <w:rFonts w:ascii="宋体" w:hAnsi="宋体" w:cs="宋体" w:eastAsia="宋体" w:hint="default"/>
          <w:sz w:val="21"/>
          <w:szCs w:val="21"/>
        </w:rPr>
        <w:t>或</w:t>
      </w:r>
      <w:r>
        <w:rPr>
          <w:rFonts w:ascii="Times New Roman" w:hAnsi="Times New Roman" w:cs="Times New Roman" w:eastAsia="Times New Roman" w:hint="default"/>
          <w:sz w:val="21"/>
          <w:szCs w:val="21"/>
        </w:rPr>
        <w:t>“</w:t>
      </w:r>
      <w:r>
        <w:rPr>
          <w:rFonts w:ascii="宋体" w:hAnsi="宋体" w:cs="宋体" w:eastAsia="宋体" w:hint="default"/>
          <w:sz w:val="21"/>
          <w:szCs w:val="21"/>
        </w:rPr>
        <w:t>本公司</w:t>
      </w:r>
      <w:r>
        <w:rPr>
          <w:rFonts w:ascii="Times New Roman" w:hAnsi="Times New Roman" w:cs="Times New Roman" w:eastAsia="Times New Roman" w:hint="default"/>
          <w:sz w:val="21"/>
          <w:szCs w:val="21"/>
        </w:rPr>
        <w:t>”</w:t>
      </w:r>
      <w:r>
        <w:rPr>
          <w:rFonts w:ascii="宋体" w:hAnsi="宋体" w:cs="宋体" w:eastAsia="宋体" w:hint="default"/>
          <w:sz w:val="21"/>
          <w:szCs w:val="21"/>
        </w:rPr>
        <w:t>）系于</w:t>
      </w: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8</w:t>
      </w:r>
      <w:r>
        <w:rPr>
          <w:rFonts w:ascii="宋体" w:hAnsi="宋体" w:cs="宋体" w:eastAsia="宋体" w:hint="default"/>
          <w:sz w:val="21"/>
          <w:szCs w:val="21"/>
        </w:rPr>
        <w:t>日经北京市工商行政 管理局批准，由周亚辉等共同发起设立的股份有限公司。公司的企业统一社会信用代码： </w:t>
      </w:r>
      <w:r>
        <w:rPr>
          <w:rFonts w:ascii="Times New Roman" w:hAnsi="Times New Roman" w:cs="Times New Roman" w:eastAsia="Times New Roman" w:hint="default"/>
          <w:sz w:val="21"/>
          <w:szCs w:val="21"/>
        </w:rPr>
        <w:t>91110000673814068U</w:t>
      </w:r>
      <w:r>
        <w:rPr>
          <w:rFonts w:ascii="宋体" w:hAnsi="宋体" w:cs="宋体" w:eastAsia="宋体" w:hint="default"/>
          <w:sz w:val="21"/>
          <w:szCs w:val="21"/>
        </w:rPr>
        <w:t>。截止</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日，本公司的注册资本为</w:t>
      </w:r>
      <w:r>
        <w:rPr>
          <w:rFonts w:ascii="Times New Roman" w:hAnsi="Times New Roman" w:cs="Times New Roman" w:eastAsia="Times New Roman" w:hint="default"/>
          <w:sz w:val="21"/>
          <w:szCs w:val="21"/>
        </w:rPr>
        <w:t>112723.0993</w:t>
      </w:r>
      <w:r>
        <w:rPr>
          <w:rFonts w:ascii="宋体" w:hAnsi="宋体" w:cs="宋体" w:eastAsia="宋体" w:hint="default"/>
          <w:sz w:val="21"/>
          <w:szCs w:val="21"/>
        </w:rPr>
        <w:t>万元，注册地址为北京市 海淀区知春路</w:t>
      </w:r>
      <w:r>
        <w:rPr>
          <w:rFonts w:ascii="Times New Roman" w:hAnsi="Times New Roman" w:cs="Times New Roman" w:eastAsia="Times New Roman" w:hint="default"/>
          <w:sz w:val="21"/>
          <w:szCs w:val="21"/>
        </w:rPr>
        <w:t>118</w:t>
      </w:r>
      <w:r>
        <w:rPr>
          <w:rFonts w:ascii="宋体" w:hAnsi="宋体" w:cs="宋体" w:eastAsia="宋体" w:hint="default"/>
          <w:sz w:val="21"/>
          <w:szCs w:val="21"/>
        </w:rPr>
        <w:t>号知春大厦</w:t>
      </w:r>
      <w:r>
        <w:rPr>
          <w:rFonts w:ascii="Times New Roman" w:hAnsi="Times New Roman" w:cs="Times New Roman" w:eastAsia="Times New Roman" w:hint="default"/>
          <w:sz w:val="21"/>
          <w:szCs w:val="21"/>
        </w:rPr>
        <w:t>B</w:t>
      </w:r>
      <w:r>
        <w:rPr>
          <w:rFonts w:ascii="宋体" w:hAnsi="宋体" w:cs="宋体" w:eastAsia="宋体" w:hint="default"/>
          <w:sz w:val="21"/>
          <w:szCs w:val="21"/>
        </w:rPr>
        <w:t>座</w:t>
      </w:r>
      <w:r>
        <w:rPr>
          <w:rFonts w:ascii="Times New Roman" w:hAnsi="Times New Roman" w:cs="Times New Roman" w:eastAsia="Times New Roman" w:hint="default"/>
          <w:sz w:val="21"/>
          <w:szCs w:val="21"/>
        </w:rPr>
        <w:t>605E,</w:t>
      </w:r>
      <w:r>
        <w:rPr>
          <w:rFonts w:ascii="宋体" w:hAnsi="宋体" w:cs="宋体" w:eastAsia="宋体" w:hint="default"/>
          <w:sz w:val="21"/>
          <w:szCs w:val="21"/>
        </w:rPr>
        <w:t>办公地址为北京市东城区西总布胡同</w:t>
      </w:r>
      <w:r>
        <w:rPr>
          <w:rFonts w:ascii="Times New Roman" w:hAnsi="Times New Roman" w:cs="Times New Roman" w:eastAsia="Times New Roman" w:hint="default"/>
          <w:sz w:val="21"/>
          <w:szCs w:val="21"/>
        </w:rPr>
        <w:t>46</w:t>
      </w:r>
      <w:r>
        <w:rPr>
          <w:rFonts w:ascii="宋体" w:hAnsi="宋体" w:cs="宋体" w:eastAsia="宋体" w:hint="default"/>
          <w:sz w:val="21"/>
          <w:szCs w:val="21"/>
        </w:rPr>
        <w:t>号明阳国际中心。本公司的 实际控制人为周亚辉。</w:t>
      </w:r>
    </w:p>
    <w:p>
      <w:pPr>
        <w:spacing w:before="59"/>
        <w:ind w:left="490" w:right="0" w:firstLine="0"/>
        <w:jc w:val="left"/>
        <w:rPr>
          <w:rFonts w:ascii="宋体" w:hAnsi="宋体" w:cs="宋体" w:eastAsia="宋体" w:hint="default"/>
          <w:sz w:val="21"/>
          <w:szCs w:val="21"/>
        </w:rPr>
      </w:pPr>
      <w:r>
        <w:rPr>
          <w:rFonts w:ascii="宋体" w:hAnsi="宋体" w:cs="宋体" w:eastAsia="宋体" w:hint="default"/>
          <w:sz w:val="21"/>
          <w:szCs w:val="21"/>
        </w:rPr>
        <w:t>本财务报表业经公司董事会于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08</w:t>
      </w:r>
      <w:r>
        <w:rPr>
          <w:rFonts w:ascii="宋体" w:hAnsi="宋体" w:cs="宋体" w:eastAsia="宋体" w:hint="default"/>
          <w:sz w:val="21"/>
          <w:szCs w:val="21"/>
        </w:rPr>
        <w:t>日批准报出。</w:t>
      </w:r>
    </w:p>
    <w:p>
      <w:pPr>
        <w:spacing w:line="240" w:lineRule="auto" w:before="10"/>
        <w:rPr>
          <w:rFonts w:ascii="宋体" w:hAnsi="宋体" w:cs="宋体" w:eastAsia="宋体" w:hint="default"/>
          <w:sz w:val="5"/>
          <w:szCs w:val="5"/>
        </w:rPr>
      </w:pPr>
    </w:p>
    <w:tbl>
      <w:tblPr>
        <w:tblW w:w="0" w:type="auto"/>
        <w:jc w:val="left"/>
        <w:tblInd w:w="762" w:type="dxa"/>
        <w:tblLayout w:type="fixed"/>
        <w:tblCellMar>
          <w:top w:w="0" w:type="dxa"/>
          <w:left w:w="0" w:type="dxa"/>
          <w:bottom w:w="0" w:type="dxa"/>
          <w:right w:w="0" w:type="dxa"/>
        </w:tblCellMar>
        <w:tblLook w:val="01E0"/>
      </w:tblPr>
      <w:tblGrid>
        <w:gridCol w:w="7771"/>
      </w:tblGrid>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子公司名称</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北京昆仑在线网络科技有限公司</w:t>
            </w:r>
          </w:p>
        </w:tc>
      </w:tr>
      <w:tr>
        <w:trPr>
          <w:trHeight w:val="348"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北京昆仑乐享网络技术有限公司</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3" w:right="0"/>
              <w:jc w:val="left"/>
              <w:rPr>
                <w:rFonts w:ascii="宋体" w:hAnsi="宋体" w:cs="宋体" w:eastAsia="宋体" w:hint="default"/>
                <w:sz w:val="21"/>
                <w:szCs w:val="21"/>
              </w:rPr>
            </w:pPr>
            <w:r>
              <w:rPr>
                <w:rFonts w:ascii="宋体" w:hAnsi="宋体" w:cs="宋体" w:eastAsia="宋体" w:hint="default"/>
                <w:sz w:val="21"/>
                <w:szCs w:val="21"/>
              </w:rPr>
              <w:t>广州昆仑在线信息科技有限公司</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昆仑日本株式会社</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昆仑韩国株式会社</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香港昆仑万维股份有限公司</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昆仑集团有限公司</w:t>
            </w:r>
          </w:p>
        </w:tc>
      </w:tr>
      <w:tr>
        <w:trPr>
          <w:trHeight w:val="348"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3" w:right="0"/>
              <w:jc w:val="left"/>
              <w:rPr>
                <w:rFonts w:ascii="Times New Roman" w:hAnsi="Times New Roman" w:cs="Times New Roman" w:eastAsia="Times New Roman" w:hint="default"/>
                <w:sz w:val="21"/>
                <w:szCs w:val="21"/>
              </w:rPr>
            </w:pPr>
            <w:r>
              <w:rPr>
                <w:rFonts w:ascii="Times New Roman"/>
                <w:sz w:val="21"/>
              </w:rPr>
              <w:t>KUNLUN GLOBAL INTERNATIONAL</w:t>
            </w:r>
            <w:r>
              <w:rPr>
                <w:rFonts w:ascii="Times New Roman"/>
                <w:spacing w:val="-2"/>
                <w:sz w:val="21"/>
              </w:rPr>
              <w:t> </w:t>
            </w:r>
            <w:r>
              <w:rPr>
                <w:rFonts w:ascii="Times New Roman"/>
                <w:sz w:val="21"/>
              </w:rPr>
              <w:t>SDN.BHD.</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3" w:right="0"/>
              <w:jc w:val="left"/>
              <w:rPr>
                <w:rFonts w:ascii="宋体" w:hAnsi="宋体" w:cs="宋体" w:eastAsia="宋体" w:hint="default"/>
                <w:sz w:val="21"/>
                <w:szCs w:val="21"/>
              </w:rPr>
            </w:pPr>
            <w:r>
              <w:rPr>
                <w:rFonts w:ascii="宋体" w:hAnsi="宋体" w:cs="宋体" w:eastAsia="宋体" w:hint="default"/>
                <w:sz w:val="21"/>
                <w:szCs w:val="21"/>
              </w:rPr>
              <w:t>网潮（香港）科技股份有限公司</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游景蓝图（香港）科技股份有限公司</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3" w:right="0"/>
              <w:jc w:val="left"/>
              <w:rPr>
                <w:rFonts w:ascii="Times New Roman" w:hAnsi="Times New Roman" w:cs="Times New Roman" w:eastAsia="Times New Roman" w:hint="default"/>
                <w:sz w:val="21"/>
                <w:szCs w:val="21"/>
              </w:rPr>
            </w:pPr>
            <w:r>
              <w:rPr>
                <w:rFonts w:ascii="Times New Roman"/>
                <w:sz w:val="21"/>
              </w:rPr>
              <w:t>KUNLUN EUROPE</w:t>
            </w:r>
            <w:r>
              <w:rPr>
                <w:rFonts w:ascii="Times New Roman"/>
                <w:spacing w:val="-1"/>
                <w:sz w:val="21"/>
              </w:rPr>
              <w:t> </w:t>
            </w:r>
            <w:r>
              <w:rPr>
                <w:rFonts w:ascii="Times New Roman"/>
                <w:sz w:val="21"/>
              </w:rPr>
              <w:t>LIMITED</w:t>
            </w:r>
          </w:p>
        </w:tc>
      </w:tr>
      <w:tr>
        <w:trPr>
          <w:trHeight w:val="347"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3" w:right="0"/>
              <w:jc w:val="left"/>
              <w:rPr>
                <w:rFonts w:ascii="Times New Roman" w:hAnsi="Times New Roman" w:cs="Times New Roman" w:eastAsia="Times New Roman" w:hint="default"/>
                <w:sz w:val="21"/>
                <w:szCs w:val="21"/>
              </w:rPr>
            </w:pPr>
            <w:r>
              <w:rPr>
                <w:rFonts w:ascii="Times New Roman"/>
                <w:sz w:val="21"/>
              </w:rPr>
              <w:t>KUNLUN US</w:t>
            </w:r>
            <w:r>
              <w:rPr>
                <w:rFonts w:ascii="Times New Roman"/>
                <w:spacing w:val="-2"/>
                <w:sz w:val="21"/>
              </w:rPr>
              <w:t> </w:t>
            </w:r>
            <w:r>
              <w:rPr>
                <w:rFonts w:ascii="Times New Roman"/>
                <w:sz w:val="21"/>
              </w:rPr>
              <w:t>INC</w:t>
            </w:r>
          </w:p>
        </w:tc>
      </w:tr>
      <w:tr>
        <w:trPr>
          <w:trHeight w:val="348" w:hRule="exact"/>
        </w:trPr>
        <w:tc>
          <w:tcPr>
            <w:tcW w:w="777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台湾昆仑万维有限公司</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95"/>
        <w:ind w:right="0"/>
        <w:jc w:val="both"/>
        <w:rPr>
          <w:b w:val="0"/>
          <w:bCs w:val="0"/>
        </w:rPr>
      </w:pPr>
      <w:r>
        <w:rPr/>
        <w:t>四、财务报表的编制基础</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、编制基础</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50"/>
        <w:jc w:val="both"/>
      </w:pPr>
      <w:r>
        <w:rPr>
          <w:spacing w:val="-5"/>
        </w:rPr>
        <w:t>公司以持续经营为基础，根据实际发生的交易和事项，按照财政部颁布的《企业会计准则</w:t>
      </w:r>
      <w:r>
        <w:rPr>
          <w:rFonts w:ascii="Times New Roman" w:hAnsi="Times New Roman" w:cs="Times New Roman" w:eastAsia="Times New Roman" w:hint="default"/>
          <w:spacing w:val="-5"/>
        </w:rPr>
        <w:t>——</w:t>
      </w:r>
      <w:r>
        <w:rPr>
          <w:rFonts w:ascii="Times New Roman" w:hAnsi="Times New Roman" w:cs="Times New Roman" w:eastAsia="Times New Roman" w:hint="default"/>
          <w:spacing w:val="-58"/>
        </w:rPr>
        <w:t> </w:t>
      </w:r>
      <w:r>
        <w:rPr/>
        <w:t>基本准则》和各项具体会计准则、企业会计准则应用指南、企业会计准则解释及其他相关规 </w:t>
      </w:r>
      <w:r>
        <w:rPr>
          <w:spacing w:val="-3"/>
        </w:rPr>
        <w:t>定</w:t>
      </w:r>
      <w:r>
        <w:rPr>
          <w:rFonts w:ascii="Times New Roman" w:hAnsi="Times New Roman" w:cs="Times New Roman" w:eastAsia="Times New Roman" w:hint="default"/>
          <w:spacing w:val="-3"/>
        </w:rPr>
        <w:t>(</w:t>
      </w:r>
      <w:r>
        <w:rPr>
          <w:spacing w:val="-3"/>
        </w:rPr>
        <w:t>以下合称</w:t>
      </w:r>
      <w:r>
        <w:rPr>
          <w:rFonts w:ascii="Times New Roman" w:hAnsi="Times New Roman" w:cs="Times New Roman" w:eastAsia="Times New Roman" w:hint="default"/>
          <w:spacing w:val="-3"/>
        </w:rPr>
        <w:t>“</w:t>
      </w:r>
      <w:r>
        <w:rPr>
          <w:spacing w:val="-3"/>
        </w:rPr>
        <w:t>企业会计准则</w:t>
      </w:r>
      <w:r>
        <w:rPr>
          <w:rFonts w:ascii="Times New Roman" w:hAnsi="Times New Roman" w:cs="Times New Roman" w:eastAsia="Times New Roman" w:hint="default"/>
          <w:spacing w:val="-3"/>
        </w:rPr>
        <w:t>”)</w:t>
      </w:r>
      <w:r>
        <w:rPr>
          <w:spacing w:val="-3"/>
        </w:rPr>
        <w:t>、以及中国证券监督管理委员会《公开发行证券的公司信息披露</w:t>
      </w:r>
      <w:r>
        <w:rPr>
          <w:spacing w:val="-87"/>
        </w:rPr>
        <w:t> </w:t>
      </w:r>
      <w:r>
        <w:rPr>
          <w:spacing w:val="-87"/>
        </w:rPr>
      </w:r>
      <w:r>
        <w:rPr/>
        <w:t>编报规则第</w:t>
      </w:r>
      <w:r>
        <w:rPr>
          <w:rFonts w:ascii="Times New Roman" w:hAnsi="Times New Roman" w:cs="Times New Roman" w:eastAsia="Times New Roman" w:hint="default"/>
        </w:rPr>
        <w:t>15</w:t>
      </w:r>
      <w:r>
        <w:rPr>
          <w:rFonts w:ascii="Times New Roman" w:hAnsi="Times New Roman" w:cs="Times New Roman" w:eastAsia="Times New Roman" w:hint="default"/>
          <w:spacing w:val="36"/>
        </w:rPr>
        <w:t> </w:t>
      </w:r>
      <w:r>
        <w:rPr/>
        <w:t>号</w:t>
      </w:r>
      <w:r>
        <w:rPr>
          <w:rFonts w:ascii="Times New Roman" w:hAnsi="Times New Roman" w:cs="Times New Roman" w:eastAsia="Times New Roman" w:hint="default"/>
        </w:rPr>
        <w:t>——</w:t>
      </w:r>
      <w:r>
        <w:rPr/>
        <w:t>财务报告的一般规定》的披露规定编制财务报表。</w:t>
      </w:r>
    </w:p>
    <w:p>
      <w:pPr>
        <w:spacing w:line="240" w:lineRule="auto" w:before="5"/>
        <w:rPr>
          <w:rFonts w:ascii="宋体" w:hAnsi="宋体" w:cs="宋体" w:eastAsia="宋体" w:hint="default"/>
          <w:sz w:val="17"/>
          <w:szCs w:val="17"/>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、持续经营</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240" w:lineRule="auto"/>
        <w:ind w:right="0"/>
        <w:jc w:val="both"/>
      </w:pPr>
      <w:r>
        <w:rPr/>
        <w:t>本期无对持续经营能力产生重大影响的因素。</w:t>
      </w:r>
    </w:p>
    <w:p>
      <w:pPr>
        <w:spacing w:after="0" w:line="240" w:lineRule="auto"/>
        <w:jc w:val="both"/>
        <w:sectPr>
          <w:pgSz w:w="11910" w:h="16840"/>
          <w:pgMar w:header="747" w:footer="979" w:top="1060" w:bottom="1160" w:left="980" w:right="980"/>
        </w:sectPr>
      </w:pPr>
    </w:p>
    <w:p>
      <w:pPr>
        <w:spacing w:line="240" w:lineRule="auto" w:before="9"/>
        <w:rPr>
          <w:rFonts w:ascii="宋体" w:hAnsi="宋体" w:cs="宋体" w:eastAsia="宋体" w:hint="default"/>
          <w:sz w:val="23"/>
          <w:szCs w:val="23"/>
        </w:rPr>
      </w:pPr>
    </w:p>
    <w:p>
      <w:pPr>
        <w:pStyle w:val="Heading2"/>
        <w:spacing w:line="367" w:lineRule="exact"/>
        <w:ind w:right="0"/>
        <w:jc w:val="left"/>
        <w:rPr>
          <w:b w:val="0"/>
          <w:bCs w:val="0"/>
        </w:rPr>
      </w:pPr>
      <w:r>
        <w:rPr/>
        <w:t>五、重要会计政策及会计估计</w:t>
      </w:r>
      <w:r>
        <w:rPr>
          <w:b w:val="0"/>
          <w:bCs w:val="0"/>
        </w:rPr>
      </w:r>
    </w:p>
    <w:p>
      <w:pPr>
        <w:spacing w:line="240" w:lineRule="auto" w:before="7"/>
        <w:rPr>
          <w:rFonts w:ascii="Microsoft JhengHei" w:hAnsi="Microsoft JhengHei" w:cs="Microsoft JhengHei" w:eastAsia="Microsoft JhengHei" w:hint="default"/>
          <w:b/>
          <w:bCs/>
          <w:sz w:val="18"/>
          <w:szCs w:val="18"/>
        </w:rPr>
      </w:pPr>
    </w:p>
    <w:p>
      <w:pPr>
        <w:spacing w:line="357" w:lineRule="auto" w:before="0"/>
        <w:ind w:left="154" w:right="7060" w:firstLine="0"/>
        <w:jc w:val="left"/>
        <w:rPr>
          <w:rFonts w:ascii="宋体" w:hAnsi="宋体" w:cs="宋体" w:eastAsia="宋体" w:hint="default"/>
          <w:sz w:val="18"/>
          <w:szCs w:val="18"/>
        </w:rPr>
      </w:pPr>
      <w:r>
        <w:rPr>
          <w:rFonts w:ascii="宋体" w:hAnsi="宋体" w:cs="宋体" w:eastAsia="宋体" w:hint="default"/>
          <w:sz w:val="18"/>
          <w:szCs w:val="18"/>
        </w:rPr>
        <w:t>具体会计政策和会计估计提示：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、遵循企业会计准则的声明</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72"/>
        <w:jc w:val="left"/>
      </w:pPr>
      <w:r>
        <w:rPr/>
        <w:t>公司所编制的财务报表符合企业会计准则的要求，真实、完整地反映了报告期公司的财务状 况、经营成果、现金流量等有关信息。</w:t>
      </w:r>
    </w:p>
    <w:p>
      <w:pPr>
        <w:spacing w:line="240" w:lineRule="auto" w:before="5"/>
        <w:rPr>
          <w:rFonts w:ascii="宋体" w:hAnsi="宋体" w:cs="宋体" w:eastAsia="宋体" w:hint="default"/>
          <w:sz w:val="17"/>
          <w:szCs w:val="17"/>
        </w:rPr>
      </w:pPr>
    </w:p>
    <w:p>
      <w:pPr>
        <w:spacing w:line="422" w:lineRule="auto" w:before="0"/>
        <w:ind w:left="154" w:right="497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、会计期间</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pacing w:val="-50"/>
          <w:sz w:val="21"/>
          <w:szCs w:val="21"/>
        </w:rPr>
      </w:r>
      <w:r>
        <w:rPr>
          <w:rFonts w:ascii="宋体" w:hAnsi="宋体" w:cs="宋体" w:eastAsia="宋体" w:hint="default"/>
          <w:sz w:val="24"/>
          <w:szCs w:val="24"/>
        </w:rPr>
        <w:t>自公历</w:t>
      </w:r>
      <w:r>
        <w:rPr>
          <w:rFonts w:ascii="Times New Roman" w:hAnsi="Times New Roman" w:cs="Times New Roman" w:eastAsia="Times New Roman" w:hint="default"/>
          <w:sz w:val="24"/>
          <w:szCs w:val="24"/>
        </w:rPr>
        <w:t>1</w:t>
      </w:r>
      <w:r>
        <w:rPr>
          <w:rFonts w:ascii="宋体" w:hAnsi="宋体" w:cs="宋体" w:eastAsia="宋体" w:hint="default"/>
          <w:sz w:val="24"/>
          <w:szCs w:val="24"/>
        </w:rPr>
        <w:t>月</w:t>
      </w:r>
      <w:r>
        <w:rPr>
          <w:rFonts w:ascii="Times New Roman" w:hAnsi="Times New Roman" w:cs="Times New Roman" w:eastAsia="Times New Roman" w:hint="default"/>
          <w:sz w:val="24"/>
          <w:szCs w:val="24"/>
        </w:rPr>
        <w:t>1</w:t>
      </w:r>
      <w:r>
        <w:rPr>
          <w:rFonts w:ascii="宋体" w:hAnsi="宋体" w:cs="宋体" w:eastAsia="宋体" w:hint="default"/>
          <w:sz w:val="24"/>
          <w:szCs w:val="24"/>
        </w:rPr>
        <w:t>日至</w:t>
      </w:r>
      <w:r>
        <w:rPr>
          <w:rFonts w:ascii="Times New Roman" w:hAnsi="Times New Roman" w:cs="Times New Roman" w:eastAsia="Times New Roman" w:hint="default"/>
          <w:sz w:val="24"/>
          <w:szCs w:val="24"/>
        </w:rPr>
        <w:t>12</w:t>
      </w:r>
      <w:r>
        <w:rPr>
          <w:rFonts w:ascii="宋体" w:hAnsi="宋体" w:cs="宋体" w:eastAsia="宋体" w:hint="default"/>
          <w:sz w:val="24"/>
          <w:szCs w:val="24"/>
        </w:rPr>
        <w:t>月</w:t>
      </w:r>
      <w:r>
        <w:rPr>
          <w:rFonts w:ascii="Times New Roman" w:hAnsi="Times New Roman" w:cs="Times New Roman" w:eastAsia="Times New Roman" w:hint="default"/>
          <w:sz w:val="24"/>
          <w:szCs w:val="24"/>
        </w:rPr>
        <w:t>31</w:t>
      </w:r>
      <w:r>
        <w:rPr>
          <w:rFonts w:ascii="宋体" w:hAnsi="宋体" w:cs="宋体" w:eastAsia="宋体" w:hint="default"/>
          <w:sz w:val="24"/>
          <w:szCs w:val="24"/>
        </w:rPr>
        <w:t>日止为一个会计年度。 </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、营业周期</w:t>
      </w:r>
      <w:r>
        <w:rPr>
          <w:rFonts w:ascii="Microsoft JhengHei" w:hAnsi="Microsoft JhengHei" w:cs="Microsoft JhengHei" w:eastAsia="Microsoft JhengHei" w:hint="default"/>
          <w:sz w:val="21"/>
          <w:szCs w:val="21"/>
        </w:rPr>
      </w:r>
    </w:p>
    <w:p>
      <w:pPr>
        <w:pStyle w:val="BodyText"/>
        <w:spacing w:line="240" w:lineRule="auto" w:before="76"/>
        <w:ind w:right="0"/>
        <w:jc w:val="left"/>
      </w:pPr>
      <w:r>
        <w:rPr/>
        <w:t>本公司营业周期为</w:t>
      </w:r>
      <w:r>
        <w:rPr>
          <w:rFonts w:ascii="Times New Roman" w:hAnsi="Times New Roman" w:cs="Times New Roman" w:eastAsia="Times New Roman" w:hint="default"/>
        </w:rPr>
        <w:t>12</w:t>
      </w:r>
      <w:r>
        <w:rPr/>
        <w:t>个月。</w:t>
      </w:r>
    </w:p>
    <w:p>
      <w:pPr>
        <w:spacing w:line="240" w:lineRule="auto" w:before="3"/>
        <w:rPr>
          <w:rFonts w:ascii="宋体" w:hAnsi="宋体" w:cs="宋体" w:eastAsia="宋体" w:hint="default"/>
          <w:sz w:val="18"/>
          <w:szCs w:val="18"/>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、记账本位币</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52" w:firstLine="384"/>
        <w:jc w:val="both"/>
      </w:pPr>
      <w:r>
        <w:rPr>
          <w:spacing w:val="-3"/>
        </w:rPr>
        <w:t>本公司及境内子公司的记账本位币为人民币。本公司编制合并财务报表采用的货币为人民</w:t>
      </w:r>
      <w:r>
        <w:rPr/>
        <w:t> 币。本公司的境外子公司采用人民币以外的货币作为记账本位币，在编制财务报表时对这些 子公司的外币财务报表进行了折算。</w:t>
      </w:r>
    </w:p>
    <w:p>
      <w:pPr>
        <w:spacing w:line="240" w:lineRule="auto" w:before="5"/>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、同一控制下和非同一控制下企业合并的会计处理方法</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53" w:firstLine="384"/>
        <w:jc w:val="both"/>
      </w:pPr>
      <w:r>
        <w:rPr>
          <w:spacing w:val="-3"/>
        </w:rPr>
        <w:t>同一控制下企业合并：本公司在企业合并中取得的资产和负债，按照合并日在被合并方资</w:t>
      </w:r>
      <w:r>
        <w:rPr/>
        <w:t> 产、负债（包括最终控制方收购被合并方而形成的商誉）在最终控制方合并财务报表中的账 面价值计量。在合并中取得的净资产账面价值与支付的合并对价账面价值（或发行股份面值 总额）的差额，调整资本公积中的股本溢价，资本公积中的股本溢价不足冲减的，调整留存 收益。</w:t>
      </w:r>
    </w:p>
    <w:p>
      <w:pPr>
        <w:pStyle w:val="BodyText"/>
        <w:spacing w:line="312" w:lineRule="exact"/>
        <w:ind w:right="153" w:firstLine="384"/>
        <w:jc w:val="both"/>
      </w:pPr>
      <w:r>
        <w:rPr>
          <w:spacing w:val="-3"/>
        </w:rPr>
        <w:t>非同一控制下企业合并：本公司在购买日对作为企业合并对价付出的资产、发生或承担的</w:t>
      </w:r>
      <w:r>
        <w:rPr/>
        <w:t> 负债按照公允价值计量，公允价值与其账面价值的差额，计入当期损益。本公司对合并成本 大于合并中取得的被购买方可辨认净资产公允价值份额的差额，确认为商誉；合并成本小于 合并中取得的被购买方可辨认净资产公允价值份额的差额，经复核后，计入当期损益。</w:t>
      </w:r>
    </w:p>
    <w:p>
      <w:pPr>
        <w:pStyle w:val="BodyText"/>
        <w:spacing w:line="312" w:lineRule="exact"/>
        <w:ind w:right="153" w:firstLine="384"/>
        <w:jc w:val="both"/>
      </w:pPr>
      <w:r>
        <w:rPr>
          <w:spacing w:val="-3"/>
        </w:rPr>
        <w:t>为企业合并发生的审计、法律服务、评估咨询等中介费用以及其他直接相关费用，于发生</w:t>
      </w:r>
      <w:r>
        <w:rPr/>
        <w:t> 时计入当期损益；为企业合并而发行权益性证券的交易费用，冲减权益。</w:t>
      </w:r>
    </w:p>
    <w:p>
      <w:pPr>
        <w:spacing w:line="240" w:lineRule="auto" w:before="5"/>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、合并财务报表的编制方法</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8"/>
          <w:szCs w:val="18"/>
        </w:rPr>
      </w:pPr>
    </w:p>
    <w:p>
      <w:pPr>
        <w:pStyle w:val="BodyText"/>
        <w:spacing w:line="312" w:lineRule="exact"/>
        <w:ind w:right="172" w:firstLine="480"/>
        <w:jc w:val="left"/>
      </w:pPr>
      <w:r>
        <w:rPr>
          <w:rFonts w:ascii="Times New Roman" w:hAnsi="Times New Roman" w:cs="Times New Roman" w:eastAsia="Times New Roman" w:hint="default"/>
        </w:rPr>
        <w:t>1</w:t>
      </w:r>
      <w:r>
        <w:rPr/>
        <w:t>、合并范围 本公司合并财务报表的合并范围以控制为基础确定，所有子公司（包括本公司所控制的单独 主体）均纳入合并财务报表。</w:t>
      </w:r>
    </w:p>
    <w:p>
      <w:pPr>
        <w:pStyle w:val="BodyText"/>
        <w:spacing w:line="312" w:lineRule="exact"/>
        <w:ind w:right="190" w:firstLine="480"/>
        <w:jc w:val="both"/>
      </w:pPr>
      <w:r>
        <w:rPr>
          <w:rFonts w:ascii="Times New Roman" w:hAnsi="Times New Roman" w:cs="Times New Roman" w:eastAsia="Times New Roman" w:hint="default"/>
        </w:rPr>
        <w:t>2</w:t>
      </w:r>
      <w:r>
        <w:rPr/>
        <w:t>、合并程序 本公司以自身和各子公司的财务报表为基础，根据其他有关资料，编制合并财务报表。本公</w:t>
      </w:r>
    </w:p>
    <w:p>
      <w:pPr>
        <w:spacing w:after="0" w:line="312" w:lineRule="exact"/>
        <w:jc w:val="both"/>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12" w:lineRule="exact" w:before="56"/>
        <w:ind w:right="270"/>
        <w:jc w:val="both"/>
      </w:pPr>
      <w:r>
        <w:rPr/>
        <w:t>司编制合并财务报表，将整个企业集团视为一个会计主体，依据相关企业会计准则的确认、 计量和列报要求，按照统一的会计政策，反映本企业集团整体财务状况、经营成果和现金流 量。</w:t>
      </w:r>
    </w:p>
    <w:p>
      <w:pPr>
        <w:pStyle w:val="BodyText"/>
        <w:spacing w:line="283" w:lineRule="exact"/>
        <w:ind w:right="0" w:firstLine="480"/>
        <w:jc w:val="left"/>
      </w:pPr>
      <w:r>
        <w:rPr/>
        <w:t>所有纳入合并财务报表合并范围的子公司所采用的会计政策、会计期间与本公司一致，</w:t>
      </w:r>
    </w:p>
    <w:p>
      <w:pPr>
        <w:pStyle w:val="BodyText"/>
        <w:spacing w:line="312" w:lineRule="exact" w:before="30"/>
        <w:ind w:right="252"/>
        <w:jc w:val="left"/>
      </w:pPr>
      <w:r>
        <w:rPr/>
        <w:t>如子公司采用的会计政策、会计期间与本公司不一致的，在编制合并财务报表时，按本公司 的会计政策、会计期间进行必要的调整。对于非同一控制下企业合并取得的子公司，以购买 日可辨认净资产公允价值为基础对其财务报表进行调整。对于同一控制下企业合并取得的子 公司，以其资产、负债（包括最终控制方收购该子公司而形成的商誉）在最终控制方财务报 表中的账面价值为基础对其财务报表进行调整。 子公司所有者权益、当期净损益和当期综合收益中属于少数股东的份额分别在合并资产负债 表中所有者权益项目下、合并利润表中净利润项目下和综合收益总额项目下单独列示。子公 司少数股东分担的当期亏损超过了少数股东在该子公司期初所有者权益中所享有份额而形成 的余额，冲减少数股东权益。</w:t>
      </w:r>
    </w:p>
    <w:p>
      <w:pPr>
        <w:pStyle w:val="BodyText"/>
        <w:spacing w:line="312" w:lineRule="exact"/>
        <w:ind w:right="252" w:firstLine="240"/>
        <w:jc w:val="left"/>
      </w:pPr>
      <w:r>
        <w:rPr/>
        <w:t>（</w:t>
      </w:r>
      <w:r>
        <w:rPr>
          <w:rFonts w:ascii="Times New Roman" w:hAnsi="Times New Roman" w:cs="Times New Roman" w:eastAsia="Times New Roman" w:hint="default"/>
        </w:rPr>
        <w:t>1</w:t>
      </w:r>
      <w:r>
        <w:rPr/>
        <w:t>）增加子公司或业务 在报告期内，若因同一控制下企业合并增加子公司或业务的，则调整合并资产负债表的期初 数；将子公司或业务合并当期期初至报告期末的收入、费用、利润纳入合并利润表；将子公 司或业务合并当期期初至报告期末的现金流量纳入合并现金流量表，同时对比较报表的相关 项目进行调整，视同合并后的报告主体自最终控制方开始控制时点起一直存在。</w:t>
      </w:r>
    </w:p>
    <w:p>
      <w:pPr>
        <w:pStyle w:val="BodyText"/>
        <w:spacing w:line="312" w:lineRule="exact"/>
        <w:ind w:right="269" w:firstLine="480"/>
        <w:jc w:val="both"/>
      </w:pPr>
      <w:r>
        <w:rPr/>
        <w:t>因追加投资等原因能够对同一控制下的被投资方实施控制的，视同参与合并的各方在最 终控制方开始控制时即以目前的状态存在进行调整。在取得被合并方控制权之前持有的股权 投资，在取得原股权之日与合并方和被合并方同处于同一控制之日孰晚日起至合并日之间已 确认有关损益、其他综合收益以及其他净资产变动，分别冲减比较报表期间的期初留存收益</w:t>
      </w:r>
    </w:p>
    <w:p>
      <w:pPr>
        <w:pStyle w:val="BodyText"/>
        <w:spacing w:line="283" w:lineRule="exact"/>
        <w:ind w:right="0"/>
        <w:jc w:val="left"/>
      </w:pPr>
      <w:r>
        <w:rPr/>
        <w:t>或当期损益。</w:t>
      </w:r>
    </w:p>
    <w:p>
      <w:pPr>
        <w:pStyle w:val="BodyText"/>
        <w:spacing w:line="312" w:lineRule="exact" w:before="29"/>
        <w:ind w:right="252" w:firstLine="480"/>
        <w:jc w:val="left"/>
      </w:pPr>
      <w:r>
        <w:rPr/>
        <w:t>在报告期内，若因非同一控制下企业合并增加子公司或业务的，则不调整合并资产负债 表期初数；将该子公司或业务自购买日至报告期末的收入、费用、利润纳入合并利润表；该 子公司或业务自购买日至报告期末的现金流量纳入合并现金流量表。 因追加投资等原因能够对非同一控制下的被投资方实施控制的，对于购买日之前持有的被购 买方的股权，本公司按照该股权在购买日的公允价值进行重新计量，公允价值与其账面价值 的差额计入当期投资收益。购买日之前持有的被购买方的股权涉及权益法核算下的其他综合 收益以及除净损益、其他综合收益和利润分配之外的其他所有者权益变动的，与其相关的其 他综合收益、其他所有者权益变动转为购买日所属当期投资收益，由于被投资方重新计量设 定受益计划净负债或净资产变动而产生的其他综合收益除外。</w:t>
      </w:r>
    </w:p>
    <w:p>
      <w:pPr>
        <w:pStyle w:val="BodyText"/>
        <w:spacing w:line="291" w:lineRule="exact"/>
        <w:ind w:left="634" w:right="0"/>
        <w:jc w:val="left"/>
      </w:pPr>
      <w:r>
        <w:rPr/>
        <w:t>（</w:t>
      </w:r>
      <w:r>
        <w:rPr>
          <w:rFonts w:ascii="Times New Roman" w:hAnsi="Times New Roman" w:cs="Times New Roman" w:eastAsia="Times New Roman" w:hint="default"/>
        </w:rPr>
        <w:t>2</w:t>
      </w:r>
      <w:r>
        <w:rPr/>
        <w:t>）处置子公司或业务</w:t>
      </w:r>
    </w:p>
    <w:p>
      <w:pPr>
        <w:pStyle w:val="BodyText"/>
        <w:spacing w:line="312" w:lineRule="exact" w:before="20"/>
        <w:ind w:left="634" w:right="0"/>
        <w:jc w:val="left"/>
      </w:pPr>
      <w:r>
        <w:rPr/>
        <w:t>①一般处理方法 </w:t>
      </w:r>
      <w:r>
        <w:rPr>
          <w:spacing w:val="-3"/>
        </w:rPr>
        <w:t>在报告期内，本公司处置子公司或业务，则该子公司或业务期初至处置日的收入、费用、</w:t>
      </w:r>
    </w:p>
    <w:p>
      <w:pPr>
        <w:pStyle w:val="BodyText"/>
        <w:spacing w:line="312" w:lineRule="exact"/>
        <w:ind w:left="634" w:right="252" w:hanging="481"/>
        <w:jc w:val="left"/>
      </w:pPr>
      <w:r>
        <w:rPr/>
        <w:t>利润纳入合并利润表；该子公司或业务期初至处置日的现金流量纳入合并现金流量表。 因处置部分股权投资或其他原因丧失了对被投资方控制权时，对于处置后的剩余股权投</w:t>
      </w:r>
    </w:p>
    <w:p>
      <w:pPr>
        <w:pStyle w:val="BodyText"/>
        <w:spacing w:line="312" w:lineRule="exact"/>
        <w:ind w:right="252"/>
        <w:jc w:val="left"/>
      </w:pPr>
      <w:r>
        <w:rPr/>
        <w:t>资，本公司按照其在丧失控制权日的公允价值进行重新计量。处置股权取得的对价与剩余股 权公允价值之和，减去按原持股比例计算应享有原有子公司自购买日或合并日开始持续计算</w:t>
      </w:r>
    </w:p>
    <w:p>
      <w:pPr>
        <w:pStyle w:val="BodyText"/>
        <w:spacing w:line="312" w:lineRule="exact"/>
        <w:ind w:right="270"/>
        <w:jc w:val="both"/>
      </w:pPr>
      <w:r>
        <w:rPr/>
        <w:t>的净资产的份额与商誉之和的差额，计入丧失控制权当期的投资收益。与原有子公司股权投 资相关的其他综合收益或除净损益、其他综合收益及利润分配之外的其他所有者权益变动， 在丧失控制权时转为当期投资收益，由于被投资方重新计量设定受益计划净负债或净资产变 动而产生的其他综合收益除外。</w:t>
      </w:r>
    </w:p>
    <w:p>
      <w:pPr>
        <w:pStyle w:val="BodyText"/>
        <w:spacing w:line="283" w:lineRule="exact"/>
        <w:ind w:left="634" w:right="0"/>
        <w:jc w:val="left"/>
      </w:pPr>
      <w:r>
        <w:rPr/>
        <w:t>②分步处置子公司</w:t>
      </w:r>
    </w:p>
    <w:p>
      <w:pPr>
        <w:spacing w:after="0" w:line="283" w:lineRule="exact"/>
        <w:jc w:val="left"/>
        <w:sectPr>
          <w:pgSz w:w="11910" w:h="16840"/>
          <w:pgMar w:header="747" w:footer="979" w:top="1060" w:bottom="1160" w:left="980" w:right="900"/>
        </w:sectPr>
      </w:pPr>
    </w:p>
    <w:p>
      <w:pPr>
        <w:spacing w:line="240" w:lineRule="auto" w:before="7"/>
        <w:rPr>
          <w:rFonts w:ascii="宋体" w:hAnsi="宋体" w:cs="宋体" w:eastAsia="宋体" w:hint="default"/>
          <w:sz w:val="23"/>
          <w:szCs w:val="23"/>
        </w:rPr>
      </w:pPr>
    </w:p>
    <w:p>
      <w:pPr>
        <w:pStyle w:val="BodyText"/>
        <w:spacing w:line="312" w:lineRule="exact" w:before="56"/>
        <w:ind w:right="189" w:firstLine="480"/>
        <w:jc w:val="both"/>
      </w:pPr>
      <w:r>
        <w:rPr/>
        <w:t>通过多次交易分步处置对子公司股权投资直至丧失控制权的，处置对子公司股权投资的 各项交易的条款、条件以及经济影响符合以下一种或多种情况，通常表明应将多次交易事项 作为一揽子交易进行会计处理：</w:t>
      </w:r>
    </w:p>
    <w:p>
      <w:pPr>
        <w:pStyle w:val="BodyText"/>
        <w:spacing w:line="283" w:lineRule="exact"/>
        <w:ind w:left="634" w:right="0"/>
        <w:jc w:val="left"/>
      </w:pPr>
      <w:r>
        <w:rPr/>
        <w:t>ⅰ．这些交易是同时或者在考虑了彼此影响的情况下订立的；</w:t>
      </w:r>
    </w:p>
    <w:p>
      <w:pPr>
        <w:pStyle w:val="BodyText"/>
        <w:spacing w:line="312" w:lineRule="exact" w:before="30"/>
        <w:ind w:left="634" w:right="172"/>
        <w:jc w:val="left"/>
      </w:pPr>
      <w:r>
        <w:rPr/>
        <w:t>ⅱ．这些交易整体才能达成一项完整的商业结果； ⅲ．一项交易的发生取决于其他至少一项交易的发生； ⅳ．一项交易单独看是不经济的，但是和其他交易一并考虑时是经济的。 处置对子公司股权投资直至丧失控制权的各项交易属于一揽子交易的，本公司将各项交</w:t>
      </w:r>
    </w:p>
    <w:p>
      <w:pPr>
        <w:pStyle w:val="BodyText"/>
        <w:spacing w:line="312" w:lineRule="exact"/>
        <w:ind w:right="189"/>
        <w:jc w:val="both"/>
      </w:pPr>
      <w:r>
        <w:rPr/>
        <w:t>易作为一项处置子公司并丧失控制权的交易进行会计处理；但是，在丧失控制权之前每一次 处置价款与处置投资对应的享有该子公司净资产份额的差额，在合并财务报表中确认为其他 综合收益，在丧失控制权时一并转入丧失控制权当期的损益。</w:t>
      </w:r>
    </w:p>
    <w:p>
      <w:pPr>
        <w:pStyle w:val="BodyText"/>
        <w:spacing w:line="312" w:lineRule="exact"/>
        <w:ind w:right="191" w:firstLine="480"/>
        <w:jc w:val="both"/>
      </w:pPr>
      <w:r>
        <w:rPr/>
        <w:t>处置对子公司股权投资直至丧失控制权的各项交易不属于一揽子交易的，在丧失控制权 之前，按不丧失控制权的情况下部分处置对子公司的股权投资的相关政策进行会计处理；在 丧失控制权时，按处置子公司一般处理方法进行会计处理。</w:t>
      </w:r>
    </w:p>
    <w:p>
      <w:pPr>
        <w:pStyle w:val="BodyText"/>
        <w:spacing w:line="312" w:lineRule="exact"/>
        <w:ind w:left="634" w:right="172"/>
        <w:jc w:val="left"/>
      </w:pPr>
      <w:r>
        <w:rPr/>
        <w:t>（</w:t>
      </w:r>
      <w:r>
        <w:rPr>
          <w:rFonts w:ascii="Times New Roman" w:hAnsi="Times New Roman" w:cs="Times New Roman" w:eastAsia="Times New Roman" w:hint="default"/>
        </w:rPr>
        <w:t>3</w:t>
      </w:r>
      <w:r>
        <w:rPr/>
        <w:t>）购买子公司少数股权 本公司因购买少数股权新取得的长期股权投资与按照新增持股比例计算应享有子公司自</w:t>
      </w:r>
    </w:p>
    <w:p>
      <w:pPr>
        <w:pStyle w:val="BodyText"/>
        <w:spacing w:line="312" w:lineRule="exact"/>
        <w:ind w:right="172"/>
        <w:jc w:val="left"/>
      </w:pPr>
      <w:r>
        <w:rPr/>
        <w:t>购买日（或合并日）开始持续计算的净资产份额之间的差额，调整合并资产负债表中的资本 公积中的股本溢价，资本公积中的股本溢价不足冲减的，调整留存收益。</w:t>
      </w:r>
    </w:p>
    <w:p>
      <w:pPr>
        <w:pStyle w:val="BodyText"/>
        <w:spacing w:line="312" w:lineRule="exact"/>
        <w:ind w:right="172" w:firstLine="480"/>
        <w:jc w:val="left"/>
      </w:pPr>
      <w:r>
        <w:rPr/>
        <w:t>（</w:t>
      </w:r>
      <w:r>
        <w:rPr>
          <w:rFonts w:ascii="Times New Roman" w:hAnsi="Times New Roman" w:cs="Times New Roman" w:eastAsia="Times New Roman" w:hint="default"/>
        </w:rPr>
        <w:t>4</w:t>
      </w:r>
      <w:r>
        <w:rPr/>
        <w:t>）不丧失控制权的情况下部分处置对子公司的长期股权投资 在不丧失控制权的情况下因部分处置对子公司的长期股权投资而取得的处置价款与处置长期 股权投资相对应享有子公司自购买日或合并日开始持续计算的净资产份额之间的差额，调整 合并资产负债表中的资本公积中的股本溢价，资本公积中的股本溢价不足冲减的，调整留存</w:t>
      </w:r>
    </w:p>
    <w:p>
      <w:pPr>
        <w:pStyle w:val="BodyText"/>
        <w:spacing w:line="284" w:lineRule="exact"/>
        <w:ind w:right="0"/>
        <w:jc w:val="both"/>
      </w:pPr>
      <w:r>
        <w:rPr/>
        <w:t>收益。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、合营安排分类及共同经营会计处理方法</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left="634" w:right="172"/>
        <w:jc w:val="left"/>
      </w:pPr>
      <w:r>
        <w:rPr/>
        <w:t>合营安排分为共同经营和合营企业。 当本公司是合营安排的合营方，享有该安排相关资产且承担该安排相关负债时，为共同</w:t>
      </w:r>
    </w:p>
    <w:p>
      <w:pPr>
        <w:pStyle w:val="BodyText"/>
        <w:spacing w:line="282" w:lineRule="exact"/>
        <w:ind w:right="0"/>
        <w:jc w:val="both"/>
      </w:pPr>
      <w:r>
        <w:rPr/>
        <w:t>经营。</w:t>
      </w:r>
    </w:p>
    <w:p>
      <w:pPr>
        <w:pStyle w:val="BodyText"/>
        <w:spacing w:line="312" w:lineRule="exact" w:before="29"/>
        <w:ind w:right="172" w:firstLine="480"/>
        <w:jc w:val="left"/>
      </w:pPr>
      <w:r>
        <w:rPr/>
        <w:t>本公司确认与共同经营中利益份额相关的下列项目，并按照相关企业会计准则的规定进 行会计处理：</w:t>
      </w:r>
    </w:p>
    <w:p>
      <w:pPr>
        <w:pStyle w:val="BodyText"/>
        <w:spacing w:line="291" w:lineRule="exact"/>
        <w:ind w:left="634" w:right="0"/>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pStyle w:val="BodyText"/>
        <w:spacing w:line="312" w:lineRule="exact"/>
        <w:ind w:left="634" w:right="0"/>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pStyle w:val="BodyText"/>
        <w:spacing w:line="312" w:lineRule="exact"/>
        <w:ind w:left="634" w:right="0"/>
        <w:jc w:val="left"/>
      </w:pPr>
      <w:r>
        <w:rPr/>
        <w:t>（</w:t>
      </w:r>
      <w:r>
        <w:rPr>
          <w:rFonts w:ascii="Times New Roman" w:hAnsi="Times New Roman" w:cs="Times New Roman" w:eastAsia="Times New Roman" w:hint="default"/>
        </w:rPr>
        <w:t>3</w:t>
      </w:r>
      <w:r>
        <w:rPr/>
        <w:t>）确认出售本公司享有的共同经营产出份额所产生的收入；</w:t>
      </w:r>
    </w:p>
    <w:p>
      <w:pPr>
        <w:pStyle w:val="BodyText"/>
        <w:spacing w:line="312" w:lineRule="exact"/>
        <w:ind w:left="634" w:right="0"/>
        <w:jc w:val="left"/>
      </w:pPr>
      <w:r>
        <w:rPr/>
        <w:t>（</w:t>
      </w:r>
      <w:r>
        <w:rPr>
          <w:rFonts w:ascii="Times New Roman" w:hAnsi="Times New Roman" w:cs="Times New Roman" w:eastAsia="Times New Roman" w:hint="default"/>
        </w:rPr>
        <w:t>4</w:t>
      </w:r>
      <w:r>
        <w:rPr/>
        <w:t>）按本公司份额确认共同经营因出售产出所产生的收入；</w:t>
      </w:r>
    </w:p>
    <w:p>
      <w:pPr>
        <w:pStyle w:val="BodyText"/>
        <w:spacing w:line="312" w:lineRule="exact" w:before="20"/>
        <w:ind w:right="1252" w:firstLine="480"/>
        <w:jc w:val="left"/>
      </w:pPr>
      <w:r>
        <w:rPr/>
        <w:t>（</w:t>
      </w:r>
      <w:r>
        <w:rPr>
          <w:rFonts w:ascii="Times New Roman" w:hAnsi="Times New Roman" w:cs="Times New Roman" w:eastAsia="Times New Roman" w:hint="default"/>
        </w:rPr>
        <w:t>5</w:t>
      </w:r>
      <w:r>
        <w:rPr/>
        <w:t>）确认单独所发生的费用，以及按本公司份额确认共同经营发生的费用。 本公司对合营企业投资的会计政策见本附注</w:t>
      </w:r>
      <w:r>
        <w:rPr>
          <w:rFonts w:ascii="Times New Roman" w:hAnsi="Times New Roman" w:cs="Times New Roman" w:eastAsia="Times New Roman" w:hint="default"/>
        </w:rPr>
        <w:t>“</w:t>
      </w:r>
      <w:r>
        <w:rPr/>
        <w:t>三、（十二）长期股权投资</w:t>
      </w:r>
      <w:r>
        <w:rPr>
          <w:rFonts w:ascii="Times New Roman" w:hAnsi="Times New Roman" w:cs="Times New Roman" w:eastAsia="Times New Roman" w:hint="default"/>
        </w:rPr>
        <w:t>”</w:t>
      </w:r>
      <w:r>
        <w:rPr/>
        <w:t>。</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7"/>
          <w:szCs w:val="17"/>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、现金及现金等价物的确定标准</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240" w:lineRule="auto"/>
        <w:ind w:left="538" w:right="0"/>
        <w:jc w:val="left"/>
      </w:pPr>
      <w:r>
        <w:rPr>
          <w:spacing w:val="-3"/>
        </w:rPr>
        <w:t>在编制现金流量表时，将本公司库存现金以及可以随时用于支付的存款确认为现金。将同</w:t>
      </w:r>
    </w:p>
    <w:p>
      <w:pPr>
        <w:spacing w:after="0" w:line="240" w:lineRule="auto"/>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12" w:lineRule="exact" w:before="56"/>
        <w:ind w:right="252"/>
        <w:jc w:val="left"/>
      </w:pPr>
      <w:r>
        <w:rPr/>
        <w:t>时具备期限短（从购买日起三个月内到期）、流动性强、易于转换为已知现金、价值变动风 险很小四个条件的投资，确定为现金等价物。</w:t>
      </w:r>
    </w:p>
    <w:p>
      <w:pPr>
        <w:spacing w:line="240" w:lineRule="auto" w:before="5"/>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9</w:t>
      </w:r>
      <w:r>
        <w:rPr>
          <w:rFonts w:ascii="Microsoft JhengHei" w:hAnsi="Microsoft JhengHei" w:cs="Microsoft JhengHei" w:eastAsia="Microsoft JhengHei" w:hint="default"/>
          <w:b/>
          <w:bCs/>
          <w:sz w:val="21"/>
          <w:szCs w:val="21"/>
        </w:rPr>
        <w:t>、外币业务和外币报表折算</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8"/>
          <w:szCs w:val="18"/>
        </w:rPr>
      </w:pPr>
    </w:p>
    <w:p>
      <w:pPr>
        <w:pStyle w:val="BodyText"/>
        <w:spacing w:line="312" w:lineRule="exact"/>
        <w:ind w:left="634" w:right="252" w:firstLine="28"/>
        <w:jc w:val="left"/>
      </w:pPr>
      <w:r>
        <w:rPr>
          <w:rFonts w:ascii="Times New Roman" w:hAnsi="Times New Roman" w:cs="Times New Roman" w:eastAsia="Times New Roman" w:hint="default"/>
        </w:rPr>
        <w:t>1</w:t>
      </w:r>
      <w:r>
        <w:rPr/>
        <w:t>、外币业务 外币业务采用交易发生日的即期汇率作为折算汇率将外币金额折合成人民币记账。资产</w:t>
      </w:r>
    </w:p>
    <w:p>
      <w:pPr>
        <w:pStyle w:val="BodyText"/>
        <w:spacing w:line="312" w:lineRule="exact"/>
        <w:ind w:right="269"/>
        <w:jc w:val="both"/>
      </w:pPr>
      <w:r>
        <w:rPr/>
        <w:t>负债表日外币货币性项目余额按资产负债表日即期汇率折算，由此产生的汇兑差额，除属于 与购建符合资本化条件的资产相关的外币专门借款产生的汇兑差额按照借款费用资本化的原 则处理外，均计入当期损益。</w:t>
      </w:r>
    </w:p>
    <w:p>
      <w:pPr>
        <w:pStyle w:val="BodyText"/>
        <w:spacing w:line="312" w:lineRule="auto" w:before="89"/>
        <w:ind w:left="634" w:right="252" w:firstLine="112"/>
        <w:jc w:val="left"/>
      </w:pPr>
      <w:r>
        <w:rPr>
          <w:rFonts w:ascii="Times New Roman" w:hAnsi="Times New Roman" w:cs="Times New Roman" w:eastAsia="Times New Roman" w:hint="default"/>
        </w:rPr>
        <w:t>2</w:t>
      </w:r>
      <w:r>
        <w:rPr/>
        <w:t>、外币财务报表的折算 资产负债表中的资产和负债项目，采用资产负债表日的即期汇率折算；所有者权益项目</w:t>
      </w:r>
    </w:p>
    <w:p>
      <w:pPr>
        <w:pStyle w:val="BodyText"/>
        <w:spacing w:line="248" w:lineRule="exact"/>
        <w:ind w:right="0"/>
        <w:jc w:val="left"/>
      </w:pPr>
      <w:r>
        <w:rPr/>
        <w:t>除</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w:t>
      </w:r>
      <w:r>
        <w:rPr/>
        <w:t>项目外，其他项目采用发生时的即期汇率折算。利润表中的收入和费用项目，</w:t>
      </w:r>
    </w:p>
    <w:p>
      <w:pPr>
        <w:pStyle w:val="BodyText"/>
        <w:spacing w:line="312" w:lineRule="exact" w:before="20"/>
        <w:ind w:right="252"/>
        <w:jc w:val="left"/>
      </w:pPr>
      <w:r>
        <w:rPr/>
        <w:t>采用交易发生日的即期汇率折算。 处置境外经营时，将资产负债表中所有者权益项目下列示的、与该境外经营相关的外币财务 报表折算差额，自所有者权益项目转入处置当期损益。</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、金融工具</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312" w:lineRule="auto"/>
        <w:ind w:left="634" w:right="252" w:firstLine="52"/>
        <w:jc w:val="left"/>
      </w:pPr>
      <w:r>
        <w:rPr>
          <w:rFonts w:ascii="Times New Roman" w:hAnsi="Times New Roman" w:cs="Times New Roman" w:eastAsia="Times New Roman" w:hint="default"/>
        </w:rPr>
        <w:t>1</w:t>
      </w:r>
      <w:r>
        <w:rPr/>
        <w:t>、金融工具的分类 金融资产和金融负债于初始确认时分类为：以公允价值计量且其变动计入当期损益的金</w:t>
      </w:r>
    </w:p>
    <w:p>
      <w:pPr>
        <w:pStyle w:val="BodyText"/>
        <w:spacing w:line="239" w:lineRule="exact"/>
        <w:ind w:right="0"/>
        <w:jc w:val="left"/>
      </w:pPr>
      <w:r>
        <w:rPr/>
        <w:t>融资产或金融负债，包括交易性金融资产或金融负债和直接指定为以公允价值计量且其变动</w:t>
      </w:r>
    </w:p>
    <w:p>
      <w:pPr>
        <w:pStyle w:val="BodyText"/>
        <w:spacing w:line="312" w:lineRule="exact" w:before="29"/>
        <w:ind w:right="252"/>
        <w:jc w:val="left"/>
      </w:pPr>
      <w:r>
        <w:rPr/>
        <w:t>计入当期损益的金融资产或金融负债；持有至到期投资；应收款项；可供出售金融资产；其 他金融负债等。</w:t>
      </w:r>
    </w:p>
    <w:p>
      <w:pPr>
        <w:pStyle w:val="BodyText"/>
        <w:spacing w:line="240" w:lineRule="auto" w:before="89"/>
        <w:ind w:left="687" w:right="0"/>
        <w:jc w:val="left"/>
      </w:pPr>
      <w:r>
        <w:rPr>
          <w:rFonts w:ascii="Times New Roman" w:hAnsi="Times New Roman" w:cs="Times New Roman" w:eastAsia="Times New Roman" w:hint="default"/>
        </w:rPr>
        <w:t>2</w:t>
      </w:r>
      <w:r>
        <w:rPr/>
        <w:t>、金融工具的确认依据和计量方法</w:t>
      </w:r>
    </w:p>
    <w:p>
      <w:pPr>
        <w:pStyle w:val="BodyText"/>
        <w:spacing w:line="312" w:lineRule="exact" w:before="130"/>
        <w:ind w:left="634" w:right="252" w:hanging="145"/>
        <w:jc w:val="left"/>
      </w:pPr>
      <w:r>
        <w:rPr/>
        <w:t>（</w:t>
      </w:r>
      <w:r>
        <w:rPr>
          <w:rFonts w:ascii="Times New Roman" w:hAnsi="Times New Roman" w:cs="Times New Roman" w:eastAsia="Times New Roman" w:hint="default"/>
        </w:rPr>
        <w:t>1</w:t>
      </w:r>
      <w:r>
        <w:rPr/>
        <w:t>）以公允价值计量且其变动计入当期损益的金融资产（金融负债） 取得时以公允价值（扣除已宣告但尚未发放的现金股利或已到付息期但尚未领取的债券</w:t>
      </w:r>
    </w:p>
    <w:p>
      <w:pPr>
        <w:pStyle w:val="BodyText"/>
        <w:spacing w:line="312" w:lineRule="exact"/>
        <w:ind w:left="634" w:right="0" w:hanging="481"/>
        <w:jc w:val="left"/>
      </w:pPr>
      <w:r>
        <w:rPr/>
        <w:t>利息）作为初始确认金额，相关的交易费用计入当期损益。 </w:t>
      </w:r>
      <w:r>
        <w:rPr>
          <w:spacing w:val="-3"/>
        </w:rPr>
        <w:t>持有期间将取得的利息或现金股利确认为投资收益，期末将公允价值变动计入当期损益。</w:t>
      </w:r>
      <w:r>
        <w:rPr/>
        <w:t> 处置时，其公允价值与初始入账金额之间的差额确认为投资收益，同时调整公允价值变</w:t>
      </w:r>
    </w:p>
    <w:p>
      <w:pPr>
        <w:pStyle w:val="BodyText"/>
        <w:spacing w:line="283" w:lineRule="exact"/>
        <w:ind w:right="0"/>
        <w:jc w:val="left"/>
      </w:pPr>
      <w:r>
        <w:rPr/>
        <w:t>动损益。</w:t>
      </w:r>
    </w:p>
    <w:p>
      <w:pPr>
        <w:pStyle w:val="BodyText"/>
        <w:spacing w:line="312" w:lineRule="auto" w:before="118"/>
        <w:ind w:left="634" w:right="252"/>
        <w:jc w:val="left"/>
      </w:pPr>
      <w:r>
        <w:rPr/>
        <w:t>（</w:t>
      </w:r>
      <w:r>
        <w:rPr>
          <w:rFonts w:ascii="Times New Roman" w:hAnsi="Times New Roman" w:cs="Times New Roman" w:eastAsia="Times New Roman" w:hint="default"/>
        </w:rPr>
        <w:t>2</w:t>
      </w:r>
      <w:r>
        <w:rPr/>
        <w:t>）持有至到期投资 取得时按公允价值（扣除已到付息期但尚未领取的债券利息）和相关交易费用之和作为</w:t>
      </w:r>
    </w:p>
    <w:p>
      <w:pPr>
        <w:pStyle w:val="BodyText"/>
        <w:spacing w:line="239" w:lineRule="exact"/>
        <w:ind w:right="0"/>
        <w:jc w:val="left"/>
      </w:pPr>
      <w:r>
        <w:rPr/>
        <w:t>初始确认金额。</w:t>
      </w:r>
    </w:p>
    <w:p>
      <w:pPr>
        <w:pStyle w:val="BodyText"/>
        <w:spacing w:line="312" w:lineRule="exact" w:before="29"/>
        <w:ind w:right="252" w:firstLine="480"/>
        <w:jc w:val="left"/>
      </w:pPr>
      <w:r>
        <w:rPr/>
        <w:t>持有期间按照摊余成本和实际利率计算确认利息收入，计入投资收益。实际利率在取得 时确定，在该预期存续期间或适用的更短期间内保持不变。</w:t>
      </w:r>
    </w:p>
    <w:p>
      <w:pPr>
        <w:pStyle w:val="BodyText"/>
        <w:spacing w:line="284" w:lineRule="exact"/>
        <w:ind w:left="634" w:right="0"/>
        <w:jc w:val="left"/>
      </w:pPr>
      <w:r>
        <w:rPr/>
        <w:t>处置时，将所取得价款与该投资账面价值之间的差额计入投资收益。</w:t>
      </w:r>
    </w:p>
    <w:p>
      <w:pPr>
        <w:pStyle w:val="BodyText"/>
        <w:spacing w:line="312" w:lineRule="auto" w:before="118"/>
        <w:ind w:left="634" w:right="252"/>
        <w:jc w:val="left"/>
      </w:pPr>
      <w:r>
        <w:rPr/>
        <w:t>（</w:t>
      </w:r>
      <w:r>
        <w:rPr>
          <w:rFonts w:ascii="Times New Roman" w:hAnsi="Times New Roman" w:cs="Times New Roman" w:eastAsia="Times New Roman" w:hint="default"/>
        </w:rPr>
        <w:t>3</w:t>
      </w:r>
      <w:r>
        <w:rPr/>
        <w:t>）应收款项 公司对外销售商品或提供劳务形成的应收债权，以及公司持有的其他企业的不包括在活</w:t>
      </w:r>
    </w:p>
    <w:p>
      <w:pPr>
        <w:pStyle w:val="BodyText"/>
        <w:spacing w:line="240" w:lineRule="exact"/>
        <w:ind w:right="0"/>
        <w:jc w:val="left"/>
      </w:pPr>
      <w:r>
        <w:rPr/>
        <w:t>跃市场上有报价的债务工具的债权，包括应收账款、其他应收款等，以向购货方应收的合同</w:t>
      </w:r>
    </w:p>
    <w:p>
      <w:pPr>
        <w:spacing w:after="0" w:line="240" w:lineRule="exact"/>
        <w:jc w:val="left"/>
        <w:sectPr>
          <w:pgSz w:w="11910" w:h="16840"/>
          <w:pgMar w:header="747" w:footer="979" w:top="1060" w:bottom="1160" w:left="980" w:right="900"/>
        </w:sectPr>
      </w:pPr>
    </w:p>
    <w:p>
      <w:pPr>
        <w:spacing w:line="240" w:lineRule="auto" w:before="7"/>
        <w:rPr>
          <w:rFonts w:ascii="宋体" w:hAnsi="宋体" w:cs="宋体" w:eastAsia="宋体" w:hint="default"/>
          <w:sz w:val="23"/>
          <w:szCs w:val="23"/>
        </w:rPr>
      </w:pPr>
    </w:p>
    <w:p>
      <w:pPr>
        <w:pStyle w:val="BodyText"/>
        <w:spacing w:line="312" w:lineRule="exact" w:before="56"/>
        <w:ind w:left="634" w:right="972" w:hanging="481"/>
        <w:jc w:val="left"/>
      </w:pPr>
      <w:r>
        <w:rPr/>
        <w:t>或协议价款作为初始确认金额；具有融资性质的，按其现值进行初始确认。 收回或处置时，将取得的价款与该应收款项账面价值之间的差额计入当期损益。</w:t>
      </w:r>
    </w:p>
    <w:p>
      <w:pPr>
        <w:pStyle w:val="BodyText"/>
        <w:spacing w:line="312" w:lineRule="auto" w:before="89"/>
        <w:ind w:left="634" w:right="252"/>
        <w:jc w:val="left"/>
      </w:pPr>
      <w:r>
        <w:rPr/>
        <w:t>（</w:t>
      </w:r>
      <w:r>
        <w:rPr>
          <w:rFonts w:ascii="Times New Roman" w:hAnsi="Times New Roman" w:cs="Times New Roman" w:eastAsia="Times New Roman" w:hint="default"/>
        </w:rPr>
        <w:t>4</w:t>
      </w:r>
      <w:r>
        <w:rPr/>
        <w:t>）可供出售金融资产 取得时按公允价值（扣除已宣告但尚未发放的现金股利或已到付息期但尚未领取的债券</w:t>
      </w:r>
    </w:p>
    <w:p>
      <w:pPr>
        <w:pStyle w:val="BodyText"/>
        <w:spacing w:line="239" w:lineRule="exact"/>
        <w:ind w:right="0"/>
        <w:jc w:val="left"/>
      </w:pPr>
      <w:r>
        <w:rPr/>
        <w:t>利息）和相关交易费用之和作为初始确认金额。</w:t>
      </w:r>
    </w:p>
    <w:p>
      <w:pPr>
        <w:pStyle w:val="BodyText"/>
        <w:spacing w:line="312" w:lineRule="exact" w:before="29"/>
        <w:ind w:right="269" w:firstLine="480"/>
        <w:jc w:val="both"/>
      </w:pPr>
      <w:r>
        <w:rPr/>
        <w:t>持有期间将取得的利息或现金股利确认为投资收益。期末以公允价值计量且将公允价值 变动计入其他综合收益。但是，在活跃市场中没有报价且其公允价值不能可靠计量的权益工 具投资，以及与该权益工具挂钩并须通过交付该权益工具结算的衍生金融资产，按照成本计 量。</w:t>
      </w:r>
    </w:p>
    <w:p>
      <w:pPr>
        <w:pStyle w:val="BodyText"/>
        <w:spacing w:line="312" w:lineRule="exact"/>
        <w:ind w:right="252" w:firstLine="480"/>
        <w:jc w:val="left"/>
      </w:pPr>
      <w:r>
        <w:rPr/>
        <w:t>处置时，将取得的价款与该金融资产账面价值之间的差额，计入投资损益；同时，将原 直接计入所有者权益的公允价值变动累计额对应处置部分的金额转出，计入投资损益。</w:t>
      </w:r>
    </w:p>
    <w:p>
      <w:pPr>
        <w:pStyle w:val="BodyText"/>
        <w:spacing w:line="312" w:lineRule="auto" w:before="89"/>
        <w:ind w:left="634" w:right="492"/>
        <w:jc w:val="left"/>
      </w:pPr>
      <w:r>
        <w:rPr/>
        <w:t>（</w:t>
      </w:r>
      <w:r>
        <w:rPr>
          <w:rFonts w:ascii="Times New Roman" w:hAnsi="Times New Roman" w:cs="Times New Roman" w:eastAsia="Times New Roman" w:hint="default"/>
        </w:rPr>
        <w:t>5</w:t>
      </w:r>
      <w:r>
        <w:rPr/>
        <w:t>）其他金融负债 按其公允价值和相关交易费用之和作为初始确认金额。采用摊余成本进行后续计量。</w:t>
      </w:r>
    </w:p>
    <w:p>
      <w:pPr>
        <w:pStyle w:val="BodyText"/>
        <w:spacing w:line="248" w:lineRule="exact"/>
        <w:ind w:left="634" w:right="0"/>
        <w:jc w:val="left"/>
      </w:pPr>
      <w:r>
        <w:rPr>
          <w:rFonts w:ascii="Times New Roman" w:hAnsi="Times New Roman" w:cs="Times New Roman" w:eastAsia="Times New Roman" w:hint="default"/>
        </w:rPr>
        <w:t>3</w:t>
      </w:r>
      <w:r>
        <w:rPr/>
        <w:t>、金融资产转移的确认依据和计量方法</w:t>
      </w:r>
    </w:p>
    <w:p>
      <w:pPr>
        <w:pStyle w:val="BodyText"/>
        <w:spacing w:line="312" w:lineRule="exact" w:before="20"/>
        <w:ind w:right="271" w:firstLine="480"/>
        <w:jc w:val="both"/>
      </w:pPr>
      <w:r>
        <w:rPr/>
        <w:t>公司发生金融资产转移时，如已将金融资产所有权上几乎所有的风险和报酬转移给转入 方，则终止确认该金融资产；如保留了金融资产所有权上几乎所有的风险和报酬的，则不终 止确认该金融资产。</w:t>
      </w:r>
    </w:p>
    <w:p>
      <w:pPr>
        <w:pStyle w:val="BodyText"/>
        <w:spacing w:line="312" w:lineRule="exact"/>
        <w:ind w:right="0" w:firstLine="480"/>
        <w:jc w:val="left"/>
      </w:pPr>
      <w:r>
        <w:rPr>
          <w:spacing w:val="-3"/>
        </w:rPr>
        <w:t>在判断金融资产转移是否满足上述金融资产终止确认条件时，采用实质重于形式的原则。</w:t>
      </w:r>
      <w:r>
        <w:rPr/>
        <w:t> 公司将金融资产转移区分为金融资产整体转移和部分转移。金融资产整体转移满足终止确认 条件的，将下列两项金额的差额计入当期损益：</w:t>
      </w:r>
    </w:p>
    <w:p>
      <w:pPr>
        <w:pStyle w:val="BodyText"/>
        <w:spacing w:line="292" w:lineRule="exact"/>
        <w:ind w:left="634" w:right="0"/>
        <w:jc w:val="left"/>
      </w:pPr>
      <w:r>
        <w:rPr/>
        <w:t>（</w:t>
      </w:r>
      <w:r>
        <w:rPr>
          <w:rFonts w:ascii="Times New Roman" w:hAnsi="Times New Roman" w:cs="Times New Roman" w:eastAsia="Times New Roman" w:hint="default"/>
        </w:rPr>
        <w:t>1</w:t>
      </w:r>
      <w:r>
        <w:rPr/>
        <w:t>）所转移金融资产的账面价值；</w:t>
      </w:r>
    </w:p>
    <w:p>
      <w:pPr>
        <w:pStyle w:val="BodyText"/>
        <w:spacing w:line="312" w:lineRule="exact" w:before="20"/>
        <w:ind w:right="0" w:firstLine="480"/>
        <w:jc w:val="left"/>
      </w:pPr>
      <w:r>
        <w:rPr>
          <w:spacing w:val="-3"/>
        </w:rPr>
        <w:t>（</w:t>
      </w:r>
      <w:r>
        <w:rPr>
          <w:rFonts w:ascii="Times New Roman" w:hAnsi="Times New Roman" w:cs="Times New Roman" w:eastAsia="Times New Roman" w:hint="default"/>
          <w:spacing w:val="-3"/>
        </w:rPr>
        <w:t>2</w:t>
      </w:r>
      <w:r>
        <w:rPr>
          <w:spacing w:val="-3"/>
        </w:rPr>
        <w:t>）因转移而收到的对价，与原直接计入所有者权益的公允价值变动累计额（涉及转移</w:t>
      </w:r>
      <w:r>
        <w:rPr/>
        <w:t> 的金融资产为可供出售金融资产的情形）之和。</w:t>
      </w:r>
    </w:p>
    <w:p>
      <w:pPr>
        <w:pStyle w:val="BodyText"/>
        <w:spacing w:line="312" w:lineRule="exact"/>
        <w:ind w:right="269" w:firstLine="480"/>
        <w:jc w:val="both"/>
      </w:pPr>
      <w:r>
        <w:rPr/>
        <w:t>金融资产部分转移满足终止确认条件的，将所转移金融资产整体的账面价值，在终止确 认部分和未终止确认部分之间，按照各自的相对公允价值进行分摊，并将下列两项金额的差 额计入当期损益：</w:t>
      </w:r>
    </w:p>
    <w:p>
      <w:pPr>
        <w:pStyle w:val="BodyText"/>
        <w:spacing w:line="291" w:lineRule="exact"/>
        <w:ind w:left="634" w:right="0"/>
        <w:jc w:val="left"/>
      </w:pPr>
      <w:r>
        <w:rPr/>
        <w:t>（</w:t>
      </w:r>
      <w:r>
        <w:rPr>
          <w:rFonts w:ascii="Times New Roman" w:hAnsi="Times New Roman" w:cs="Times New Roman" w:eastAsia="Times New Roman" w:hint="default"/>
        </w:rPr>
        <w:t>1</w:t>
      </w:r>
      <w:r>
        <w:rPr/>
        <w:t>）终止确认部分的账面价值；</w:t>
      </w:r>
    </w:p>
    <w:p>
      <w:pPr>
        <w:pStyle w:val="BodyText"/>
        <w:spacing w:line="312" w:lineRule="exact" w:before="20"/>
        <w:ind w:right="0" w:firstLine="480"/>
        <w:jc w:val="left"/>
      </w:pPr>
      <w:r>
        <w:rPr>
          <w:spacing w:val="-3"/>
        </w:rPr>
        <w:t>（</w:t>
      </w:r>
      <w:r>
        <w:rPr>
          <w:rFonts w:ascii="Times New Roman" w:hAnsi="Times New Roman" w:cs="Times New Roman" w:eastAsia="Times New Roman" w:hint="default"/>
          <w:spacing w:val="-3"/>
        </w:rPr>
        <w:t>2</w:t>
      </w:r>
      <w:r>
        <w:rPr>
          <w:spacing w:val="-3"/>
        </w:rPr>
        <w:t>）终止确认部分的对价，与原直接计入所有者权益的公允价值变动累计额中对应终止</w:t>
      </w:r>
      <w:r>
        <w:rPr/>
        <w:t> 确认部分的金额（涉及转移的金融资产为可供出售金融资产的情形）之和。 金融资产转移不满足终止确认条件的，继续确认该金融资产，所收到的对价确认为一项金融 负债。</w:t>
      </w:r>
    </w:p>
    <w:p>
      <w:pPr>
        <w:pStyle w:val="BodyText"/>
        <w:spacing w:line="312" w:lineRule="exact"/>
        <w:ind w:left="634" w:right="252"/>
        <w:jc w:val="left"/>
      </w:pPr>
      <w:r>
        <w:rPr>
          <w:rFonts w:ascii="Times New Roman" w:hAnsi="Times New Roman" w:cs="Times New Roman" w:eastAsia="Times New Roman" w:hint="default"/>
        </w:rPr>
        <w:t>4</w:t>
      </w:r>
      <w:r>
        <w:rPr/>
        <w:t>、金融负债终止确认条件 金融负债的现时义务全部或部分已经解除的，则终止确认该金融负债或其一部分；本公</w:t>
      </w:r>
    </w:p>
    <w:p>
      <w:pPr>
        <w:pStyle w:val="BodyText"/>
        <w:spacing w:line="312" w:lineRule="exact"/>
        <w:ind w:right="252"/>
        <w:jc w:val="left"/>
      </w:pPr>
      <w:r>
        <w:rPr/>
        <w:t>司若与债权人签定协议，以承担新金融负债方式替换现存金融负债，且新金融负债与现存金 融负债的合同条款实质上不同的，则终止确认现存金融负债，并同时确认新金融负债。</w:t>
      </w:r>
    </w:p>
    <w:p>
      <w:pPr>
        <w:pStyle w:val="BodyText"/>
        <w:spacing w:line="312" w:lineRule="exact"/>
        <w:ind w:right="252" w:firstLine="480"/>
        <w:jc w:val="left"/>
      </w:pPr>
      <w:r>
        <w:rPr/>
        <w:t>对现存金融负债全部或部分合同条款作出实质性修改的，则终止确认现存金融负债或其 一部分，同时将修改条款后的金融负债确认为一项新金融负债。</w:t>
      </w:r>
    </w:p>
    <w:p>
      <w:pPr>
        <w:pStyle w:val="BodyText"/>
        <w:spacing w:line="283" w:lineRule="exact"/>
        <w:ind w:left="634" w:right="0"/>
        <w:jc w:val="left"/>
      </w:pPr>
      <w:r>
        <w:rPr/>
        <w:t>金融负债全部或部分终止确认时，终止确认的金融负债账面价值与支付对价（包括转出</w:t>
      </w:r>
    </w:p>
    <w:p>
      <w:pPr>
        <w:pStyle w:val="BodyText"/>
        <w:spacing w:line="312" w:lineRule="exact" w:before="30"/>
        <w:ind w:left="634" w:right="252" w:hanging="481"/>
        <w:jc w:val="left"/>
      </w:pPr>
      <w:r>
        <w:rPr/>
        <w:t>的非现金资产或承担的新金融负债）之间的差额，计入当期损益。 本公司若回购部分金融负债的，在回购日按照继续确认部分与终止确认部分的相对公允</w:t>
      </w:r>
    </w:p>
    <w:p>
      <w:pPr>
        <w:pStyle w:val="BodyText"/>
        <w:spacing w:line="312" w:lineRule="exact"/>
        <w:ind w:right="252"/>
        <w:jc w:val="left"/>
      </w:pPr>
      <w:r>
        <w:rPr/>
        <w:t>价值，将该金融负债整体的账面价值进行分配。分配给终止确认部分的账面价值与支付的对 价（包括转出的非现金资产或承担的新金融负债）之间的差额，计入当期损益。</w:t>
      </w:r>
    </w:p>
    <w:p>
      <w:pPr>
        <w:pStyle w:val="BodyText"/>
        <w:spacing w:line="302" w:lineRule="exact"/>
        <w:ind w:left="634" w:right="0"/>
        <w:jc w:val="left"/>
      </w:pPr>
      <w:r>
        <w:rPr>
          <w:rFonts w:ascii="Times New Roman" w:hAnsi="Times New Roman" w:cs="Times New Roman" w:eastAsia="Times New Roman" w:hint="default"/>
        </w:rPr>
        <w:t>5</w:t>
      </w:r>
      <w:r>
        <w:rPr/>
        <w:t>、金融资产和金融负债公允价值的确定方法</w:t>
      </w:r>
    </w:p>
    <w:p>
      <w:pPr>
        <w:spacing w:after="0" w:line="302" w:lineRule="exact"/>
        <w:jc w:val="left"/>
        <w:sectPr>
          <w:pgSz w:w="11910" w:h="16840"/>
          <w:pgMar w:header="747" w:footer="979" w:top="1060" w:bottom="1160" w:left="980" w:right="900"/>
        </w:sectPr>
      </w:pPr>
    </w:p>
    <w:p>
      <w:pPr>
        <w:spacing w:line="240" w:lineRule="auto" w:before="7"/>
        <w:rPr>
          <w:rFonts w:ascii="宋体" w:hAnsi="宋体" w:cs="宋体" w:eastAsia="宋体" w:hint="default"/>
          <w:sz w:val="23"/>
          <w:szCs w:val="23"/>
        </w:rPr>
      </w:pPr>
    </w:p>
    <w:p>
      <w:pPr>
        <w:pStyle w:val="BodyText"/>
        <w:spacing w:line="237" w:lineRule="auto" w:before="28"/>
        <w:ind w:right="190"/>
        <w:jc w:val="both"/>
      </w:pPr>
      <w:r>
        <w:rPr/>
        <w:t>存在活跃市场的金融工具，以活跃市场中的报价确定其公允价值。不存在活跃市场的金融工 具，采用估值技术确定其公允价值。在估值时，本公司采用在当前情况下适用并且有足够可 利用数据和其他信息支持的估值技术，选择与市场参与者在相关资产或负债的交易中所考虑 的资产或负债特征相一致的输入值，并优先使用相关可观察输入值。只有在相关可观察输入 值无法取得或取得不切实可行的情况下，才使用不可观察输入值。</w:t>
      </w:r>
    </w:p>
    <w:p>
      <w:pPr>
        <w:pStyle w:val="BodyText"/>
        <w:spacing w:line="312" w:lineRule="exact" w:before="29"/>
        <w:ind w:left="634" w:right="172"/>
        <w:jc w:val="left"/>
      </w:pPr>
      <w:r>
        <w:rPr>
          <w:rFonts w:ascii="Times New Roman" w:hAnsi="Times New Roman" w:cs="Times New Roman" w:eastAsia="Times New Roman" w:hint="default"/>
        </w:rPr>
        <w:t>6</w:t>
      </w:r>
      <w:r>
        <w:rPr/>
        <w:t>、金融资产（不含应收款项）减值准备计提 除以公允价值计量且其变动计入当期损益的金融资产外，本公司于资产负债表日对金融</w:t>
      </w:r>
    </w:p>
    <w:p>
      <w:pPr>
        <w:pStyle w:val="BodyText"/>
        <w:spacing w:line="282" w:lineRule="exact"/>
        <w:ind w:right="0"/>
        <w:jc w:val="both"/>
      </w:pPr>
      <w:r>
        <w:rPr/>
        <w:t>资产的账面价值进行检查，如果有客观证据表明某项金融资产发生减值的，计提减值准备。</w:t>
      </w:r>
    </w:p>
    <w:p>
      <w:pPr>
        <w:pStyle w:val="BodyText"/>
        <w:spacing w:line="312" w:lineRule="exact" w:before="29"/>
        <w:ind w:left="634" w:right="172"/>
        <w:jc w:val="left"/>
      </w:pPr>
      <w:r>
        <w:rPr/>
        <w:t>（</w:t>
      </w:r>
      <w:r>
        <w:rPr>
          <w:rFonts w:ascii="Times New Roman" w:hAnsi="Times New Roman" w:cs="Times New Roman" w:eastAsia="Times New Roman" w:hint="default"/>
        </w:rPr>
        <w:t>1</w:t>
      </w:r>
      <w:r>
        <w:rPr/>
        <w:t>）可供出售金融资产的减值准备： 期末如果可供出售金融资产的公允价值发生严重下降，或在综合考虑各种相关因素后，</w:t>
      </w:r>
    </w:p>
    <w:p>
      <w:pPr>
        <w:pStyle w:val="BodyText"/>
        <w:spacing w:line="312" w:lineRule="exact"/>
        <w:ind w:right="190"/>
        <w:jc w:val="both"/>
      </w:pPr>
      <w:r>
        <w:rPr/>
        <w:t>预期这种下降趋势属于非暂时性的，就认定其已发生减值，将原直接计入所有者权益的公允 价值下降形成的累计损失一并转出，确认减值损失。</w:t>
      </w:r>
    </w:p>
    <w:p>
      <w:pPr>
        <w:pStyle w:val="BodyText"/>
        <w:spacing w:line="312" w:lineRule="exact"/>
        <w:ind w:right="172" w:firstLine="480"/>
        <w:jc w:val="left"/>
      </w:pPr>
      <w:r>
        <w:rPr/>
        <w:t>对于已确认减值损失的可供出售债务工具，在随后的会计期间公允价值已上升且客观上 与确认原减值损失确认后发生的事项有关的，原确认的减值损失予以转回，计入当期损益。</w:t>
      </w:r>
    </w:p>
    <w:p>
      <w:pPr>
        <w:pStyle w:val="BodyText"/>
        <w:spacing w:line="282" w:lineRule="exact"/>
        <w:ind w:left="634" w:right="0"/>
        <w:jc w:val="left"/>
      </w:pPr>
      <w:r>
        <w:rPr/>
        <w:t>可供出售权益工具投资发生的减值损失，不得通过损益转回。</w:t>
      </w:r>
    </w:p>
    <w:p>
      <w:pPr>
        <w:pStyle w:val="BodyText"/>
        <w:spacing w:line="312" w:lineRule="exact" w:before="29"/>
        <w:ind w:right="2332" w:firstLine="480"/>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5"/>
        <w:rPr>
          <w:rFonts w:ascii="宋体" w:hAnsi="宋体" w:cs="宋体" w:eastAsia="宋体" w:hint="default"/>
          <w:sz w:val="17"/>
          <w:szCs w:val="17"/>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11</w:t>
      </w:r>
      <w:r>
        <w:rPr>
          <w:rFonts w:ascii="Microsoft JhengHei" w:hAnsi="Microsoft JhengHei" w:cs="Microsoft JhengHei" w:eastAsia="Microsoft JhengHei" w:hint="default"/>
          <w:b/>
          <w:bCs/>
          <w:sz w:val="21"/>
          <w:szCs w:val="21"/>
        </w:rPr>
        <w:t>、应收款项</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）单项金额重大并单独计提坏账准备的应收款项</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单项金额重大的具体标准为：应收款项余额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万元以上的</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款项；其他应收款余额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万元以上的款项。</w:t>
            </w:r>
          </w:p>
        </w:tc>
      </w:tr>
      <w:tr>
        <w:trPr>
          <w:trHeight w:val="1338"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3" w:right="24"/>
              <w:jc w:val="both"/>
              <w:rPr>
                <w:rFonts w:ascii="宋体" w:hAnsi="宋体" w:cs="宋体" w:eastAsia="宋体" w:hint="default"/>
                <w:sz w:val="18"/>
                <w:szCs w:val="18"/>
              </w:rPr>
            </w:pPr>
            <w:r>
              <w:rPr>
                <w:rFonts w:ascii="宋体" w:hAnsi="宋体" w:cs="宋体" w:eastAsia="宋体" w:hint="default"/>
                <w:sz w:val="18"/>
                <w:szCs w:val="18"/>
              </w:rPr>
              <w:t>单独进行减值测试，如有客观证据表明其发生了减值的</w:t>
            </w:r>
            <w:r>
              <w:rPr>
                <w:rFonts w:ascii="Times New Roman" w:hAnsi="Times New Roman" w:cs="Times New Roman" w:eastAsia="Times New Roman" w:hint="default"/>
                <w:sz w:val="18"/>
                <w:szCs w:val="18"/>
              </w:rPr>
              <w:t>,</w:t>
            </w:r>
            <w:r>
              <w:rPr>
                <w:rFonts w:ascii="宋体" w:hAnsi="宋体" w:cs="宋体" w:eastAsia="宋体" w:hint="default"/>
                <w:sz w:val="18"/>
                <w:szCs w:val="18"/>
              </w:rPr>
              <w:t>按预 计未来现金流量现值低于其账面价值的差额计提坏账准备， 计入当期损益。单独测试未发生减值的单项金额重大的应收 款项，将其归入相应组合计提应收款项坏账准备。</w:t>
            </w:r>
          </w:p>
        </w:tc>
      </w:tr>
    </w:tbl>
    <w:p>
      <w:pPr>
        <w:spacing w:line="240" w:lineRule="auto" w:before="7"/>
        <w:rPr>
          <w:rFonts w:ascii="Microsoft JhengHei" w:hAnsi="Microsoft JhengHei" w:cs="Microsoft JhengHei" w:eastAsia="Microsoft JhengHei" w:hint="default"/>
          <w:b/>
          <w:bCs/>
          <w:sz w:val="14"/>
          <w:szCs w:val="1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）按信用风险特征组合计提坏账准备的应收款项</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组合中，采用账龄分析法计提坏账准备的：</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w:t>
      </w:r>
    </w:p>
    <w:p>
      <w:pPr>
        <w:spacing w:line="338" w:lineRule="auto" w:before="117"/>
        <w:ind w:left="154" w:right="65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）单项金额不重大但单独计提坏账准备的应收款项</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69"/>
              <w:jc w:val="left"/>
              <w:rPr>
                <w:rFonts w:ascii="宋体" w:hAnsi="宋体" w:cs="宋体" w:eastAsia="宋体" w:hint="default"/>
                <w:sz w:val="18"/>
                <w:szCs w:val="18"/>
              </w:rPr>
            </w:pPr>
            <w:r>
              <w:rPr>
                <w:rFonts w:ascii="宋体" w:hAnsi="宋体" w:cs="宋体" w:eastAsia="宋体" w:hint="default"/>
                <w:sz w:val="18"/>
                <w:szCs w:val="18"/>
              </w:rPr>
              <w:t>公司对于单项金额不重大但需要单独进行减值测试的应收款 项。</w:t>
            </w:r>
          </w:p>
        </w:tc>
      </w:tr>
      <w:tr>
        <w:trPr>
          <w:trHeight w:val="715"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69"/>
              <w:jc w:val="left"/>
              <w:rPr>
                <w:rFonts w:ascii="宋体" w:hAnsi="宋体" w:cs="宋体" w:eastAsia="宋体" w:hint="default"/>
                <w:sz w:val="18"/>
                <w:szCs w:val="18"/>
              </w:rPr>
            </w:pPr>
            <w:r>
              <w:rPr>
                <w:rFonts w:ascii="宋体" w:hAnsi="宋体" w:cs="宋体" w:eastAsia="宋体" w:hint="default"/>
                <w:sz w:val="18"/>
                <w:szCs w:val="18"/>
              </w:rPr>
              <w:t>根据预计未来现金流量现值低于其账面价值的差额计提坏账 准备。</w:t>
            </w:r>
          </w:p>
        </w:tc>
      </w:tr>
    </w:tbl>
    <w:p>
      <w:pPr>
        <w:spacing w:line="240" w:lineRule="auto" w:before="7"/>
        <w:rPr>
          <w:rFonts w:ascii="Microsoft JhengHei" w:hAnsi="Microsoft JhengHei" w:cs="Microsoft JhengHei" w:eastAsia="Microsoft JhengHei" w:hint="default"/>
          <w:b/>
          <w:bCs/>
          <w:sz w:val="14"/>
          <w:szCs w:val="14"/>
        </w:rPr>
      </w:pPr>
    </w:p>
    <w:p>
      <w:pPr>
        <w:spacing w:line="334" w:lineRule="exact"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12</w:t>
      </w:r>
      <w:r>
        <w:rPr>
          <w:rFonts w:ascii="Microsoft JhengHei" w:hAnsi="Microsoft JhengHei" w:cs="Microsoft JhengHei" w:eastAsia="Microsoft JhengHei" w:hint="default"/>
          <w:b/>
          <w:bCs/>
          <w:sz w:val="21"/>
          <w:szCs w:val="21"/>
        </w:rPr>
        <w:t>、存货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13</w:t>
      </w:r>
      <w:r>
        <w:rPr>
          <w:rFonts w:ascii="Microsoft JhengHei" w:hAnsi="Microsoft JhengHei" w:cs="Microsoft JhengHei" w:eastAsia="Microsoft JhengHei" w:hint="default"/>
          <w:b/>
          <w:bCs/>
          <w:sz w:val="21"/>
          <w:szCs w:val="21"/>
        </w:rPr>
        <w:t>、划分为持有待售资产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14</w:t>
      </w:r>
      <w:r>
        <w:rPr>
          <w:rFonts w:ascii="Microsoft JhengHei" w:hAnsi="Microsoft JhengHei" w:cs="Microsoft JhengHei" w:eastAsia="Microsoft JhengHei" w:hint="default"/>
          <w:b/>
          <w:bCs/>
          <w:sz w:val="21"/>
          <w:szCs w:val="21"/>
        </w:rPr>
        <w:t>、长期股权投资</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left="634" w:right="172"/>
        <w:jc w:val="left"/>
      </w:pPr>
      <w:r>
        <w:rPr>
          <w:rFonts w:ascii="Times New Roman" w:hAnsi="Times New Roman" w:cs="Times New Roman" w:eastAsia="Times New Roman" w:hint="default"/>
        </w:rPr>
        <w:t>1</w:t>
      </w:r>
      <w:r>
        <w:rPr/>
        <w:t>、共同控制、重大影响的判断标准 共同控制，是指按照相关约定对某项安排所共有的控制，并且该安排的相关活动必须经</w:t>
      </w:r>
    </w:p>
    <w:p>
      <w:pPr>
        <w:pStyle w:val="BodyText"/>
        <w:spacing w:line="312" w:lineRule="exact"/>
        <w:ind w:right="190"/>
        <w:jc w:val="both"/>
      </w:pPr>
      <w:r>
        <w:rPr/>
        <w:t>过分享控制权的参与方一致同意后才能决策。本公司与其他合营方一同对被投资单位实施共 同控制且对被投资单位净资产享有权利的，被投资单位为本公司的合营企业。</w:t>
      </w:r>
    </w:p>
    <w:p>
      <w:pPr>
        <w:pStyle w:val="BodyText"/>
        <w:spacing w:line="312" w:lineRule="exact"/>
        <w:ind w:right="191" w:firstLine="480"/>
        <w:jc w:val="both"/>
      </w:pPr>
      <w:r>
        <w:rPr/>
        <w:t>重大影响，是指对一个企业的财务和经营决策有参与决策的权力，但并不能够控制或者 与其他方一起共同控制这些政策的制定。本公司能够对被投资单位施加重大影响的，被投资 单位为本公司联营企业。</w:t>
      </w:r>
    </w:p>
    <w:p>
      <w:pPr>
        <w:pStyle w:val="BodyText"/>
        <w:spacing w:line="291" w:lineRule="exact"/>
        <w:ind w:left="634" w:right="0"/>
        <w:jc w:val="left"/>
      </w:pPr>
      <w:r>
        <w:rPr>
          <w:rFonts w:ascii="Times New Roman" w:hAnsi="Times New Roman" w:cs="Times New Roman" w:eastAsia="Times New Roman" w:hint="default"/>
        </w:rPr>
        <w:t>2</w:t>
      </w:r>
      <w:r>
        <w:rPr/>
        <w:t>、初始投资成本的确定</w:t>
      </w:r>
    </w:p>
    <w:p>
      <w:pPr>
        <w:pStyle w:val="BodyText"/>
        <w:spacing w:line="312" w:lineRule="exact" w:before="20"/>
        <w:ind w:left="634" w:right="172" w:hanging="241"/>
        <w:jc w:val="left"/>
      </w:pPr>
      <w:r>
        <w:rPr/>
        <w:t>（</w:t>
      </w:r>
      <w:r>
        <w:rPr>
          <w:rFonts w:ascii="Times New Roman" w:hAnsi="Times New Roman" w:cs="Times New Roman" w:eastAsia="Times New Roman" w:hint="default"/>
        </w:rPr>
        <w:t>1</w:t>
      </w:r>
      <w:r>
        <w:rPr/>
        <w:t>）企业合并形成的长期股权投资 同一控制下的企业合并：公司以支付现金、转让非现金资产或承担债务方式以及以发行</w:t>
      </w:r>
    </w:p>
    <w:p>
      <w:pPr>
        <w:pStyle w:val="BodyText"/>
        <w:spacing w:line="312" w:lineRule="exact"/>
        <w:ind w:right="190"/>
        <w:jc w:val="both"/>
      </w:pPr>
      <w:r>
        <w:rPr/>
        <w:t>权益性证券作为合并对价的，在合并日按照取得被合并方所有者权益在最终控制方合并财务 报表中的账面价值的份额作为长期股权投资的初始投资成本。因追加投资等原因能够对同一 控制下的被投资单位实施控制的，在合并日根据合并后应享有被合并方净资产在最终控制方 合并财务报表中的账面价值的份额，确定长期股权投资的初始投资成本。合并日长期股权投 资的初始投资成本，与达到合并前的长期股权投资账面价值加上合并日进一步取得股份新支</w:t>
      </w:r>
    </w:p>
    <w:p>
      <w:pPr>
        <w:pStyle w:val="BodyText"/>
        <w:spacing w:line="312" w:lineRule="exact"/>
        <w:ind w:left="634" w:right="172" w:hanging="481"/>
        <w:jc w:val="left"/>
      </w:pPr>
      <w:r>
        <w:rPr/>
        <w:t>付对价的账面价值之和的差额，调整股本溢价，股本溢价不足冲减的，冲减留存收益。 非同一控制下的企业合并：公司按照购买日确定的合并成本作为长期股权投资的初始投</w:t>
      </w:r>
    </w:p>
    <w:p>
      <w:pPr>
        <w:pStyle w:val="BodyText"/>
        <w:spacing w:line="312" w:lineRule="exact"/>
        <w:ind w:right="190"/>
        <w:jc w:val="both"/>
      </w:pPr>
      <w:r>
        <w:rPr/>
        <w:t>资成本。因追加投资等原因能够对非同一控制下的被投资单位实施控制的，按照原持有的股 权投资账面价值加上新增投资成本之和，作为改按成本法核算的初始投资成本。</w:t>
      </w:r>
    </w:p>
    <w:p>
      <w:pPr>
        <w:pStyle w:val="BodyText"/>
        <w:spacing w:line="302" w:lineRule="exact"/>
        <w:ind w:left="634" w:right="0"/>
        <w:jc w:val="left"/>
      </w:pPr>
      <w:r>
        <w:rPr/>
        <w:t>（</w:t>
      </w:r>
      <w:r>
        <w:rPr>
          <w:rFonts w:ascii="Times New Roman" w:hAnsi="Times New Roman" w:cs="Times New Roman" w:eastAsia="Times New Roman" w:hint="default"/>
        </w:rPr>
        <w:t>2</w:t>
      </w:r>
      <w:r>
        <w:rPr/>
        <w:t>）其他方式取得的长期股权投资</w:t>
      </w:r>
    </w:p>
    <w:p>
      <w:pPr>
        <w:spacing w:after="0" w:line="302" w:lineRule="exact"/>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12" w:lineRule="exact" w:before="56"/>
        <w:ind w:left="634" w:right="252"/>
        <w:jc w:val="left"/>
      </w:pPr>
      <w:r>
        <w:rPr/>
        <w:t>以支付现金方式取得的长期股权投资，按照实际支付的购买价款作为初始投资成本。 以发行权益性证券取得的长期股权投资，按照发行权益性证券的公允价值作为初始投资</w:t>
      </w:r>
    </w:p>
    <w:p>
      <w:pPr>
        <w:pStyle w:val="BodyText"/>
        <w:spacing w:line="282" w:lineRule="exact"/>
        <w:ind w:right="0"/>
        <w:jc w:val="both"/>
      </w:pPr>
      <w:r>
        <w:rPr/>
        <w:t>成本。</w:t>
      </w:r>
    </w:p>
    <w:p>
      <w:pPr>
        <w:pStyle w:val="BodyText"/>
        <w:spacing w:line="237" w:lineRule="auto" w:before="1"/>
        <w:ind w:right="252" w:firstLine="480"/>
        <w:jc w:val="left"/>
      </w:pPr>
      <w:r>
        <w:rPr/>
        <w:t>在非货币性资产交换具备商业实质和换入资产或换出资产的公允价值能够可靠计量的前 提下，非货币性资产交换换入的长期股权投资以换出资产的公允价值和应支付的相关税费确 定其初始投资成本，除非有确凿证据表明换入资产的公允价值更加可靠；不满足上述前提的 非货币性资产交换，以换出资产的账面价值和应支付的相关税费作为换入长期股权投资的初 始投资成本。 通过债务重组取得的长期股权投资，其初始投资成本按照公允价值为基础确定。</w:t>
      </w:r>
    </w:p>
    <w:p>
      <w:pPr>
        <w:pStyle w:val="BodyText"/>
        <w:spacing w:line="320" w:lineRule="exact"/>
        <w:ind w:left="634" w:right="0"/>
        <w:jc w:val="left"/>
      </w:pPr>
      <w:r>
        <w:rPr>
          <w:rFonts w:ascii="Times New Roman" w:hAnsi="Times New Roman" w:cs="Times New Roman" w:eastAsia="Times New Roman" w:hint="default"/>
        </w:rPr>
        <w:t>3</w:t>
      </w:r>
      <w:r>
        <w:rPr/>
        <w:t>、后续计量及损益确认方法</w:t>
      </w:r>
    </w:p>
    <w:p>
      <w:pPr>
        <w:pStyle w:val="BodyText"/>
        <w:spacing w:line="312" w:lineRule="exact" w:before="20"/>
        <w:ind w:left="634" w:right="252"/>
        <w:jc w:val="left"/>
      </w:pPr>
      <w:r>
        <w:rPr/>
        <w:t>（</w:t>
      </w:r>
      <w:r>
        <w:rPr>
          <w:rFonts w:ascii="Times New Roman" w:hAnsi="Times New Roman" w:cs="Times New Roman" w:eastAsia="Times New Roman" w:hint="default"/>
        </w:rPr>
        <w:t>1</w:t>
      </w:r>
      <w:r>
        <w:rPr/>
        <w:t>）成本法核算的长期股权投资 公司对子公司的长期股权投资，采用成本法核算。除取得投资时实际支付的价款或对价</w:t>
      </w:r>
    </w:p>
    <w:p>
      <w:pPr>
        <w:pStyle w:val="BodyText"/>
        <w:spacing w:line="312" w:lineRule="exact"/>
        <w:ind w:right="271"/>
        <w:jc w:val="both"/>
      </w:pPr>
      <w:r>
        <w:rPr/>
        <w:t>中包含的已宣告但尚未发放的现金股利或利润外，公司按照享有被投资单位宣告发放的现金 股利或利润确认当期投资收益。</w:t>
      </w:r>
    </w:p>
    <w:p>
      <w:pPr>
        <w:pStyle w:val="BodyText"/>
        <w:spacing w:line="312" w:lineRule="exact"/>
        <w:ind w:left="634" w:right="252"/>
        <w:jc w:val="left"/>
      </w:pPr>
      <w:r>
        <w:rPr/>
        <w:t>（</w:t>
      </w:r>
      <w:r>
        <w:rPr>
          <w:rFonts w:ascii="Times New Roman" w:hAnsi="Times New Roman" w:cs="Times New Roman" w:eastAsia="Times New Roman" w:hint="default"/>
        </w:rPr>
        <w:t>2</w:t>
      </w:r>
      <w:r>
        <w:rPr/>
        <w:t>）权益法核算的长期股权投资 对联营企业和合营企业的长期股权投资，采用权益法核算。初始投资成本大于投资时应</w:t>
      </w:r>
    </w:p>
    <w:p>
      <w:pPr>
        <w:pStyle w:val="BodyText"/>
        <w:spacing w:line="312" w:lineRule="exact"/>
        <w:ind w:right="270"/>
        <w:jc w:val="both"/>
      </w:pPr>
      <w:r>
        <w:rPr/>
        <w:t>享有被投资单位可辨认净资产公允价值份额的差额，不调整长期股权投资的初始投资成本； 初始投资成本小于投资时应享有被投资单位可辨认净资产公允价值份额的差额，计入当期损 益。</w:t>
      </w:r>
    </w:p>
    <w:p>
      <w:pPr>
        <w:pStyle w:val="BodyText"/>
        <w:spacing w:line="312" w:lineRule="exact"/>
        <w:ind w:right="269" w:firstLine="480"/>
        <w:jc w:val="both"/>
      </w:pPr>
      <w:r>
        <w:rPr/>
        <w:t>公司按照应享有或应分担的被投资单位实现的净损益和其他综合收益的份额，分别确认 投资收益和其他综合收益，同时调整长期股权投资的账面价值；按照被投资单位宣告分派的 利润或现金股利计算应享有的部分，相应减少长期股权投资的账面价值；对于被投资单位除</w:t>
      </w:r>
    </w:p>
    <w:p>
      <w:pPr>
        <w:pStyle w:val="BodyText"/>
        <w:spacing w:line="312" w:lineRule="exact"/>
        <w:ind w:right="252"/>
        <w:jc w:val="left"/>
      </w:pPr>
      <w:r>
        <w:rPr/>
        <w:t>净损益、其他综合收益和利润分配以外所有者权益的其他变动，调整长期股权投资的账面价 值并计入所有者权益。</w:t>
      </w:r>
    </w:p>
    <w:p>
      <w:pPr>
        <w:pStyle w:val="BodyText"/>
        <w:spacing w:line="312" w:lineRule="exact"/>
        <w:ind w:right="94" w:firstLine="480"/>
        <w:jc w:val="left"/>
      </w:pPr>
      <w:r>
        <w:rPr/>
        <w:t>在确认应享有被投资单位净损益的份额时，以取得投资时被投资单位可辨认净资产的公 </w:t>
      </w:r>
      <w:r>
        <w:rPr>
          <w:spacing w:val="-2"/>
        </w:rPr>
        <w:t>允价值为基础，并按照公司的会计政策及会计期间，对被投资单位的净利润进行调整后确认。</w:t>
      </w:r>
      <w:r>
        <w:rPr/>
        <w:t> 在持有投资期间，被投资单位编制合并财务报表的，以合并财务报表中的净利润、其他综合 收益和其他所有者权益变动中归属于被投资单位的金额为基础进行核算。</w:t>
      </w:r>
    </w:p>
    <w:p>
      <w:pPr>
        <w:pStyle w:val="BodyText"/>
        <w:spacing w:line="312" w:lineRule="exact"/>
        <w:ind w:right="189" w:firstLine="480"/>
        <w:jc w:val="both"/>
      </w:pPr>
      <w:r>
        <w:rPr/>
        <w:t>公司与联营企业、合营企业之间发生的未实现内部交易损益按照应享有的比例计算归属 于公司的部分，予以抵销，在此基础上确认投资收益。与被投资单位发生的未实现内部交易 损失，属于资产减值损失的，全额确认。公司与联营企业、合营企业之间发生投出或出售资 </w:t>
      </w:r>
      <w:r>
        <w:rPr>
          <w:spacing w:val="-2"/>
        </w:rPr>
        <w:t>产的交易，该资产构成业务的，按照本附注</w:t>
      </w:r>
      <w:r>
        <w:rPr>
          <w:rFonts w:ascii="Times New Roman" w:hAnsi="Times New Roman" w:cs="Times New Roman" w:eastAsia="Times New Roman" w:hint="default"/>
          <w:spacing w:val="-2"/>
        </w:rPr>
        <w:t>“</w:t>
      </w:r>
      <w:r>
        <w:rPr>
          <w:spacing w:val="-2"/>
        </w:rPr>
        <w:t>二、（五）同一控制下和非同一控制下企业合并</w:t>
      </w:r>
      <w:r>
        <w:rPr>
          <w:spacing w:val="-108"/>
        </w:rPr>
        <w:t> </w:t>
      </w:r>
      <w:r>
        <w:rPr>
          <w:spacing w:val="-108"/>
        </w:rPr>
      </w:r>
      <w:r>
        <w:rPr/>
        <w:t>的会计处理方法</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二、（六）合并财务报表的编制方法</w:t>
      </w:r>
      <w:r>
        <w:rPr>
          <w:rFonts w:ascii="Times New Roman" w:hAnsi="Times New Roman" w:cs="Times New Roman" w:eastAsia="Times New Roman" w:hint="default"/>
        </w:rPr>
        <w:t>”</w:t>
      </w:r>
      <w:r>
        <w:rPr/>
        <w:t>中披露的相关政策进行会计处理。</w:t>
      </w:r>
    </w:p>
    <w:p>
      <w:pPr>
        <w:pStyle w:val="BodyText"/>
        <w:spacing w:line="312" w:lineRule="exact"/>
        <w:ind w:right="269" w:firstLine="480"/>
        <w:jc w:val="both"/>
      </w:pPr>
      <w:r>
        <w:rPr/>
        <w:t>在公司确认应分担被投资单位发生的亏损时，按照以下顺序进行处理：首先，冲减长期 股权投资的账面价值。其次，长期股权投资的账面价值不足以冲减的，以其他实质上构成对 被投资单位净投资的长期权益（提示：应明确该等长期权益的具体内容和认定标准）账面价 值为限继续确认投资损失，冲减长期应收项目等的账面价值。最后，经过上述处理，按照投 资合同或协议约定企业仍承担额外义务的，按预计承担的义务确认预计负债，计入当期投资 损失。</w:t>
      </w:r>
    </w:p>
    <w:p>
      <w:pPr>
        <w:pStyle w:val="BodyText"/>
        <w:spacing w:line="312" w:lineRule="exact"/>
        <w:ind w:right="2172" w:firstLine="480"/>
        <w:jc w:val="left"/>
      </w:pPr>
      <w:r>
        <w:rPr/>
        <w:t>（</w:t>
      </w:r>
      <w:r>
        <w:rPr>
          <w:rFonts w:ascii="Times New Roman" w:hAnsi="Times New Roman" w:cs="Times New Roman" w:eastAsia="Times New Roman" w:hint="default"/>
        </w:rPr>
        <w:t>3</w:t>
      </w:r>
      <w:r>
        <w:rPr/>
        <w:t>）长期股权投资的处置 处置长期股权投资，其账面价值与实际取得价款的差额，计入当期损益。</w:t>
      </w:r>
    </w:p>
    <w:p>
      <w:pPr>
        <w:pStyle w:val="BodyText"/>
        <w:spacing w:line="312" w:lineRule="exact"/>
        <w:ind w:right="269" w:firstLine="480"/>
        <w:jc w:val="both"/>
      </w:pPr>
      <w:r>
        <w:rPr/>
        <w:t>采用权益法核算的长期股权投资，在处置该项投资时，采用与被投资单位直接处置相关 资产或负债相同的基础，按相应比例对原计入其他综合收益的部分进行会计处理。因被投资 单位除净损益、其他综合收益和利润分配以外的其他所有者权益变动而确认的所有者权益，</w:t>
      </w:r>
    </w:p>
    <w:p>
      <w:pPr>
        <w:spacing w:after="0" w:line="312" w:lineRule="exact"/>
        <w:jc w:val="both"/>
        <w:sectPr>
          <w:pgSz w:w="11910" w:h="16840"/>
          <w:pgMar w:header="747" w:footer="979" w:top="1060" w:bottom="1160" w:left="980" w:right="900"/>
        </w:sectPr>
      </w:pPr>
    </w:p>
    <w:p>
      <w:pPr>
        <w:spacing w:line="240" w:lineRule="auto" w:before="7"/>
        <w:rPr>
          <w:rFonts w:ascii="宋体" w:hAnsi="宋体" w:cs="宋体" w:eastAsia="宋体" w:hint="default"/>
          <w:sz w:val="23"/>
          <w:szCs w:val="23"/>
        </w:rPr>
      </w:pPr>
    </w:p>
    <w:p>
      <w:pPr>
        <w:pStyle w:val="BodyText"/>
        <w:spacing w:line="312" w:lineRule="exact" w:before="56"/>
        <w:ind w:right="172"/>
        <w:jc w:val="left"/>
      </w:pPr>
      <w:r>
        <w:rPr/>
        <w:t>按比例结转入当期损益，由于被投资方重新计量设定受益计划净负债或净资产变动而产生的 其他综合收益除外。</w:t>
      </w:r>
    </w:p>
    <w:p>
      <w:pPr>
        <w:pStyle w:val="BodyText"/>
        <w:spacing w:line="312" w:lineRule="exact"/>
        <w:ind w:right="172" w:firstLine="480"/>
        <w:jc w:val="left"/>
      </w:pPr>
      <w:r>
        <w:rPr/>
        <w:t>因处置部分股权投资等原因丧失了对被投资单位的共同控制或重大影响的，处置后的剩 余股权改按金融工具确认和计量准则核算，其在丧失共同控制或重大影响之日的公允价值与</w:t>
      </w:r>
    </w:p>
    <w:p>
      <w:pPr>
        <w:pStyle w:val="BodyText"/>
        <w:spacing w:line="312" w:lineRule="exact"/>
        <w:ind w:right="189"/>
        <w:jc w:val="both"/>
      </w:pPr>
      <w:r>
        <w:rPr/>
        <w:t>账面价值之间的差额计入当期损益。原股权投资因采用权益法核算而确认的其他综合收益， 在终止采用权益法核算时采用与被投资单位直接处置相关资产或负债相同的基础进行会计处 理。因被投资方除净损益、其他综合收益和利润分配以外的其他所有者权益变动而确认的所 有者权益，在终止采用权益法核算时全部转入当期损益。</w:t>
      </w:r>
    </w:p>
    <w:p>
      <w:pPr>
        <w:pStyle w:val="BodyText"/>
        <w:spacing w:line="312" w:lineRule="exact"/>
        <w:ind w:right="172" w:firstLine="480"/>
        <w:jc w:val="left"/>
      </w:pPr>
      <w:r>
        <w:rPr/>
        <w:t>因处置部分股权投资、因其他投资方对子公司增资而导致本公司持股比例下降等原因丧 失了对被投资单位控制权的，在编制个别财务报表时，剩余股权能够对被投资单位实施共同 控制或重大影响的，改按权益法核算，并对该剩余股权视同自取得时即采用权益法核算进行 调整；剩余股权不能对被投资单位实施共同控制或施加重大影响的，改按金融工具确认和计 量准则的有关规定进行会计处理，其在丧失控制之日的公允价值与账面价值间的差额计入当 期损益。 处置的股权是因追加投资等原因通过企业合并取得的，在编制个别财务报表时，处置后的剩 余股权采用成本法或权益法核算的，购买日之前持有的股权投资因采用权益法核算而确认的 其他综合收益和其他所有者权益按比例结转；处置后的剩余股权改按金融工具确认和计量准 则进行会计处理的，其他综合收益和其他所有者权益全部结转。</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15</w:t>
      </w:r>
      <w:r>
        <w:rPr>
          <w:rFonts w:ascii="Microsoft JhengHei" w:hAnsi="Microsoft JhengHei" w:cs="Microsoft JhengHei" w:eastAsia="Microsoft JhengHei" w:hint="default"/>
          <w:b/>
          <w:bCs/>
          <w:sz w:val="21"/>
          <w:szCs w:val="21"/>
        </w:rPr>
        <w:t>、投资性房地产</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line="357" w:lineRule="auto" w:before="0"/>
        <w:ind w:left="154" w:right="7972" w:firstLine="0"/>
        <w:jc w:val="left"/>
        <w:rPr>
          <w:rFonts w:ascii="宋体" w:hAnsi="宋体" w:cs="宋体" w:eastAsia="宋体" w:hint="default"/>
          <w:sz w:val="18"/>
          <w:szCs w:val="18"/>
        </w:rPr>
      </w:pPr>
      <w:r>
        <w:rPr>
          <w:rFonts w:ascii="宋体" w:hAnsi="宋体" w:cs="宋体" w:eastAsia="宋体" w:hint="default"/>
          <w:sz w:val="18"/>
          <w:szCs w:val="18"/>
        </w:rPr>
        <w:t>投资性房地产计量模式 不适用</w:t>
      </w:r>
    </w:p>
    <w:p>
      <w:pPr>
        <w:spacing w:line="240" w:lineRule="auto" w:before="13"/>
        <w:rPr>
          <w:rFonts w:ascii="宋体" w:hAnsi="宋体" w:cs="宋体" w:eastAsia="宋体" w:hint="default"/>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16</w:t>
      </w:r>
      <w:r>
        <w:rPr>
          <w:rFonts w:ascii="Microsoft JhengHei" w:hAnsi="Microsoft JhengHei" w:cs="Microsoft JhengHei" w:eastAsia="Microsoft JhengHei" w:hint="default"/>
          <w:b/>
          <w:bCs/>
          <w:sz w:val="21"/>
          <w:szCs w:val="21"/>
        </w:rPr>
        <w:t>、固定资产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）确认条件</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19" w:lineRule="auto" w:before="0"/>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固定资产指为生产商品、提供劳务、出租或经营管理而持有，并且使用寿命超过一个会计年度的有形资产。固定资产在同时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满足下列条件时予以确认：（</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）与该固定资产有关的经济利益很可能流入企业；（</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）该固定资产的成本能够可靠地计量。</w:t>
      </w:r>
    </w:p>
    <w:p>
      <w:pPr>
        <w:spacing w:line="240" w:lineRule="auto" w:before="7"/>
        <w:rPr>
          <w:rFonts w:ascii="宋体" w:hAnsi="宋体" w:cs="宋体" w:eastAsia="宋体" w:hint="default"/>
          <w:sz w:val="15"/>
          <w:szCs w:val="15"/>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）折旧方法</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4.75%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计算机及办公设备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31.67%-19.00%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服务器</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31.67%-19.00%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办公家具</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48.00%-19.00%</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11"/>
        <w:rPr>
          <w:rFonts w:ascii="Microsoft JhengHei" w:hAnsi="Microsoft JhengHei" w:cs="Microsoft JhengHei" w:eastAsia="Microsoft JhengHei" w:hint="default"/>
          <w:b/>
          <w:bCs/>
          <w:sz w:val="18"/>
          <w:szCs w:val="18"/>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）融资租入固定资产的认定依据、计价和折旧方法</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17</w:t>
      </w:r>
      <w:r>
        <w:rPr>
          <w:rFonts w:ascii="Microsoft JhengHei" w:hAnsi="Microsoft JhengHei" w:cs="Microsoft JhengHei" w:eastAsia="Microsoft JhengHei" w:hint="default"/>
          <w:b/>
          <w:bCs/>
          <w:sz w:val="21"/>
          <w:szCs w:val="21"/>
        </w:rPr>
        <w:t>、在建工程</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18</w:t>
      </w:r>
      <w:r>
        <w:rPr>
          <w:rFonts w:ascii="Microsoft JhengHei" w:hAnsi="Microsoft JhengHei" w:cs="Microsoft JhengHei" w:eastAsia="Microsoft JhengHei" w:hint="default"/>
          <w:b/>
          <w:bCs/>
          <w:sz w:val="21"/>
          <w:szCs w:val="21"/>
        </w:rPr>
        <w:t>、借款费用</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left="634" w:right="172"/>
        <w:jc w:val="left"/>
      </w:pPr>
      <w:r>
        <w:rPr>
          <w:rFonts w:ascii="Times New Roman" w:hAnsi="Times New Roman" w:cs="Times New Roman" w:eastAsia="Times New Roman" w:hint="default"/>
        </w:rPr>
        <w:t>1</w:t>
      </w:r>
      <w:r>
        <w:rPr/>
        <w:t>、借款费用资本化的确认原则 借款费用，包括借款利息、折价或者溢价的摊销、辅助费用以及因外币借款而发生的汇</w:t>
      </w:r>
    </w:p>
    <w:p>
      <w:pPr>
        <w:pStyle w:val="BodyText"/>
        <w:spacing w:line="282" w:lineRule="exact"/>
        <w:ind w:right="0"/>
        <w:jc w:val="left"/>
      </w:pPr>
      <w:r>
        <w:rPr/>
        <w:t>兑差额等。</w:t>
      </w:r>
    </w:p>
    <w:p>
      <w:pPr>
        <w:pStyle w:val="BodyText"/>
        <w:spacing w:line="312" w:lineRule="exact" w:before="29"/>
        <w:ind w:right="191" w:firstLine="480"/>
        <w:jc w:val="both"/>
      </w:pPr>
      <w:r>
        <w:rPr/>
        <w:t>公司发生的借款费用，可直接归属于符合资本化条件的资产的购建或者生产的，予以资 本化，计入相关资产成本；其他借款费用，在发生时根据其发生额确认为费用，计入当期损 益。</w:t>
      </w:r>
    </w:p>
    <w:p>
      <w:pPr>
        <w:pStyle w:val="BodyText"/>
        <w:spacing w:line="312" w:lineRule="exact"/>
        <w:ind w:right="172" w:firstLine="480"/>
        <w:jc w:val="left"/>
      </w:pPr>
      <w:r>
        <w:rPr/>
        <w:t>符合资本化条件的资产，是指需要经过相当长时间的购建或者生产活动才能达到预定可 使用或者可销售状态的固定资产、投资性房地产和存货等资产。</w:t>
      </w:r>
    </w:p>
    <w:p>
      <w:pPr>
        <w:pStyle w:val="BodyText"/>
        <w:spacing w:line="282" w:lineRule="exact"/>
        <w:ind w:left="634" w:right="0"/>
        <w:jc w:val="left"/>
      </w:pPr>
      <w:r>
        <w:rPr/>
        <w:t>借款费用同时满足下列条件时开始资本化：</w:t>
      </w:r>
    </w:p>
    <w:p>
      <w:pPr>
        <w:pStyle w:val="BodyText"/>
        <w:spacing w:line="312" w:lineRule="exact" w:before="29"/>
        <w:ind w:right="0" w:firstLine="480"/>
        <w:jc w:val="left"/>
      </w:pPr>
      <w:r>
        <w:rPr>
          <w:spacing w:val="-3"/>
        </w:rPr>
        <w:t>（</w:t>
      </w:r>
      <w:r>
        <w:rPr>
          <w:rFonts w:ascii="Times New Roman" w:hAnsi="Times New Roman" w:cs="Times New Roman" w:eastAsia="Times New Roman" w:hint="default"/>
          <w:spacing w:val="-3"/>
        </w:rPr>
        <w:t>1</w:t>
      </w:r>
      <w:r>
        <w:rPr>
          <w:spacing w:val="-3"/>
        </w:rPr>
        <w:t>）资产支出已经发生，资产支出包括为购建或者生产符合资本化条件的资产而以支付</w:t>
      </w:r>
      <w:r>
        <w:rPr/>
        <w:t> 现金、转移非现金资产或者承担带息债务形式发生的支出；</w:t>
      </w:r>
    </w:p>
    <w:p>
      <w:pPr>
        <w:pStyle w:val="BodyText"/>
        <w:spacing w:line="291" w:lineRule="exact"/>
        <w:ind w:left="634" w:right="0"/>
        <w:jc w:val="left"/>
      </w:pPr>
      <w:r>
        <w:rPr/>
        <w:t>（</w:t>
      </w:r>
      <w:r>
        <w:rPr>
          <w:rFonts w:ascii="Times New Roman" w:hAnsi="Times New Roman" w:cs="Times New Roman" w:eastAsia="Times New Roman" w:hint="default"/>
        </w:rPr>
        <w:t>2</w:t>
      </w:r>
      <w:r>
        <w:rPr/>
        <w:t>）借款费用已经发生；</w:t>
      </w:r>
    </w:p>
    <w:p>
      <w:pPr>
        <w:pStyle w:val="BodyText"/>
        <w:spacing w:line="312" w:lineRule="auto"/>
        <w:ind w:left="634" w:right="172"/>
        <w:jc w:val="left"/>
      </w:pPr>
      <w:r>
        <w:rPr/>
        <w:t>（</w:t>
      </w:r>
      <w:r>
        <w:rPr>
          <w:rFonts w:ascii="Times New Roman" w:hAnsi="Times New Roman" w:cs="Times New Roman" w:eastAsia="Times New Roman" w:hint="default"/>
        </w:rPr>
        <w:t>3</w:t>
      </w:r>
      <w:r>
        <w:rPr/>
        <w:t>）为使资产达到预定可使用或者可销售状态所必要的购建或者生产活动已经开始。 </w:t>
      </w:r>
      <w:r>
        <w:rPr>
          <w:rFonts w:ascii="Times New Roman" w:hAnsi="Times New Roman" w:cs="Times New Roman" w:eastAsia="Times New Roman" w:hint="default"/>
        </w:rPr>
        <w:t>2</w:t>
      </w:r>
      <w:r>
        <w:rPr/>
        <w:t>、借款费用资本化期间 资本化期间，指从借款费用开始资本化时点到停止资本化时点的期间，借款费用暂停资</w:t>
      </w:r>
    </w:p>
    <w:p>
      <w:pPr>
        <w:pStyle w:val="BodyText"/>
        <w:spacing w:line="239" w:lineRule="exact"/>
        <w:ind w:right="0"/>
        <w:jc w:val="left"/>
      </w:pPr>
      <w:r>
        <w:rPr/>
        <w:t>本化的期间不包括在内。</w:t>
      </w:r>
    </w:p>
    <w:p>
      <w:pPr>
        <w:pStyle w:val="BodyText"/>
        <w:spacing w:line="312" w:lineRule="exact" w:before="29"/>
        <w:ind w:right="172" w:firstLine="480"/>
        <w:jc w:val="left"/>
      </w:pPr>
      <w:r>
        <w:rPr/>
        <w:t>当购建或者生产符合资本化条件的资产达到预定可使用或者可销售状态时，借款费用停 止资本化。</w:t>
      </w:r>
    </w:p>
    <w:p>
      <w:pPr>
        <w:pStyle w:val="BodyText"/>
        <w:spacing w:line="312" w:lineRule="exact"/>
        <w:ind w:right="172" w:firstLine="480"/>
        <w:jc w:val="left"/>
      </w:pPr>
      <w:r>
        <w:rPr/>
        <w:t>当购建或者生产符合资本化条件的资产中部分项目分别完工且可单独使用时，该部分资 产借款费用停止资本化。</w:t>
      </w:r>
    </w:p>
    <w:p>
      <w:pPr>
        <w:pStyle w:val="BodyText"/>
        <w:spacing w:line="312" w:lineRule="exact"/>
        <w:ind w:right="172" w:firstLine="480"/>
        <w:jc w:val="left"/>
      </w:pPr>
      <w:r>
        <w:rPr/>
        <w:t>购建或者生产的资产的各部分分别完工，但必须等到整体完工后才可使用或可对外销售 的，在该资产整体完工时停止借款费用资本化。</w:t>
      </w:r>
    </w:p>
    <w:p>
      <w:pPr>
        <w:pStyle w:val="BodyText"/>
        <w:spacing w:line="312" w:lineRule="auto" w:before="89"/>
        <w:ind w:left="634" w:right="292"/>
        <w:jc w:val="left"/>
        <w:rPr>
          <w:rFonts w:ascii="Times New Roman" w:hAnsi="Times New Roman" w:cs="Times New Roman" w:eastAsia="Times New Roman" w:hint="default"/>
        </w:rPr>
      </w:pPr>
      <w:r>
        <w:rPr>
          <w:rFonts w:ascii="Times New Roman" w:hAnsi="Times New Roman" w:cs="Times New Roman" w:eastAsia="Times New Roman" w:hint="default"/>
        </w:rPr>
        <w:t>3</w:t>
      </w:r>
      <w:r>
        <w:rPr/>
        <w:t>、暂停资本化期间 符合资本化条件的资产在购建或生产过程中发生的非正常中断、且中断时间连续超过</w:t>
      </w:r>
      <w:r>
        <w:rPr>
          <w:rFonts w:ascii="Times New Roman" w:hAnsi="Times New Roman" w:cs="Times New Roman" w:eastAsia="Times New Roman" w:hint="default"/>
        </w:rPr>
        <w:t>3</w:t>
      </w:r>
    </w:p>
    <w:p>
      <w:pPr>
        <w:pStyle w:val="BodyText"/>
        <w:spacing w:line="213" w:lineRule="exact"/>
        <w:ind w:right="0"/>
        <w:jc w:val="left"/>
      </w:pPr>
      <w:r>
        <w:rPr/>
        <w:t>个月的，则借款费用暂停资本化；该项中断如是所购建或生产的符合资本化条件的资产达到</w:t>
      </w:r>
    </w:p>
    <w:p>
      <w:pPr>
        <w:pStyle w:val="BodyText"/>
        <w:spacing w:line="312" w:lineRule="exact" w:before="29"/>
        <w:ind w:right="172"/>
        <w:jc w:val="left"/>
      </w:pPr>
      <w:r>
        <w:rPr/>
        <w:t>预定可使用状态或者可销售状态必要的程序，则借款费用继续资本化。在中断期间发生的借 款费用确认为当期损益，直至资产的购建或者生产活动重新开始后借款费用继续资本化。</w:t>
      </w:r>
    </w:p>
    <w:p>
      <w:pPr>
        <w:pStyle w:val="BodyText"/>
        <w:spacing w:line="312" w:lineRule="auto" w:before="89"/>
        <w:ind w:left="634" w:right="172"/>
        <w:jc w:val="left"/>
      </w:pPr>
      <w:r>
        <w:rPr>
          <w:rFonts w:ascii="Times New Roman" w:hAnsi="Times New Roman" w:cs="Times New Roman" w:eastAsia="Times New Roman" w:hint="default"/>
        </w:rPr>
        <w:t>4</w:t>
      </w:r>
      <w:r>
        <w:rPr/>
        <w:t>、借款费用资本化金额的计算方法 对于为购建或者生产符合资本化条件的资产而借入的专门借款，以专门借款当期实际发</w:t>
      </w:r>
    </w:p>
    <w:p>
      <w:pPr>
        <w:pStyle w:val="BodyText"/>
        <w:spacing w:line="239" w:lineRule="exact"/>
        <w:ind w:right="0"/>
        <w:jc w:val="left"/>
      </w:pPr>
      <w:r>
        <w:rPr/>
        <w:t>生的借款费用，减去尚未动用的借款资金存入银行取得的利息收入或进行暂时性投资取得的</w:t>
      </w:r>
    </w:p>
    <w:p>
      <w:pPr>
        <w:pStyle w:val="BodyText"/>
        <w:spacing w:line="240" w:lineRule="auto"/>
        <w:ind w:left="634" w:right="172" w:hanging="481"/>
        <w:jc w:val="left"/>
      </w:pPr>
      <w:r>
        <w:rPr/>
        <w:t>投资收益后的金额，来确定借款费用的资本化金额。 对于为购建或者生产符合资本化条件的资产而占用的一般借款，根据累计资产支出超过</w:t>
      </w:r>
    </w:p>
    <w:p>
      <w:pPr>
        <w:pStyle w:val="BodyText"/>
        <w:spacing w:line="312" w:lineRule="exact" w:before="28"/>
        <w:ind w:right="172"/>
        <w:jc w:val="left"/>
      </w:pPr>
      <w:r>
        <w:rPr/>
        <w:t>专门借款部分的资产支出加权平均数乘以所占用一般借款的资本化率，计算确定一般借款应 予资本化的利息金额。资本化率根据一般借款加权平均利率计算确定。 借款存在折价或者溢价的，按照实际利率法确定每一会计期间应摊销的折价或者溢价金额， 调整每期利息金额。</w:t>
      </w:r>
    </w:p>
    <w:p>
      <w:pPr>
        <w:spacing w:after="0" w:line="312" w:lineRule="exact"/>
        <w:jc w:val="left"/>
        <w:sectPr>
          <w:pgSz w:w="11910" w:h="16840"/>
          <w:pgMar w:header="747"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19"/>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19</w:t>
      </w:r>
      <w:r>
        <w:rPr>
          <w:rFonts w:ascii="Microsoft JhengHei" w:hAnsi="Microsoft JhengHei" w:cs="Microsoft JhengHei" w:eastAsia="Microsoft JhengHei" w:hint="default"/>
          <w:b/>
          <w:bCs/>
          <w:sz w:val="21"/>
          <w:szCs w:val="21"/>
        </w:rPr>
        <w:t>、生物资产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20</w:t>
      </w:r>
      <w:r>
        <w:rPr>
          <w:rFonts w:ascii="Microsoft JhengHei" w:hAnsi="Microsoft JhengHei" w:cs="Microsoft JhengHei" w:eastAsia="Microsoft JhengHei" w:hint="default"/>
          <w:b/>
          <w:bCs/>
          <w:sz w:val="21"/>
          <w:szCs w:val="21"/>
        </w:rPr>
        <w:t>、油气资产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21</w:t>
      </w:r>
      <w:r>
        <w:rPr>
          <w:rFonts w:ascii="Microsoft JhengHei" w:hAnsi="Microsoft JhengHei" w:cs="Microsoft JhengHei" w:eastAsia="Microsoft JhengHei" w:hint="default"/>
          <w:b/>
          <w:bCs/>
          <w:sz w:val="21"/>
          <w:szCs w:val="21"/>
        </w:rPr>
        <w:t>、无形资产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）计价方法、使用寿命、减值测试</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240" w:lineRule="auto"/>
        <w:ind w:left="615" w:right="6770"/>
        <w:jc w:val="center"/>
      </w:pPr>
      <w:r>
        <w:rPr>
          <w:rFonts w:ascii="Times New Roman" w:hAnsi="Times New Roman" w:cs="Times New Roman" w:eastAsia="Times New Roman" w:hint="default"/>
        </w:rPr>
        <w:t>1</w:t>
      </w:r>
      <w:r>
        <w:rPr/>
        <w:t>、无形资产的计价方法</w:t>
      </w:r>
    </w:p>
    <w:p>
      <w:pPr>
        <w:pStyle w:val="BodyText"/>
        <w:spacing w:line="312" w:lineRule="auto" w:before="99"/>
        <w:ind w:left="634" w:right="172" w:hanging="241"/>
        <w:jc w:val="left"/>
      </w:pPr>
      <w:r>
        <w:rPr/>
        <w:t>（</w:t>
      </w:r>
      <w:r>
        <w:rPr>
          <w:rFonts w:ascii="Times New Roman" w:hAnsi="Times New Roman" w:cs="Times New Roman" w:eastAsia="Times New Roman" w:hint="default"/>
        </w:rPr>
        <w:t>1</w:t>
      </w:r>
      <w:r>
        <w:rPr/>
        <w:t>）公司取得无形资产时按成本进行初始计量； 外购无形资产的成本，包括购买价款、相关税费以及直接归属于使该项资产达到预定用</w:t>
      </w:r>
    </w:p>
    <w:p>
      <w:pPr>
        <w:pStyle w:val="BodyText"/>
        <w:spacing w:line="239" w:lineRule="exact"/>
        <w:ind w:right="0"/>
        <w:jc w:val="left"/>
      </w:pPr>
      <w:r>
        <w:rPr/>
        <w:t>途所发生的其他支出。购买无形资产的价款超过正常信用条件延期支付，实质上具有融资性</w:t>
      </w:r>
    </w:p>
    <w:p>
      <w:pPr>
        <w:pStyle w:val="BodyText"/>
        <w:spacing w:line="312" w:lineRule="exact" w:before="29"/>
        <w:ind w:left="634" w:right="172" w:hanging="481"/>
        <w:jc w:val="left"/>
      </w:pPr>
      <w:r>
        <w:rPr/>
        <w:t>质的，无形资产的成本以购买价款的现值为基础确定。 债务重组取得债务人用以抵债的无形资产，以该无形资产的公允价值为基础确定其入账</w:t>
      </w:r>
    </w:p>
    <w:p>
      <w:pPr>
        <w:pStyle w:val="BodyText"/>
        <w:spacing w:line="312" w:lineRule="exact"/>
        <w:ind w:right="172"/>
        <w:jc w:val="left"/>
      </w:pPr>
      <w:r>
        <w:rPr/>
        <w:t>价值，并将重组债务的账面价值与该用以抵债的无形资产公允价值之间的差额，计入当期损 益；</w:t>
      </w:r>
    </w:p>
    <w:p>
      <w:pPr>
        <w:pStyle w:val="BodyText"/>
        <w:spacing w:line="312" w:lineRule="exact"/>
        <w:ind w:right="191" w:firstLine="480"/>
        <w:jc w:val="both"/>
      </w:pPr>
      <w:r>
        <w:rPr/>
        <w:t>在非货币性资产交换具备商业实质且换入资产或换出资产的公允价值能够可靠计量的前 提下，非货币性资产交换换入的无形资产以换出资产的公允价值为基础确定其入账价值，除 非有确凿证据表明换入资产的公允价值更加可靠；不满足上述前提的非货币性资产交换，以</w:t>
      </w:r>
    </w:p>
    <w:p>
      <w:pPr>
        <w:pStyle w:val="BodyText"/>
        <w:spacing w:line="284" w:lineRule="exact"/>
        <w:ind w:right="0"/>
        <w:jc w:val="left"/>
      </w:pPr>
      <w:r>
        <w:rPr/>
        <w:t>换出资产的账面价值和应支付的相关税费作为换入无形资产的成本，不确认损益。</w:t>
      </w:r>
    </w:p>
    <w:p>
      <w:pPr>
        <w:pStyle w:val="BodyText"/>
        <w:spacing w:line="312" w:lineRule="auto" w:before="118"/>
        <w:ind w:left="634" w:right="4972"/>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239" w:lineRule="exact"/>
        <w:ind w:left="634" w:right="0"/>
        <w:jc w:val="left"/>
      </w:pPr>
      <w:r>
        <w:rPr/>
        <w:t>对于使用寿命有限的无形资产，在为企业带来经济利益的期限内按直线法摊销；无法预</w:t>
      </w:r>
    </w:p>
    <w:p>
      <w:pPr>
        <w:pStyle w:val="BodyText"/>
        <w:spacing w:line="313" w:lineRule="exact"/>
        <w:ind w:right="0"/>
        <w:jc w:val="left"/>
      </w:pPr>
      <w:r>
        <w:rPr/>
        <w:t>见无形资产为企业带来经济利益期限的，视为使用寿命不确定的无形资产，不予摊销。</w:t>
      </w:r>
    </w:p>
    <w:p>
      <w:pPr>
        <w:pStyle w:val="BodyText"/>
        <w:spacing w:line="240" w:lineRule="auto" w:before="118"/>
        <w:ind w:left="634" w:right="0"/>
        <w:jc w:val="left"/>
      </w:pPr>
      <w:r>
        <w:rPr>
          <w:rFonts w:ascii="Times New Roman" w:hAnsi="Times New Roman" w:cs="Times New Roman" w:eastAsia="Times New Roman" w:hint="default"/>
        </w:rPr>
        <w:t>2</w:t>
      </w:r>
      <w:r>
        <w:rPr/>
        <w:t>、使用寿命有限的无形资产的使用寿命估计情况：</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864" w:type="dxa"/>
        <w:tblLayout w:type="fixed"/>
        <w:tblCellMar>
          <w:top w:w="0" w:type="dxa"/>
          <w:left w:w="0" w:type="dxa"/>
          <w:bottom w:w="0" w:type="dxa"/>
          <w:right w:w="0" w:type="dxa"/>
        </w:tblCellMar>
        <w:tblLook w:val="01E0"/>
      </w:tblPr>
      <w:tblGrid>
        <w:gridCol w:w="2878"/>
        <w:gridCol w:w="1803"/>
        <w:gridCol w:w="3422"/>
      </w:tblGrid>
      <w:tr>
        <w:trPr>
          <w:trHeight w:val="355" w:hRule="exact"/>
        </w:trPr>
        <w:tc>
          <w:tcPr>
            <w:tcW w:w="2878" w:type="dxa"/>
            <w:tcBorders>
              <w:top w:val="single" w:sz="6" w:space="0" w:color="000000"/>
              <w:left w:val="single" w:sz="6" w:space="0" w:color="000000"/>
              <w:bottom w:val="single" w:sz="12" w:space="0" w:color="000000"/>
              <w:right w:val="single" w:sz="6" w:space="0" w:color="000000"/>
            </w:tcBorders>
          </w:tcPr>
          <w:p>
            <w:pPr>
              <w:pStyle w:val="TableParagraph"/>
              <w:tabs>
                <w:tab w:pos="479" w:val="left" w:leader="none"/>
              </w:tabs>
              <w:spacing w:line="286" w:lineRule="exact"/>
              <w:ind w:right="0"/>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1803" w:type="dxa"/>
            <w:tcBorders>
              <w:top w:val="single" w:sz="6" w:space="0" w:color="000000"/>
              <w:left w:val="single" w:sz="6" w:space="0" w:color="000000"/>
              <w:bottom w:val="single" w:sz="12" w:space="0" w:color="000000"/>
              <w:right w:val="single" w:sz="6" w:space="0" w:color="000000"/>
            </w:tcBorders>
          </w:tcPr>
          <w:p>
            <w:pPr>
              <w:pStyle w:val="TableParagraph"/>
              <w:spacing w:line="286" w:lineRule="exact"/>
              <w:ind w:left="173" w:right="0"/>
              <w:jc w:val="left"/>
              <w:rPr>
                <w:rFonts w:ascii="宋体" w:hAnsi="宋体" w:cs="宋体" w:eastAsia="宋体" w:hint="default"/>
                <w:sz w:val="24"/>
                <w:szCs w:val="24"/>
              </w:rPr>
            </w:pPr>
            <w:r>
              <w:rPr>
                <w:rFonts w:ascii="宋体" w:hAnsi="宋体" w:cs="宋体" w:eastAsia="宋体" w:hint="default"/>
                <w:sz w:val="24"/>
                <w:szCs w:val="24"/>
              </w:rPr>
              <w:t>预计使用寿命</w:t>
            </w:r>
          </w:p>
        </w:tc>
        <w:tc>
          <w:tcPr>
            <w:tcW w:w="3422" w:type="dxa"/>
            <w:tcBorders>
              <w:top w:val="single" w:sz="6" w:space="0" w:color="000000"/>
              <w:left w:val="single" w:sz="6" w:space="0" w:color="000000"/>
              <w:bottom w:val="single" w:sz="12" w:space="0" w:color="000000"/>
              <w:right w:val="nil" w:sz="6" w:space="0" w:color="auto"/>
            </w:tcBorders>
          </w:tcPr>
          <w:p>
            <w:pPr>
              <w:pStyle w:val="TableParagraph"/>
              <w:spacing w:line="286" w:lineRule="exact"/>
              <w:ind w:right="6"/>
              <w:jc w:val="center"/>
              <w:rPr>
                <w:rFonts w:ascii="宋体" w:hAnsi="宋体" w:cs="宋体" w:eastAsia="宋体" w:hint="default"/>
                <w:sz w:val="24"/>
                <w:szCs w:val="24"/>
              </w:rPr>
            </w:pPr>
            <w:r>
              <w:rPr>
                <w:rFonts w:ascii="宋体" w:hAnsi="宋体" w:cs="宋体" w:eastAsia="宋体" w:hint="default"/>
                <w:sz w:val="24"/>
                <w:szCs w:val="24"/>
              </w:rPr>
              <w:t>依</w:t>
            </w:r>
            <w:r>
              <w:rPr>
                <w:rFonts w:ascii="宋体" w:hAnsi="宋体" w:cs="宋体" w:eastAsia="宋体" w:hint="default"/>
                <w:spacing w:val="72"/>
                <w:sz w:val="24"/>
                <w:szCs w:val="24"/>
              </w:rPr>
              <w:t> </w:t>
            </w:r>
            <w:r>
              <w:rPr>
                <w:rFonts w:ascii="宋体" w:hAnsi="宋体" w:cs="宋体" w:eastAsia="宋体" w:hint="default"/>
                <w:sz w:val="24"/>
                <w:szCs w:val="24"/>
              </w:rPr>
              <w:t>据</w:t>
            </w:r>
          </w:p>
        </w:tc>
      </w:tr>
      <w:tr>
        <w:trPr>
          <w:trHeight w:val="353" w:hRule="exact"/>
        </w:trPr>
        <w:tc>
          <w:tcPr>
            <w:tcW w:w="287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80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righ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宋体" w:hAnsi="宋体" w:cs="宋体" w:eastAsia="宋体" w:hint="default"/>
                <w:sz w:val="18"/>
                <w:szCs w:val="18"/>
              </w:rPr>
              <w:t>年</w:t>
            </w:r>
          </w:p>
        </w:tc>
        <w:tc>
          <w:tcPr>
            <w:tcW w:w="34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7"/>
              <w:jc w:val="right"/>
              <w:rPr>
                <w:rFonts w:ascii="宋体" w:hAnsi="宋体" w:cs="宋体" w:eastAsia="宋体" w:hint="default"/>
                <w:sz w:val="18"/>
                <w:szCs w:val="18"/>
              </w:rPr>
            </w:pPr>
            <w:r>
              <w:rPr>
                <w:rFonts w:ascii="宋体" w:hAnsi="宋体" w:cs="宋体" w:eastAsia="宋体" w:hint="default"/>
                <w:sz w:val="18"/>
                <w:szCs w:val="18"/>
              </w:rPr>
              <w:t>预计可使用年限</w:t>
            </w:r>
          </w:p>
        </w:tc>
      </w:tr>
      <w:tr>
        <w:trPr>
          <w:trHeight w:val="352" w:hRule="exact"/>
        </w:trPr>
        <w:tc>
          <w:tcPr>
            <w:tcW w:w="287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80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34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7"/>
              <w:jc w:val="right"/>
              <w:rPr>
                <w:rFonts w:ascii="宋体" w:hAnsi="宋体" w:cs="宋体" w:eastAsia="宋体" w:hint="default"/>
                <w:sz w:val="18"/>
                <w:szCs w:val="18"/>
              </w:rPr>
            </w:pPr>
            <w:r>
              <w:rPr>
                <w:rFonts w:ascii="宋体" w:hAnsi="宋体" w:cs="宋体" w:eastAsia="宋体" w:hint="default"/>
                <w:sz w:val="18"/>
                <w:szCs w:val="18"/>
              </w:rPr>
              <w:t>预计可使用年限</w:t>
            </w:r>
          </w:p>
        </w:tc>
      </w:tr>
      <w:tr>
        <w:trPr>
          <w:trHeight w:val="352" w:hRule="exact"/>
        </w:trPr>
        <w:tc>
          <w:tcPr>
            <w:tcW w:w="287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开发工具</w:t>
            </w:r>
          </w:p>
        </w:tc>
        <w:tc>
          <w:tcPr>
            <w:tcW w:w="180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342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7"/>
              <w:jc w:val="right"/>
              <w:rPr>
                <w:rFonts w:ascii="宋体" w:hAnsi="宋体" w:cs="宋体" w:eastAsia="宋体" w:hint="default"/>
                <w:sz w:val="18"/>
                <w:szCs w:val="18"/>
              </w:rPr>
            </w:pPr>
            <w:r>
              <w:rPr>
                <w:rFonts w:ascii="宋体" w:hAnsi="宋体" w:cs="宋体" w:eastAsia="宋体" w:hint="default"/>
                <w:sz w:val="18"/>
                <w:szCs w:val="18"/>
              </w:rPr>
              <w:t>预计可使用年限</w:t>
            </w:r>
          </w:p>
        </w:tc>
      </w:tr>
    </w:tbl>
    <w:p>
      <w:pPr>
        <w:pStyle w:val="BodyText"/>
        <w:spacing w:line="274" w:lineRule="exact"/>
        <w:ind w:left="634" w:right="0"/>
        <w:jc w:val="left"/>
      </w:pPr>
      <w:r>
        <w:rPr/>
        <w:t>每年度终了，对使用寿命有限的无形资产的使用寿命及摊销方法进行复核。</w:t>
      </w:r>
    </w:p>
    <w:p>
      <w:pPr>
        <w:pStyle w:val="BodyText"/>
        <w:spacing w:line="312" w:lineRule="exact" w:before="29"/>
        <w:ind w:left="538" w:right="1468"/>
        <w:jc w:val="left"/>
      </w:pPr>
      <w:r>
        <w:rPr/>
        <w:t>经复核，本年期末无形资产的使用寿命及摊销方法与以前估计未有不同。 </w:t>
      </w:r>
      <w:r>
        <w:rPr>
          <w:rFonts w:ascii="Times New Roman" w:hAnsi="Times New Roman" w:cs="Times New Roman" w:eastAsia="Times New Roman" w:hint="default"/>
        </w:rPr>
        <w:t>3</w:t>
      </w:r>
      <w:r>
        <w:rPr/>
        <w:t>、减值测试 对于使用寿命确定的无形资产，如有明显减值迹象的，期末进行减值测试。 对于使用寿命不确定的无形资产，每期末进行减值测试。</w:t>
      </w:r>
    </w:p>
    <w:p>
      <w:pPr>
        <w:pStyle w:val="BodyText"/>
        <w:spacing w:line="312" w:lineRule="exact"/>
        <w:ind w:right="191" w:firstLine="480"/>
        <w:jc w:val="both"/>
      </w:pPr>
      <w:r>
        <w:rPr/>
        <w:t>对无形资产进行减值测试，估计其可收回金额。有迹象表明一项无形资产可能发生减值 的，公司以单项无形资产为基础估计其可收回金额。公司难以对单项资产的可收回金额进行 估计的，以该无形资产所属的资产组为基础确定无形资产组的可收回金额。</w:t>
      </w:r>
    </w:p>
    <w:p>
      <w:pPr>
        <w:pStyle w:val="BodyText"/>
        <w:spacing w:line="283" w:lineRule="exact"/>
        <w:ind w:left="634" w:right="0"/>
        <w:jc w:val="left"/>
      </w:pPr>
      <w:r>
        <w:rPr/>
        <w:t>可收回金额根据无形资产的公允价值减去处置费用后的净额与无形资产预计未来现金流</w:t>
      </w:r>
    </w:p>
    <w:p>
      <w:pPr>
        <w:spacing w:after="0" w:line="283" w:lineRule="exact"/>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12" w:lineRule="exact" w:before="56"/>
        <w:ind w:left="634" w:right="0" w:hanging="481"/>
        <w:jc w:val="left"/>
      </w:pPr>
      <w:r>
        <w:rPr/>
        <w:t>量的现值两者之间较高者确定。 </w:t>
      </w:r>
      <w:r>
        <w:rPr>
          <w:spacing w:val="-3"/>
        </w:rPr>
        <w:t>当无形资产的可收回金额低于其账面价值的，将无形资产的账面价值减记至可收回金额，</w:t>
      </w:r>
    </w:p>
    <w:p>
      <w:pPr>
        <w:pStyle w:val="BodyText"/>
        <w:spacing w:line="312" w:lineRule="exact"/>
        <w:ind w:left="0" w:right="269"/>
        <w:jc w:val="right"/>
      </w:pPr>
      <w:r>
        <w:rPr/>
        <w:t>减记的金额确认为无形资产减值损失，计入当期损益，同时计提相应的无形资产减值准备。 无形资产减值损失确认后，减值无形资产的折耗或者摊销费用在未来期间作相应调整，</w:t>
      </w:r>
    </w:p>
    <w:p>
      <w:pPr>
        <w:pStyle w:val="BodyText"/>
        <w:spacing w:line="312" w:lineRule="exact"/>
        <w:ind w:right="252"/>
        <w:jc w:val="left"/>
      </w:pPr>
      <w:r>
        <w:rPr/>
        <w:t>以使该无形资产在剩余使用寿命内，系统地分摊调整后的无形资产账面价值（扣除预计净残 值）。</w:t>
      </w:r>
    </w:p>
    <w:p>
      <w:pPr>
        <w:pStyle w:val="BodyText"/>
        <w:spacing w:line="283" w:lineRule="exact"/>
        <w:ind w:left="634" w:right="0"/>
        <w:jc w:val="left"/>
      </w:pPr>
      <w:r>
        <w:rPr/>
        <w:t>无形资产的减值损失一经确认，在以后会计期间不再转回。</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）内部研究开发支出会计政策</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left="634" w:right="252"/>
        <w:jc w:val="left"/>
      </w:pPr>
      <w:r>
        <w:rPr/>
        <w:t>公司内部研究开发项目的支出分为研究阶段支出和开发阶段支出。 研究阶段：为获取并理解新的科学或技术知识等而进行的独创性的有计划调查、研究活</w:t>
      </w:r>
    </w:p>
    <w:p>
      <w:pPr>
        <w:pStyle w:val="BodyText"/>
        <w:spacing w:line="312" w:lineRule="exact"/>
        <w:ind w:right="252"/>
        <w:jc w:val="left"/>
      </w:pPr>
      <w:r>
        <w:rPr/>
        <w:t>动的阶段。 开发阶段：在进行商业性生产或使用前，将研究成果或其他知识应用于某项计划或设计，以 生产出新的或具有实质性改进的材料、装置、产品等活动的阶段。</w:t>
      </w:r>
    </w:p>
    <w:p>
      <w:pPr>
        <w:pStyle w:val="BodyText"/>
        <w:spacing w:line="312" w:lineRule="exact"/>
        <w:ind w:left="634" w:right="1452" w:hanging="97"/>
        <w:jc w:val="left"/>
      </w:pPr>
      <w:r>
        <w:rPr/>
        <w:t>开发阶段支出符合资本化的具体标准 内部研究开发项目开发阶段的支出，同时满足下列条件时确认为无形资产：</w:t>
      </w:r>
    </w:p>
    <w:p>
      <w:pPr>
        <w:pStyle w:val="BodyText"/>
        <w:spacing w:line="291" w:lineRule="exact"/>
        <w:ind w:left="634" w:right="0"/>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312" w:lineRule="exact"/>
        <w:ind w:left="634" w:right="0"/>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12" w:lineRule="exact" w:before="20"/>
        <w:ind w:right="0" w:firstLine="480"/>
        <w:jc w:val="left"/>
      </w:pPr>
      <w:r>
        <w:rPr>
          <w:spacing w:val="-3"/>
        </w:rPr>
        <w:t>（</w:t>
      </w:r>
      <w:r>
        <w:rPr>
          <w:rFonts w:ascii="Times New Roman" w:hAnsi="Times New Roman" w:cs="Times New Roman" w:eastAsia="Times New Roman" w:hint="default"/>
          <w:spacing w:val="-3"/>
        </w:rPr>
        <w:t>3</w:t>
      </w:r>
      <w:r>
        <w:rPr>
          <w:spacing w:val="-3"/>
        </w:rPr>
        <w:t>）无形资产产生经济利益的方式，包括能够证明运用该无形资产生产的产品存在市场</w:t>
      </w:r>
      <w:r>
        <w:rPr/>
        <w:t> 或无形资产自身存在市场，无形资产将在内部使用的，能够证明其有用性；</w:t>
      </w:r>
    </w:p>
    <w:p>
      <w:pPr>
        <w:pStyle w:val="BodyText"/>
        <w:spacing w:line="312" w:lineRule="exact"/>
        <w:ind w:right="0" w:firstLine="480"/>
        <w:jc w:val="left"/>
      </w:pPr>
      <w:r>
        <w:rPr>
          <w:spacing w:val="-3"/>
        </w:rPr>
        <w:t>（</w:t>
      </w:r>
      <w:r>
        <w:rPr>
          <w:rFonts w:ascii="Times New Roman" w:hAnsi="Times New Roman" w:cs="Times New Roman" w:eastAsia="Times New Roman" w:hint="default"/>
          <w:spacing w:val="-3"/>
        </w:rPr>
        <w:t>4</w:t>
      </w:r>
      <w:r>
        <w:rPr>
          <w:spacing w:val="-3"/>
        </w:rPr>
        <w:t>）有足够的技术、财务资源和其他资源支持，以完成该无形资产的开发，并有能力使</w:t>
      </w:r>
      <w:r>
        <w:rPr/>
        <w:t> 用或出售该无形资产；</w:t>
      </w:r>
    </w:p>
    <w:p>
      <w:pPr>
        <w:pStyle w:val="BodyText"/>
        <w:spacing w:line="312" w:lineRule="exact"/>
        <w:ind w:right="252" w:firstLine="480"/>
        <w:jc w:val="left"/>
      </w:pPr>
      <w:r>
        <w:rPr/>
        <w:t>（</w:t>
      </w:r>
      <w:r>
        <w:rPr>
          <w:rFonts w:ascii="Times New Roman" w:hAnsi="Times New Roman" w:cs="Times New Roman" w:eastAsia="Times New Roman" w:hint="default"/>
        </w:rPr>
        <w:t>5</w:t>
      </w:r>
      <w:r>
        <w:rPr/>
        <w:t>）归属于该无形资产开发阶段的支出能够可靠地计量。 开发阶段的支出，若不满足上列条件的，于发生时计入当期损益。研究阶段的支出，在发生 时计入当期损益。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22</w:t>
      </w:r>
      <w:r>
        <w:rPr>
          <w:rFonts w:ascii="Microsoft JhengHei" w:hAnsi="Microsoft JhengHei" w:cs="Microsoft JhengHei" w:eastAsia="Microsoft JhengHei" w:hint="default"/>
          <w:b/>
          <w:bCs/>
          <w:sz w:val="21"/>
          <w:szCs w:val="21"/>
        </w:rPr>
        <w:t>、长期资产减值</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94" w:firstLine="480"/>
        <w:jc w:val="left"/>
      </w:pPr>
      <w:r>
        <w:rPr/>
        <w:t>长期股权投资、采用成本模式计量的投资性房地产、固定资产、在建工程、无形资产等 长期资产，于资产负债表日存在减值迹象的，进行减值测试。减值测试结果表明资产的可收 回金额低于其账面价值的，按其差额计提减值准备并计入减值损失。可收回金额为资产的公 允价值减去处置费用后的净额与资产预计未来现金流量的现值两者之间的较高者。资产减值 准备按单项资产为基础计算并确认，如果难以对单项资产的可收回金额进行估计的，以该资 </w:t>
      </w:r>
      <w:r>
        <w:rPr>
          <w:spacing w:val="-2"/>
        </w:rPr>
        <w:t>产所属的资产组确定资产组的可收回金额。资产组是能够独立产生现金流入的最小资产组合。</w:t>
      </w:r>
    </w:p>
    <w:p>
      <w:pPr>
        <w:pStyle w:val="BodyText"/>
        <w:spacing w:line="283" w:lineRule="exact"/>
        <w:ind w:left="977" w:right="0"/>
        <w:jc w:val="left"/>
      </w:pPr>
      <w:r>
        <w:rPr/>
        <w:t>商誉至少在每年年度终了进行减值测试。</w:t>
      </w:r>
    </w:p>
    <w:p>
      <w:pPr>
        <w:pStyle w:val="BodyText"/>
        <w:spacing w:line="312" w:lineRule="exact" w:before="30"/>
        <w:ind w:right="94" w:firstLine="480"/>
        <w:jc w:val="left"/>
      </w:pPr>
      <w:r>
        <w:rPr/>
        <w:t>本公司进行商誉减值测试，对于因企业合并形成的商誉的账面价值，自购买日起按照合 </w:t>
      </w:r>
      <w:r>
        <w:rPr>
          <w:spacing w:val="-2"/>
        </w:rPr>
        <w:t>理的方法分摊至相关的资产组；难以分摊至相关的资产组的，将其分摊至相关的资产组组合。</w:t>
      </w:r>
      <w:r>
        <w:rPr/>
        <w:t> 在将商誉的账面价值分摊至相关的资产组或者资产组组合时，按照各资产组或者资产组组合 的公允价值占相关资产组或者资产组组合公允价值总额的比例进行分摊。公允价值难以可靠</w:t>
      </w:r>
    </w:p>
    <w:p>
      <w:pPr>
        <w:spacing w:after="0" w:line="312" w:lineRule="exact"/>
        <w:jc w:val="left"/>
        <w:sectPr>
          <w:pgSz w:w="11910" w:h="16840"/>
          <w:pgMar w:header="747" w:footer="979" w:top="1060" w:bottom="1160" w:left="980" w:right="900"/>
        </w:sectPr>
      </w:pPr>
    </w:p>
    <w:p>
      <w:pPr>
        <w:spacing w:line="240" w:lineRule="auto" w:before="7"/>
        <w:rPr>
          <w:rFonts w:ascii="宋体" w:hAnsi="宋体" w:cs="宋体" w:eastAsia="宋体" w:hint="default"/>
          <w:sz w:val="23"/>
          <w:szCs w:val="23"/>
        </w:rPr>
      </w:pPr>
    </w:p>
    <w:p>
      <w:pPr>
        <w:pStyle w:val="BodyText"/>
        <w:spacing w:line="312" w:lineRule="exact" w:before="56"/>
        <w:ind w:right="190"/>
        <w:jc w:val="both"/>
      </w:pPr>
      <w:r>
        <w:rPr/>
        <w:t>计量的，按照各资产组或者资产组组合的账面价值占相关资产组或者资产组组合账面价值总 额的比例进行分摊。</w:t>
      </w:r>
    </w:p>
    <w:p>
      <w:pPr>
        <w:pStyle w:val="BodyText"/>
        <w:spacing w:line="312" w:lineRule="exact"/>
        <w:ind w:right="172" w:firstLine="480"/>
        <w:jc w:val="left"/>
      </w:pPr>
      <w:r>
        <w:rPr/>
        <w:t>在对包含商誉的相关资产组或者资产组组合进行减值测试时，如与商誉相关的资产组或 者资产组组合存在减值迹象的，先对不包含商誉的资产组或者资产组组合进行减值测试，计</w:t>
      </w:r>
    </w:p>
    <w:p>
      <w:pPr>
        <w:pStyle w:val="BodyText"/>
        <w:spacing w:line="312" w:lineRule="exact"/>
        <w:ind w:right="189"/>
        <w:jc w:val="both"/>
      </w:pPr>
      <w:r>
        <w:rPr/>
        <w:t>算可收回金额，并与相关账面价值相比较，确认相应的减值损失。再对包含商誉的资产组或 者资产组组合进行减值测试，比较这些相关资产组或者资产组组合的账面价值（包括所分摊 的商誉的账面价值部分）与其可收回金额，如相关资产组或者资产组组合的可收回金额低于 其账面价值的，确认商誉的减值损失。</w:t>
      </w:r>
      <w:r>
        <w:rPr>
          <w:spacing w:val="72"/>
        </w:rPr>
        <w:t> </w:t>
      </w:r>
      <w:r>
        <w:rPr/>
        <w:t>上述资产减值损失一经确认，在以后会计期间不予</w:t>
      </w:r>
      <w:r>
        <w:rPr/>
        <w:t> 转回。</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6"/>
          <w:szCs w:val="16"/>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23</w:t>
      </w:r>
      <w:r>
        <w:rPr>
          <w:rFonts w:ascii="Microsoft JhengHei" w:hAnsi="Microsoft JhengHei" w:cs="Microsoft JhengHei" w:eastAsia="Microsoft JhengHei" w:hint="default"/>
          <w:b/>
          <w:bCs/>
          <w:sz w:val="21"/>
          <w:szCs w:val="21"/>
        </w:rPr>
        <w:t>、长期待摊费用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15"/>
          <w:szCs w:val="15"/>
        </w:rPr>
      </w:pPr>
    </w:p>
    <w:p>
      <w:pPr>
        <w:pStyle w:val="BodyText"/>
        <w:spacing w:line="313" w:lineRule="exact" w:before="26"/>
        <w:ind w:left="634" w:right="0"/>
        <w:jc w:val="left"/>
      </w:pPr>
      <w:r>
        <w:rPr/>
        <w:t>长期待摊费用为已经发生但应由本期和以后各期负担的分摊期限在一年以上的各项费</w:t>
      </w:r>
    </w:p>
    <w:p>
      <w:pPr>
        <w:pStyle w:val="BodyText"/>
        <w:spacing w:line="313" w:lineRule="exact"/>
        <w:ind w:right="0"/>
        <w:jc w:val="left"/>
      </w:pPr>
      <w:r>
        <w:rPr/>
        <w:t>用。</w:t>
      </w:r>
    </w:p>
    <w:p>
      <w:pPr>
        <w:pStyle w:val="BodyText"/>
        <w:spacing w:line="312" w:lineRule="exact" w:before="28"/>
        <w:ind w:right="153" w:firstLine="384"/>
        <w:jc w:val="both"/>
      </w:pPr>
      <w:r>
        <w:rPr>
          <w:spacing w:val="-3"/>
        </w:rPr>
        <w:t>注：授权金为公司获得游戏运营权支付的款项，按照合同规定的游戏运营期限平均摊销计</w:t>
      </w:r>
      <w:r>
        <w:rPr/>
        <w:t> 入主营业务成本。当合同规定的期限届满前提前终止运营的，将尚未摊销的授权金余值一次 摊销全部计入主营业务成本核算。</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24</w:t>
      </w:r>
      <w:r>
        <w:rPr>
          <w:rFonts w:ascii="Microsoft JhengHei" w:hAnsi="Microsoft JhengHei" w:cs="Microsoft JhengHei" w:eastAsia="Microsoft JhengHei" w:hint="default"/>
          <w:b/>
          <w:bCs/>
          <w:sz w:val="21"/>
          <w:szCs w:val="21"/>
        </w:rPr>
        <w:t>、职工薪酬</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）短期薪酬的会计处理方法</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89" w:firstLine="480"/>
        <w:jc w:val="both"/>
      </w:pPr>
      <w:r>
        <w:rPr/>
        <w:t>本公司在职工为本公司提供服务的会计期间，将实际发生的短期薪酬确认为负债，并计 入当期损益或相关资产成本。</w:t>
      </w:r>
    </w:p>
    <w:p>
      <w:pPr>
        <w:pStyle w:val="BodyText"/>
        <w:spacing w:line="312" w:lineRule="exact"/>
        <w:ind w:right="191" w:firstLine="480"/>
        <w:jc w:val="both"/>
      </w:pPr>
      <w:r>
        <w:rPr/>
        <w:t>本公司为职工缴纳的社会保险费和住房公积金，以及按规定提取的工会经费和职工教育 经费，在职工为本公司提供服务的会计期间，根据规定的计提基础和计提比例计算确定相应 的职工薪酬金额。</w:t>
      </w:r>
    </w:p>
    <w:p>
      <w:pPr>
        <w:pStyle w:val="BodyText"/>
        <w:spacing w:line="283" w:lineRule="exact"/>
        <w:ind w:right="0"/>
        <w:jc w:val="left"/>
      </w:pPr>
      <w:r>
        <w:rPr/>
        <w:t>职工福利费为非货币性福利的，按照公允价值计量。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）离职后福利的会计处理方法</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pStyle w:val="BodyText"/>
        <w:spacing w:line="237" w:lineRule="auto"/>
        <w:ind w:left="552" w:right="0" w:firstLine="81"/>
        <w:jc w:val="left"/>
      </w:pPr>
      <w:r>
        <w:rPr/>
        <w:t>设定提存计划 </w:t>
      </w:r>
      <w:r>
        <w:rPr>
          <w:spacing w:val="-4"/>
        </w:rPr>
        <w:t>本公司按当地政府的相关规定为职工缴纳基本养老保险和失业保险，在职工为本公司提供</w:t>
      </w:r>
      <w:r>
        <w:rPr>
          <w:spacing w:val="-84"/>
        </w:rPr>
        <w:t> </w:t>
      </w:r>
      <w:r>
        <w:rPr>
          <w:spacing w:val="-84"/>
        </w:rPr>
      </w:r>
      <w:r>
        <w:rPr>
          <w:spacing w:val="-4"/>
        </w:rPr>
        <w:t>服务的会计期间，按以当地规定的缴纳基数和比例计算应缴纳金额，确认为负债，并计入</w:t>
      </w:r>
      <w:r>
        <w:rPr>
          <w:spacing w:val="-84"/>
        </w:rPr>
        <w:t> </w:t>
      </w:r>
      <w:r>
        <w:rPr>
          <w:spacing w:val="-84"/>
        </w:rPr>
      </w:r>
      <w:r>
        <w:rPr/>
        <w:t>当期损益或相关资产成本。</w:t>
      </w:r>
    </w:p>
    <w:p>
      <w:pPr>
        <w:pStyle w:val="BodyText"/>
        <w:spacing w:line="331" w:lineRule="exact"/>
        <w:ind w:right="0"/>
        <w:jc w:val="left"/>
      </w:pP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w:t>
      </w:r>
      <w:r>
        <w:rPr>
          <w:rFonts w:ascii="Times New Roman" w:hAnsi="Times New Roman" w:cs="Times New Roman" w:eastAsia="Times New Roman" w:hint="default"/>
          <w:spacing w:val="35"/>
        </w:rPr>
        <w:t> </w:t>
      </w:r>
      <w:r>
        <w:rPr/>
        <w:t>应付职工薪酬</w:t>
      </w:r>
      <w:r>
        <w:rPr>
          <w:rFonts w:ascii="Times New Roman" w:hAnsi="Times New Roman" w:cs="Times New Roman" w:eastAsia="Times New Roman" w:hint="default"/>
        </w:rPr>
        <w:t>”</w:t>
      </w:r>
      <w:r>
        <w:rPr/>
        <w:t>。</w:t>
      </w:r>
    </w:p>
    <w:p>
      <w:pPr>
        <w:spacing w:after="0" w:line="331" w:lineRule="exact"/>
        <w:jc w:val="left"/>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）辞退福利的会计处理方法</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7"/>
          <w:szCs w:val="17"/>
        </w:rPr>
      </w:pPr>
    </w:p>
    <w:p>
      <w:pPr>
        <w:pStyle w:val="Heading2"/>
        <w:spacing w:line="180" w:lineRule="auto"/>
        <w:ind w:right="159" w:firstLine="408"/>
        <w:jc w:val="both"/>
        <w:rPr>
          <w:b w:val="0"/>
          <w:bCs w:val="0"/>
        </w:rPr>
      </w:pPr>
      <w:r>
        <w:rPr/>
        <w:t>本公司在不能单方面撤回因解除劳动关系计划或裁减建议所提供的辞退福利时，或确认 与涉及支付辞退福利的重组相关的成本或费用时（两者孰早），确认辞退福利产生的职工薪 酬负债，并计入当期损益。</w:t>
      </w:r>
      <w:r>
        <w:rPr>
          <w:b w:val="0"/>
          <w:bCs w:val="0"/>
        </w:rPr>
      </w:r>
    </w:p>
    <w:p>
      <w:pPr>
        <w:spacing w:line="240" w:lineRule="auto" w:before="1"/>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）其他长期职工福利的会计处理方法</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不适用。</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25</w:t>
      </w:r>
      <w:r>
        <w:rPr>
          <w:rFonts w:ascii="Microsoft JhengHei" w:hAnsi="Microsoft JhengHei" w:cs="Microsoft JhengHei" w:eastAsia="Microsoft JhengHei" w:hint="default"/>
          <w:b/>
          <w:bCs/>
          <w:sz w:val="21"/>
          <w:szCs w:val="21"/>
        </w:rPr>
        <w:t>、预计负债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312" w:lineRule="auto"/>
        <w:ind w:left="634" w:right="172"/>
        <w:jc w:val="left"/>
      </w:pPr>
      <w:r>
        <w:rPr>
          <w:rFonts w:ascii="Times New Roman" w:hAnsi="Times New Roman" w:cs="Times New Roman" w:eastAsia="Times New Roman" w:hint="default"/>
        </w:rPr>
        <w:t>1</w:t>
      </w:r>
      <w:r>
        <w:rPr/>
        <w:t>、预计负债的确认标准 与诉讼、债务担保、亏损合同、重组事项等或有事项相关的义务同时满足下列条件时，</w:t>
      </w:r>
    </w:p>
    <w:p>
      <w:pPr>
        <w:pStyle w:val="BodyText"/>
        <w:spacing w:line="239" w:lineRule="exact"/>
        <w:ind w:right="0"/>
        <w:jc w:val="left"/>
      </w:pPr>
      <w:r>
        <w:rPr/>
        <w:t>本公司确认为预计负债：</w:t>
      </w:r>
    </w:p>
    <w:p>
      <w:pPr>
        <w:pStyle w:val="BodyText"/>
        <w:spacing w:line="321" w:lineRule="exact"/>
        <w:ind w:left="634" w:right="0"/>
        <w:jc w:val="left"/>
      </w:pPr>
      <w:r>
        <w:rPr/>
        <w:t>（</w:t>
      </w:r>
      <w:r>
        <w:rPr>
          <w:rFonts w:ascii="Times New Roman" w:hAnsi="Times New Roman" w:cs="Times New Roman" w:eastAsia="Times New Roman" w:hint="default"/>
        </w:rPr>
        <w:t>1</w:t>
      </w:r>
      <w:r>
        <w:rPr/>
        <w:t>）该义务是本公司承担的现时义务；</w:t>
      </w:r>
    </w:p>
    <w:p>
      <w:pPr>
        <w:pStyle w:val="BodyText"/>
        <w:spacing w:line="312" w:lineRule="exact"/>
        <w:ind w:left="634" w:right="0"/>
        <w:jc w:val="left"/>
      </w:pPr>
      <w:r>
        <w:rPr/>
        <w:t>（</w:t>
      </w:r>
      <w:r>
        <w:rPr>
          <w:rFonts w:ascii="Times New Roman" w:hAnsi="Times New Roman" w:cs="Times New Roman" w:eastAsia="Times New Roman" w:hint="default"/>
        </w:rPr>
        <w:t>2</w:t>
      </w:r>
      <w:r>
        <w:rPr/>
        <w:t>）履行该义务很可能导致经济利益流出本公司；</w:t>
      </w:r>
    </w:p>
    <w:p>
      <w:pPr>
        <w:pStyle w:val="BodyText"/>
        <w:spacing w:line="322" w:lineRule="exact"/>
        <w:ind w:left="634" w:right="0"/>
        <w:jc w:val="left"/>
      </w:pPr>
      <w:r>
        <w:rPr/>
        <w:t>（</w:t>
      </w:r>
      <w:r>
        <w:rPr>
          <w:rFonts w:ascii="Times New Roman" w:hAnsi="Times New Roman" w:cs="Times New Roman" w:eastAsia="Times New Roman" w:hint="default"/>
        </w:rPr>
        <w:t>3</w:t>
      </w:r>
      <w:r>
        <w:rPr/>
        <w:t>）该义务的金额能够可靠地计量。</w:t>
      </w:r>
    </w:p>
    <w:p>
      <w:pPr>
        <w:pStyle w:val="BodyText"/>
        <w:spacing w:line="240" w:lineRule="auto" w:before="99"/>
        <w:ind w:left="634" w:right="0"/>
        <w:jc w:val="left"/>
      </w:pPr>
      <w:r>
        <w:rPr>
          <w:rFonts w:ascii="Times New Roman" w:hAnsi="Times New Roman" w:cs="Times New Roman" w:eastAsia="Times New Roman" w:hint="default"/>
        </w:rPr>
        <w:t>2</w:t>
      </w:r>
      <w:r>
        <w:rPr/>
        <w:t>、预计负债的计量方法</w:t>
      </w:r>
    </w:p>
    <w:p>
      <w:pPr>
        <w:pStyle w:val="BodyText"/>
        <w:spacing w:line="312" w:lineRule="exact" w:before="130"/>
        <w:ind w:left="634" w:right="172"/>
        <w:jc w:val="left"/>
      </w:pPr>
      <w:r>
        <w:rPr/>
        <w:t>本公司预计负债按履行相关现时义务所需的支出的最佳估计数进行初始计量。 本公司在确定最佳估计数时，综合考虑与或有事项有关的风险、不确定性和货币时间价</w:t>
      </w:r>
    </w:p>
    <w:p>
      <w:pPr>
        <w:pStyle w:val="BodyText"/>
        <w:spacing w:line="312" w:lineRule="exact"/>
        <w:ind w:right="172"/>
        <w:jc w:val="left"/>
      </w:pPr>
      <w:r>
        <w:rPr/>
        <w:t>值等因素。对于货币时间价值影响重大的，通过对相关未来现金流出进行折现后确定最佳估 计数。</w:t>
      </w:r>
    </w:p>
    <w:p>
      <w:pPr>
        <w:pStyle w:val="BodyText"/>
        <w:spacing w:line="312" w:lineRule="exact"/>
        <w:ind w:left="634" w:right="172"/>
        <w:jc w:val="left"/>
      </w:pPr>
      <w:r>
        <w:rPr/>
        <w:t>最佳估计数分别以下情况处理： 所需支出存在一个连续范围（或区间），且该范围内各种结果发生的可能性相同的，则</w:t>
      </w:r>
    </w:p>
    <w:p>
      <w:pPr>
        <w:pStyle w:val="BodyText"/>
        <w:spacing w:line="312" w:lineRule="exact"/>
        <w:ind w:left="634" w:right="172" w:hanging="481"/>
        <w:jc w:val="left"/>
      </w:pPr>
      <w:r>
        <w:rPr/>
        <w:t>最佳估计数按照该范围的中间值即上下限金额的平均数确定。 所需支出不存在一个连续范围（或区间），或虽然存在一个连续范围但该范围内各种结</w:t>
      </w:r>
    </w:p>
    <w:p>
      <w:pPr>
        <w:pStyle w:val="BodyText"/>
        <w:spacing w:line="312" w:lineRule="exact"/>
        <w:ind w:right="172"/>
        <w:jc w:val="left"/>
      </w:pPr>
      <w:r>
        <w:rPr/>
        <w:t>果发生的可能性不相同的，如或有事项涉及单个项目的，则最佳估计数按照最可能发生金额 确定；如或有事项涉及多个项目的，则最佳估计数按各种可能结果及相关概率计算确定。 本公司清偿预计负债所需支出全部或部分预期由第三方补偿的，补偿金额在基本确定能够收 到时，作为资产单独确认，确认的补偿金额不超过预计负债的账面价值。</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26</w:t>
      </w:r>
      <w:r>
        <w:rPr>
          <w:rFonts w:ascii="Microsoft JhengHei" w:hAnsi="Microsoft JhengHei" w:cs="Microsoft JhengHei" w:eastAsia="Microsoft JhengHei" w:hint="default"/>
          <w:b/>
          <w:bCs/>
          <w:sz w:val="21"/>
          <w:szCs w:val="21"/>
        </w:rPr>
        <w:t>、股份支付</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91" w:firstLine="480"/>
        <w:jc w:val="both"/>
      </w:pPr>
      <w:r>
        <w:rPr/>
        <w:t>本公司的股份支付是为了获取职工提供服务而授予权益工具或者承担以权益工具为基础 确定的负债的交易。本公司的股份支付分为以权益结算的股份支付。</w:t>
      </w:r>
    </w:p>
    <w:p>
      <w:pPr>
        <w:pStyle w:val="Heading2"/>
        <w:spacing w:line="296" w:lineRule="exact"/>
        <w:ind w:left="686" w:right="0"/>
        <w:jc w:val="left"/>
        <w:rPr>
          <w:b w:val="0"/>
          <w:bCs w:val="0"/>
        </w:rPr>
      </w:pPr>
      <w:r>
        <w:rPr/>
        <w:t>以权益结算的股份支付及权益工具</w:t>
      </w:r>
      <w:r>
        <w:rPr>
          <w:b w:val="0"/>
          <w:bCs w:val="0"/>
        </w:rPr>
      </w:r>
    </w:p>
    <w:p>
      <w:pPr>
        <w:pStyle w:val="BodyText"/>
        <w:spacing w:line="237" w:lineRule="auto"/>
        <w:ind w:right="191" w:firstLine="480"/>
        <w:jc w:val="both"/>
      </w:pPr>
      <w:r>
        <w:rPr/>
        <w:t>以权益结算的股份支付换取职工提供服务的，以授予职工权益工具的公允价值计量。本 公司以限制性股票进行股份支付的，职工出资认购股票，股票在达到解锁条件并解锁前不得 上市流通或转让；如果最终股权激励计划规定的解锁条件未能达到，则本公司按照事先约定 的价格回购股票。本公司取得职工认购限制性股票支付的款项时，按照取得的认股款确认股 本和资本公积（股本溢价），同时就回购义务全额确认一项负债并确认库存股。在等待期内</w:t>
      </w:r>
    </w:p>
    <w:p>
      <w:pPr>
        <w:spacing w:after="0" w:line="237" w:lineRule="auto"/>
        <w:jc w:val="both"/>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237" w:lineRule="auto" w:before="28"/>
        <w:ind w:right="271"/>
        <w:jc w:val="both"/>
      </w:pPr>
      <w:r>
        <w:rPr/>
        <w:t>每个资产负债表日，本公司根据最新取得的可行权职工人数变动、是否达到规定业绩条件等 后续信息对可行权权益工具数量作出最佳估计，以此为基础，按照授予日的公允价值，将当 期取得的服务计入相关成本或费用，相应增加资本公积。在可行权日之后不再对已确认的相 关成本或费用和所有者权益总额进行调整。但授予后立即可行权的，在授予日按照公允价值 计入相关成本或费用，相应增加资本公积。</w:t>
      </w:r>
    </w:p>
    <w:p>
      <w:pPr>
        <w:pStyle w:val="BodyText"/>
        <w:spacing w:line="312" w:lineRule="exact" w:before="29"/>
        <w:ind w:right="271" w:firstLine="480"/>
        <w:jc w:val="both"/>
      </w:pPr>
      <w:r>
        <w:rPr/>
        <w:t>对于最终未能行权的股份支付，不确认成本或费用，除非行权条件是市场条件或非可行 权条件，此时无论是否满足市场条件或非可行权条件，只要满足所有可行权条件中的非市场 条件，即视为可行权。</w:t>
      </w:r>
    </w:p>
    <w:p>
      <w:pPr>
        <w:pStyle w:val="BodyText"/>
        <w:spacing w:line="312" w:lineRule="exact"/>
        <w:ind w:right="0" w:firstLine="480"/>
        <w:jc w:val="left"/>
      </w:pPr>
      <w:r>
        <w:rPr>
          <w:spacing w:val="-3"/>
        </w:rPr>
        <w:t>如果修改了以权益结算的股份支付的条款，至少按照未修改条款的情况确认取得的服务。</w:t>
      </w:r>
      <w:r>
        <w:rPr/>
        <w:t> 此外，任何增加所授予权益工具公允价值的修改，或在修改日对职工有利的变更，均确认取 得服务的增加。</w:t>
      </w:r>
    </w:p>
    <w:p>
      <w:pPr>
        <w:pStyle w:val="BodyText"/>
        <w:spacing w:line="312" w:lineRule="exact"/>
        <w:ind w:right="271" w:firstLine="480"/>
        <w:jc w:val="both"/>
      </w:pPr>
      <w:r>
        <w:rPr/>
        <w:t>如果取消了以权益结算的股份支付，则于取消日作为加速行权处理，立即确认尚未确认 的金额。职工或其他方能够选择满足非可行权条件但在等待期内未满足的，作为取消以权益 结算的股份支付处理。但是，如果授予新的权益工具，并在新权益工具授予日认定所授予的 新权益工具是用于替代被取消的权益工具的，则以与处理原权益工具条款和条件修改相同的 方式，对所授予的替代权益工具进行处理。</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27</w:t>
      </w:r>
      <w:r>
        <w:rPr>
          <w:rFonts w:ascii="Microsoft JhengHei" w:hAnsi="Microsoft JhengHei" w:cs="Microsoft JhengHei" w:eastAsia="Microsoft JhengHei" w:hint="default"/>
          <w:b/>
          <w:bCs/>
          <w:sz w:val="21"/>
          <w:szCs w:val="21"/>
        </w:rPr>
        <w:t>、优先股、永续债等其他金融工具</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28</w:t>
      </w:r>
      <w:r>
        <w:rPr>
          <w:rFonts w:ascii="Microsoft JhengHei" w:hAnsi="Microsoft JhengHei" w:cs="Microsoft JhengHei" w:eastAsia="Microsoft JhengHei" w:hint="default"/>
          <w:b/>
          <w:bCs/>
          <w:sz w:val="21"/>
          <w:szCs w:val="21"/>
        </w:rPr>
        <w:t>、收入</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322" w:lineRule="exact"/>
        <w:ind w:left="634" w:right="0"/>
        <w:jc w:val="left"/>
      </w:pPr>
      <w:r>
        <w:rPr>
          <w:rFonts w:ascii="Times New Roman" w:hAnsi="Times New Roman" w:cs="Times New Roman" w:eastAsia="Times New Roman" w:hint="default"/>
        </w:rPr>
        <w:t>1</w:t>
      </w:r>
      <w:r>
        <w:rPr/>
        <w:t>、销售商品收入确认时间的具体判断标准</w:t>
      </w:r>
    </w:p>
    <w:p>
      <w:pPr>
        <w:pStyle w:val="BodyText"/>
        <w:spacing w:line="312" w:lineRule="exact" w:before="20"/>
        <w:ind w:left="634" w:right="252"/>
        <w:jc w:val="left"/>
      </w:pPr>
      <w:r>
        <w:rPr/>
        <w:t>（</w:t>
      </w:r>
      <w:r>
        <w:rPr>
          <w:rFonts w:ascii="Times New Roman" w:hAnsi="Times New Roman" w:cs="Times New Roman" w:eastAsia="Times New Roman" w:hint="default"/>
        </w:rPr>
        <w:t>1</w:t>
      </w:r>
      <w:r>
        <w:rPr/>
        <w:t>）销售商品收入确认和计量的总体原则 公司已将商品所有权上的主要风险和报酬转移给购买方；公司既没有保留与所有权相联</w:t>
      </w:r>
    </w:p>
    <w:p>
      <w:pPr>
        <w:pStyle w:val="BodyText"/>
        <w:spacing w:line="312" w:lineRule="exact"/>
        <w:ind w:right="270"/>
        <w:jc w:val="both"/>
      </w:pPr>
      <w:r>
        <w:rPr/>
        <w:t>系的继续管理权，也没有对已售出的商品实施有效控制；收入的金额能够可靠地计量；相关 的经济利益很可能流入企业；相关的已发生或将发生的成本能够可靠地计量时，确认商品销 售收入实现。</w:t>
      </w:r>
    </w:p>
    <w:p>
      <w:pPr>
        <w:pStyle w:val="BodyText"/>
        <w:spacing w:line="312" w:lineRule="exact"/>
        <w:ind w:left="634" w:right="252"/>
        <w:jc w:val="left"/>
      </w:pPr>
      <w:r>
        <w:rPr/>
        <w:t>（</w:t>
      </w:r>
      <w:r>
        <w:rPr>
          <w:rFonts w:ascii="Times New Roman" w:hAnsi="Times New Roman" w:cs="Times New Roman" w:eastAsia="Times New Roman" w:hint="default"/>
        </w:rPr>
        <w:t>2</w:t>
      </w:r>
      <w:r>
        <w:rPr/>
        <w:t>）关于本公司销售商品收入相应的业务特点分析和介绍 公司营业收入主要为游戏收入和互联网产品收入。 本公司游戏收入按照不同的运营模式进行确认，具体如下： 在自主运营模式下，本公司独立进行游戏产品的研发和运营，按照道具消耗金额确认收</w:t>
      </w:r>
    </w:p>
    <w:p>
      <w:pPr>
        <w:pStyle w:val="BodyText"/>
        <w:spacing w:line="282" w:lineRule="exact"/>
        <w:ind w:right="0"/>
        <w:jc w:val="left"/>
      </w:pPr>
      <w:r>
        <w:rPr/>
        <w:t>入。</w:t>
      </w:r>
    </w:p>
    <w:p>
      <w:pPr>
        <w:pStyle w:val="BodyText"/>
        <w:spacing w:line="313" w:lineRule="exact"/>
        <w:ind w:left="634" w:right="0"/>
        <w:jc w:val="left"/>
      </w:pPr>
      <w:r>
        <w:rPr/>
        <w:t>在授权运营模式下，根据协议约定，本公司不承担主要运营责任，按照净额法，即合作</w:t>
      </w:r>
    </w:p>
    <w:p>
      <w:pPr>
        <w:pStyle w:val="BodyText"/>
        <w:spacing w:line="312" w:lineRule="exact" w:before="28"/>
        <w:ind w:left="634" w:right="252" w:hanging="481"/>
        <w:jc w:val="left"/>
      </w:pPr>
      <w:r>
        <w:rPr/>
        <w:t>运营方支付的分成款项确认营业收入。 在代理运营模式下，根据协议约定，本公司承担主要运营责任，按照总额法，采用基于</w:t>
      </w:r>
    </w:p>
    <w:p>
      <w:pPr>
        <w:pStyle w:val="BodyText"/>
        <w:spacing w:line="312" w:lineRule="exact"/>
        <w:ind w:left="634" w:right="252" w:hanging="481"/>
        <w:jc w:val="left"/>
      </w:pPr>
      <w:r>
        <w:rPr/>
        <w:t>用户生命周期的收入确认模型，将用户兑换游戏币的金额按照用户生命周期分摊确认收入。 互联网产品收入：根据产品类型分为软件商店收入和互联网其他产品收入，其收入确认</w:t>
      </w:r>
    </w:p>
    <w:p>
      <w:pPr>
        <w:pStyle w:val="BodyText"/>
        <w:spacing w:line="283" w:lineRule="exact"/>
        <w:ind w:left="634" w:right="0" w:hanging="481"/>
        <w:jc w:val="left"/>
      </w:pPr>
      <w:r>
        <w:rPr/>
        <w:t>原则为按产品实际投放消耗量等计算确认。</w:t>
      </w:r>
    </w:p>
    <w:p>
      <w:pPr>
        <w:pStyle w:val="BodyText"/>
        <w:spacing w:line="312" w:lineRule="auto" w:before="118"/>
        <w:ind w:left="634" w:right="252"/>
        <w:jc w:val="left"/>
      </w:pPr>
      <w:r>
        <w:rPr>
          <w:rFonts w:ascii="Times New Roman" w:hAnsi="Times New Roman" w:cs="Times New Roman" w:eastAsia="Times New Roman" w:hint="default"/>
        </w:rPr>
        <w:t>2</w:t>
      </w:r>
      <w:r>
        <w:rPr/>
        <w:t>、确认让渡资产使用权收入的依据 与交易相关的经济利益很可能流入企业，收入的金额能够可靠地计量时。分别下列情况</w:t>
      </w:r>
    </w:p>
    <w:p>
      <w:pPr>
        <w:pStyle w:val="BodyText"/>
        <w:spacing w:line="239" w:lineRule="exact"/>
        <w:ind w:right="0"/>
        <w:jc w:val="left"/>
      </w:pPr>
      <w:r>
        <w:rPr/>
        <w:t>确定让渡资产使用权收入金额：</w:t>
      </w:r>
    </w:p>
    <w:p>
      <w:pPr>
        <w:pStyle w:val="BodyText"/>
        <w:spacing w:line="321" w:lineRule="exact"/>
        <w:ind w:left="634" w:right="0"/>
        <w:jc w:val="left"/>
      </w:pPr>
      <w:r>
        <w:rPr/>
        <w:t>（</w:t>
      </w:r>
      <w:r>
        <w:rPr>
          <w:rFonts w:ascii="Times New Roman" w:hAnsi="Times New Roman" w:cs="Times New Roman" w:eastAsia="Times New Roman" w:hint="default"/>
        </w:rPr>
        <w:t>1</w:t>
      </w:r>
      <w:r>
        <w:rPr/>
        <w:t>）利息收入金额，按照他人使用本企业货币资金的时间和实际利率计算确定。</w:t>
      </w:r>
    </w:p>
    <w:p>
      <w:pPr>
        <w:pStyle w:val="BodyText"/>
        <w:spacing w:line="322" w:lineRule="exact"/>
        <w:ind w:left="634" w:right="0"/>
        <w:jc w:val="left"/>
      </w:pPr>
      <w:r>
        <w:rPr/>
        <w:t>（</w:t>
      </w:r>
      <w:r>
        <w:rPr>
          <w:rFonts w:ascii="Times New Roman" w:hAnsi="Times New Roman" w:cs="Times New Roman" w:eastAsia="Times New Roman" w:hint="default"/>
        </w:rPr>
        <w:t>2</w:t>
      </w:r>
      <w:r>
        <w:rPr/>
        <w:t>）使用费收入金额，按照有关合同或协议约定的收费时间和方法计算确定。</w:t>
      </w:r>
    </w:p>
    <w:p>
      <w:pPr>
        <w:spacing w:after="0" w:line="322" w:lineRule="exact"/>
        <w:jc w:val="left"/>
        <w:sectPr>
          <w:pgSz w:w="11910" w:h="16840"/>
          <w:pgMar w:header="747" w:footer="979" w:top="1060" w:bottom="1160" w:left="9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19"/>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29</w:t>
      </w:r>
      <w:r>
        <w:rPr>
          <w:rFonts w:ascii="Microsoft JhengHei" w:hAnsi="Microsoft JhengHei" w:cs="Microsoft JhengHei" w:eastAsia="Microsoft JhengHei" w:hint="default"/>
          <w:b/>
          <w:bCs/>
          <w:sz w:val="21"/>
          <w:szCs w:val="21"/>
        </w:rPr>
        <w:t>、政府补助</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）与资产相关的政府补助判断依据及会计处理方法</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53" w:firstLine="384"/>
        <w:jc w:val="both"/>
      </w:pPr>
      <w:r>
        <w:rPr>
          <w:spacing w:val="-3"/>
        </w:rPr>
        <w:t>与资产相关的政府补助，是指企业取得的、用于购建或以其他方式形成长期资产的政府补</w:t>
      </w:r>
      <w:r>
        <w:rPr/>
        <w:t> 助，包括购买固定资产或无形资产的财政拨款、固定资产专门借款的财政贴息等。本公司将 政府补助划分为与资产相关的具体标准为：政府补助文件明确规定用于购建或以其他方式形 成长期资产的补助为与资产相关的政府补助。</w:t>
      </w:r>
    </w:p>
    <w:p>
      <w:pPr>
        <w:pStyle w:val="BodyText"/>
        <w:spacing w:line="312" w:lineRule="exact"/>
        <w:ind w:right="153" w:firstLine="384"/>
        <w:jc w:val="both"/>
      </w:pPr>
      <w:r>
        <w:rPr>
          <w:spacing w:val="-3"/>
        </w:rPr>
        <w:t>与资产相关的政府补助，确认为递延收益，按照所建造或购买的资产使用年限分期计入营</w:t>
      </w:r>
      <w:r>
        <w:rPr/>
        <w:t> 业外收入。</w:t>
      </w:r>
    </w:p>
    <w:p>
      <w:pPr>
        <w:spacing w:line="240" w:lineRule="auto" w:before="5"/>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）与收益相关的政府补助判断依据及会计处理方法</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53" w:firstLine="384"/>
        <w:jc w:val="both"/>
      </w:pPr>
      <w:r>
        <w:rPr>
          <w:spacing w:val="-3"/>
        </w:rPr>
        <w:t>与收益相关的政府补助，是指除与资产相关的政府补助之外的政府补助。本公司将政府补</w:t>
      </w:r>
      <w:r>
        <w:rPr/>
        <w:t> 助划分为与收益相关的具体标准为：除政府补助文件明确规定用于与资产相关的补助以外的 政府补助，确认为与收益相关的政府补助。政府补助文件明确规定用于与资产相关的政府补 助，确认与资产相关的政府补助。政府补助文件没有明确补助对象的，按照政府补助资金实 际用途进行划分。</w:t>
      </w:r>
    </w:p>
    <w:p>
      <w:pPr>
        <w:pStyle w:val="BodyText"/>
        <w:spacing w:line="312" w:lineRule="exact"/>
        <w:ind w:right="153" w:firstLine="384"/>
        <w:jc w:val="both"/>
      </w:pPr>
      <w:r>
        <w:rPr>
          <w:spacing w:val="-3"/>
        </w:rPr>
        <w:t>与收益相关的政府补助，用于补偿企业以后期间的相关费用或损失的，取得时确认为递延</w:t>
      </w:r>
      <w:r>
        <w:rPr/>
        <w:t> 收益，在确认相关费用的期间计入当期营业外收入；用于补偿企业已发生的相关费用或损失 的，取得时直接计入当期营业外收入。</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30</w:t>
      </w:r>
      <w:r>
        <w:rPr>
          <w:rFonts w:ascii="Microsoft JhengHei" w:hAnsi="Microsoft JhengHei" w:cs="Microsoft JhengHei" w:eastAsia="Microsoft JhengHei" w:hint="default"/>
          <w:b/>
          <w:bCs/>
          <w:sz w:val="21"/>
          <w:szCs w:val="21"/>
        </w:rPr>
        <w:t>、递延所得税资产</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递延所得税负债</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91" w:firstLine="480"/>
        <w:jc w:val="both"/>
      </w:pPr>
      <w:r>
        <w:rPr/>
        <w:t>对于可抵扣暂时性差异确认递延所得税资产，以未来期间很可能取得的用来抵扣可抵扣 暂时性差异的应纳税所得额为限。对于能够结转以后年度的可抵扣亏损和税款抵减，以很可 能获得用来抵扣可抵扣亏损和税款抵减的未来应纳税所得额为限，确认相应的递延所得税资 产。</w:t>
      </w:r>
    </w:p>
    <w:p>
      <w:pPr>
        <w:pStyle w:val="BodyText"/>
        <w:spacing w:line="312" w:lineRule="exact"/>
        <w:ind w:left="634" w:right="172"/>
        <w:jc w:val="left"/>
      </w:pPr>
      <w:r>
        <w:rPr/>
        <w:t>对于应纳税暂时性差异，除特殊情况外，确认递延所得税负债。 不确认递延所得税资产或递延所得税负债的特殊情况包括：商誉的初始确认；除企业合</w:t>
      </w:r>
    </w:p>
    <w:p>
      <w:pPr>
        <w:pStyle w:val="BodyText"/>
        <w:spacing w:line="312" w:lineRule="exact"/>
        <w:ind w:right="172"/>
        <w:jc w:val="left"/>
      </w:pPr>
      <w:r>
        <w:rPr/>
        <w:t>并以外的发生时既不影响会计利润也不影响应纳税所得额（或可抵扣亏损）的其他交易或事 项。</w:t>
      </w:r>
    </w:p>
    <w:p>
      <w:pPr>
        <w:pStyle w:val="BodyText"/>
        <w:spacing w:line="312" w:lineRule="exact"/>
        <w:ind w:right="172" w:firstLine="480"/>
        <w:jc w:val="left"/>
      </w:pPr>
      <w:r>
        <w:rPr/>
        <w:t>当拥有以净额结算的法定权利，且意图以净额结算或取得资产、清偿负债同时进行时， 当期所得税资产及当期所得税负债以抵销后的净额列报。 当拥有以净额结算当期所得税资产及当期所得税负债的法定权利，且递延所得税资产及递延 所得税负债是与同一税收征管部门对同一纳税主体征收的所得税相关或者是对不同的纳税主 体相关，但在未来每一具有重要性的递延所得税资产及负债转回的期间内，涉及的纳税主体</w:t>
      </w:r>
    </w:p>
    <w:p>
      <w:pPr>
        <w:pStyle w:val="BodyText"/>
        <w:spacing w:line="312" w:lineRule="exact"/>
        <w:ind w:right="172"/>
        <w:jc w:val="left"/>
      </w:pPr>
      <w:r>
        <w:rPr/>
        <w:t>意图以净额结算当期所得税资产和负债或是同时取得资产、清偿负债时，递延所得税资产及 递延所得税负债以抵销后的净额列报。</w:t>
      </w:r>
    </w:p>
    <w:p>
      <w:pPr>
        <w:spacing w:after="0" w:line="312" w:lineRule="exact"/>
        <w:jc w:val="left"/>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31</w:t>
      </w:r>
      <w:r>
        <w:rPr>
          <w:rFonts w:ascii="Microsoft JhengHei" w:hAnsi="Microsoft JhengHei" w:cs="Microsoft JhengHei" w:eastAsia="Microsoft JhengHei" w:hint="default"/>
          <w:b/>
          <w:bCs/>
          <w:sz w:val="21"/>
          <w:szCs w:val="21"/>
        </w:rPr>
        <w:t>、租赁</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）经营租赁的会计处理方法</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8"/>
          <w:szCs w:val="18"/>
        </w:rPr>
      </w:pPr>
    </w:p>
    <w:p>
      <w:pPr>
        <w:pStyle w:val="BodyText"/>
        <w:spacing w:line="312" w:lineRule="exact"/>
        <w:ind w:right="152" w:firstLine="480"/>
        <w:jc w:val="both"/>
      </w:pPr>
      <w:r>
        <w:rPr>
          <w:spacing w:val="-3"/>
        </w:rPr>
        <w:t>（</w:t>
      </w:r>
      <w:r>
        <w:rPr>
          <w:rFonts w:ascii="Times New Roman" w:hAnsi="Times New Roman" w:cs="Times New Roman" w:eastAsia="Times New Roman" w:hint="default"/>
          <w:spacing w:val="-3"/>
        </w:rPr>
        <w:t>1</w:t>
      </w:r>
      <w:r>
        <w:rPr>
          <w:spacing w:val="-3"/>
        </w:rPr>
        <w:t>）公司租入资产所支付的租赁费，在不扣除免租期的整个租赁期内，按直线法进行分</w:t>
      </w:r>
      <w:r>
        <w:rPr/>
        <w:t> 摊，计入当期费用。公司支付的与租赁交易相关的初始直接费用，计入当期费用。</w:t>
      </w:r>
    </w:p>
    <w:p>
      <w:pPr>
        <w:pStyle w:val="BodyText"/>
        <w:spacing w:line="312" w:lineRule="exact"/>
        <w:ind w:right="191" w:firstLine="480"/>
        <w:jc w:val="both"/>
      </w:pPr>
      <w:r>
        <w:rPr/>
        <w:t>资产出租方承担了应由公司承担的与租赁相关的费用时，公司将该部分费用从租金总额 中扣除，按扣除后的租金费用在租赁期内分摊，计入当期费用。</w:t>
      </w:r>
    </w:p>
    <w:p>
      <w:pPr>
        <w:pStyle w:val="BodyText"/>
        <w:spacing w:line="312" w:lineRule="exact" w:before="120"/>
        <w:ind w:right="152" w:firstLine="480"/>
        <w:jc w:val="both"/>
      </w:pPr>
      <w:r>
        <w:rPr>
          <w:spacing w:val="-3"/>
        </w:rPr>
        <w:t>（</w:t>
      </w:r>
      <w:r>
        <w:rPr>
          <w:rFonts w:ascii="Times New Roman" w:hAnsi="Times New Roman" w:cs="Times New Roman" w:eastAsia="Times New Roman" w:hint="default"/>
          <w:spacing w:val="-3"/>
        </w:rPr>
        <w:t>2</w:t>
      </w:r>
      <w:r>
        <w:rPr>
          <w:spacing w:val="-3"/>
        </w:rPr>
        <w:t>）公司出租资产所收取的租赁费，在不扣除免租期的整个租赁期内，按直线法进行分</w:t>
      </w:r>
      <w:r>
        <w:rPr/>
        <w:t> 摊，确认为租赁相关收入。公司支付的与租赁交易相关的初始直接费用，计入当期费用；如 金额较大的，则予以资本化，在整个租赁期间内按照与租赁收入确认相同的基础分期计入当 期收益。</w:t>
      </w:r>
    </w:p>
    <w:p>
      <w:pPr>
        <w:pStyle w:val="BodyText"/>
        <w:spacing w:line="312" w:lineRule="exact" w:before="120"/>
        <w:ind w:right="152" w:firstLine="384"/>
        <w:jc w:val="both"/>
      </w:pPr>
      <w:r>
        <w:rPr>
          <w:spacing w:val="-3"/>
        </w:rPr>
        <w:t>公司承担了应由承租方承担的与租赁相关的费用时，公司将该部分费用从租金收入总额中</w:t>
      </w:r>
      <w:r>
        <w:rPr/>
        <w:t> 扣除，按扣除后的租金费用在租赁期内分配。</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）融资租赁的会计处理方法</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8"/>
          <w:szCs w:val="18"/>
        </w:rPr>
      </w:pPr>
    </w:p>
    <w:p>
      <w:pPr>
        <w:pStyle w:val="BodyText"/>
        <w:spacing w:line="312" w:lineRule="exact"/>
        <w:ind w:right="152" w:firstLine="480"/>
        <w:jc w:val="both"/>
      </w:pPr>
      <w:r>
        <w:rPr>
          <w:spacing w:val="-3"/>
        </w:rPr>
        <w:t>（</w:t>
      </w:r>
      <w:r>
        <w:rPr>
          <w:rFonts w:ascii="Times New Roman" w:hAnsi="Times New Roman" w:cs="Times New Roman" w:eastAsia="Times New Roman" w:hint="default"/>
          <w:spacing w:val="-3"/>
        </w:rPr>
        <w:t>1</w:t>
      </w:r>
      <w:r>
        <w:rPr>
          <w:spacing w:val="-3"/>
        </w:rPr>
        <w:t>）融资租入资产：公司在承租开始日，将租赁资产公允价值与最低租赁付款额现值两</w:t>
      </w:r>
      <w:r>
        <w:rPr/>
        <w:t> 者中较低者作为租入资产的入账价值，将最低租赁付款额作为长期应付款的入账价值，其差 额作为未确认的融资费用。</w:t>
      </w:r>
    </w:p>
    <w:p>
      <w:pPr>
        <w:pStyle w:val="BodyText"/>
        <w:spacing w:line="312" w:lineRule="exact"/>
        <w:ind w:right="191" w:firstLine="480"/>
        <w:jc w:val="both"/>
      </w:pPr>
      <w:r>
        <w:rPr/>
        <w:t>公司采用实际利率法对未确认的融资费用，在资产租赁期间内摊销，计入财务费用。公 司发生的初始直接费用，计入租入资产价值。</w:t>
      </w:r>
    </w:p>
    <w:p>
      <w:pPr>
        <w:pStyle w:val="BodyText"/>
        <w:spacing w:line="312" w:lineRule="exact"/>
        <w:ind w:right="190" w:firstLine="288"/>
        <w:jc w:val="both"/>
      </w:pPr>
      <w:r>
        <w:rPr/>
        <w:t>（</w:t>
      </w:r>
      <w:r>
        <w:rPr>
          <w:rFonts w:ascii="Times New Roman" w:hAnsi="Times New Roman" w:cs="Times New Roman" w:eastAsia="Times New Roman" w:hint="default"/>
        </w:rPr>
        <w:t>2</w:t>
      </w:r>
      <w:r>
        <w:rPr/>
        <w:t>）融资租出资产：公司在租赁开始日，将应收融资租赁款，未担保余值之和与其现值 的差额确认为未实现融资收益，在将来收到租金的各期间内确认为租赁收入。公司发生的与 出租交易相关的初始直接费用，计入应收融资租赁款的初始计量中，并减少租赁期内确认的 收益金额。</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32</w:t>
      </w:r>
      <w:r>
        <w:rPr>
          <w:rFonts w:ascii="Microsoft JhengHei" w:hAnsi="Microsoft JhengHei" w:cs="Microsoft JhengHei" w:eastAsia="Microsoft JhengHei" w:hint="default"/>
          <w:b/>
          <w:bCs/>
          <w:sz w:val="21"/>
          <w:szCs w:val="21"/>
        </w:rPr>
        <w:t>、其他重要的会计政策和会计估计</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33</w:t>
      </w:r>
      <w:r>
        <w:rPr>
          <w:rFonts w:ascii="Microsoft JhengHei" w:hAnsi="Microsoft JhengHei" w:cs="Microsoft JhengHei" w:eastAsia="Microsoft JhengHei" w:hint="default"/>
          <w:b/>
          <w:bCs/>
          <w:sz w:val="21"/>
          <w:szCs w:val="21"/>
        </w:rPr>
        <w:t>、重要会计政策和会计估计变更</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）重要会计政策变更</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）重要会计估计变更</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34</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2"/>
          <w:szCs w:val="12"/>
        </w:rPr>
      </w:pPr>
    </w:p>
    <w:p>
      <w:pPr>
        <w:pStyle w:val="Heading2"/>
        <w:spacing w:line="240" w:lineRule="auto"/>
        <w:ind w:right="0"/>
        <w:jc w:val="left"/>
        <w:rPr>
          <w:b w:val="0"/>
          <w:bCs w:val="0"/>
        </w:rPr>
      </w:pPr>
      <w:r>
        <w:rPr/>
        <w:t>六、税项</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、主要税种及税率</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318" w:hRule="exact"/>
        </w:trPr>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95"/>
              <w:jc w:val="both"/>
              <w:rPr>
                <w:rFonts w:ascii="宋体" w:hAnsi="宋体" w:cs="宋体" w:eastAsia="宋体" w:hint="default"/>
                <w:sz w:val="18"/>
                <w:szCs w:val="18"/>
              </w:rPr>
            </w:pPr>
            <w:r>
              <w:rPr>
                <w:rFonts w:ascii="宋体" w:hAnsi="宋体" w:cs="宋体" w:eastAsia="宋体" w:hint="default"/>
                <w:sz w:val="18"/>
                <w:szCs w:val="18"/>
              </w:rPr>
              <w:t>按照税法规定的计算的应税收入为基础 计算销项税额，在扣除当期允许抵扣的 进项税额后，差额部分为应缴增值税</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6%</w:t>
            </w:r>
          </w:p>
        </w:tc>
      </w:tr>
      <w:tr>
        <w:trPr>
          <w:trHeight w:val="391" w:hRule="exact"/>
        </w:trPr>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4" w:space="0" w:color="000000"/>
              <w:right w:val="single" w:sz="4" w:space="0" w:color="000000"/>
            </w:tcBorders>
          </w:tcPr>
          <w:p>
            <w:pPr/>
          </w:p>
        </w:tc>
        <w:tc>
          <w:tcPr>
            <w:tcW w:w="3190" w:type="dxa"/>
            <w:vMerge/>
            <w:tcBorders>
              <w:left w:val="single" w:sz="4" w:space="0" w:color="000000"/>
              <w:right w:val="single" w:sz="4" w:space="0" w:color="000000"/>
            </w:tcBorders>
          </w:tcPr>
          <w:p>
            <w:pPr/>
          </w:p>
        </w:tc>
      </w:tr>
      <w:tr>
        <w:trPr>
          <w:trHeight w:val="317" w:hRule="exact"/>
        </w:trPr>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4" w:space="0" w:color="000000"/>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应税收入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实际缴纳的流转税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12.5%</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文化建设事业费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广告收入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实际缴纳的流转税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北京昆仑在线网络科技有限公司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北京昆仑乐享网络技术有限公司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昆仑日本株式会社</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税率随企业利润不同而变动</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昆仑韩国株式会社</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22%</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香港昆仑万维股份有限公司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KUNLUN</w:t>
            </w:r>
            <w:r>
              <w:rPr>
                <w:rFonts w:ascii="Times New Roman"/>
                <w:spacing w:val="-9"/>
                <w:sz w:val="18"/>
              </w:rPr>
              <w:t> </w:t>
            </w:r>
            <w:r>
              <w:rPr>
                <w:rFonts w:ascii="Times New Roman"/>
                <w:sz w:val="18"/>
              </w:rPr>
              <w:t>GLOBAL</w:t>
            </w:r>
            <w:r>
              <w:rPr>
                <w:rFonts w:ascii="Times New Roman"/>
                <w:spacing w:val="-14"/>
                <w:sz w:val="18"/>
              </w:rPr>
              <w:t> </w:t>
            </w:r>
            <w:r>
              <w:rPr>
                <w:rFonts w:ascii="Times New Roman"/>
                <w:sz w:val="18"/>
              </w:rPr>
              <w:t>INTERNATIONAL</w:t>
            </w:r>
            <w:r>
              <w:rPr>
                <w:rFonts w:ascii="Times New Roman"/>
                <w:spacing w:val="-14"/>
                <w:sz w:val="18"/>
              </w:rPr>
              <w:t> </w:t>
            </w:r>
            <w:r>
              <w:rPr>
                <w:rFonts w:ascii="Times New Roman"/>
                <w:sz w:val="18"/>
              </w:rPr>
              <w:t>SDN.</w:t>
            </w:r>
            <w:r>
              <w:rPr>
                <w:rFonts w:ascii="Times New Roman"/>
                <w:spacing w:val="-8"/>
                <w:sz w:val="18"/>
              </w:rPr>
              <w:t> </w:t>
            </w:r>
            <w:r>
              <w:rPr>
                <w:rFonts w:ascii="Times New Roman"/>
                <w:sz w:val="18"/>
              </w:rPr>
              <w:t>BHD.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网潮（香港）科技股份有限公司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游景蓝图（香港）科技股份有限公司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KUNLUN EUROPE</w:t>
            </w:r>
            <w:r>
              <w:rPr>
                <w:rFonts w:ascii="Times New Roman"/>
                <w:spacing w:val="-3"/>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20%-25%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KUNLUN US</w:t>
            </w:r>
            <w:r>
              <w:rPr>
                <w:rFonts w:ascii="Times New Roman"/>
                <w:spacing w:val="-3"/>
                <w:sz w:val="18"/>
              </w:rPr>
              <w:t> </w:t>
            </w:r>
            <w:r>
              <w:rPr>
                <w:rFonts w:ascii="Times New Roman"/>
                <w:sz w:val="18"/>
              </w:rPr>
              <w:t>INC</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15%-35%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台湾昆仑万维有限公司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17%</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、税收优惠</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312" w:lineRule="auto"/>
        <w:ind w:left="634" w:right="172" w:firstLine="156"/>
        <w:jc w:val="left"/>
      </w:pPr>
      <w:r>
        <w:rPr>
          <w:rFonts w:ascii="Times New Roman" w:hAnsi="Times New Roman" w:cs="Times New Roman" w:eastAsia="Times New Roman" w:hint="default"/>
        </w:rPr>
        <w:t>1</w:t>
      </w:r>
      <w:r>
        <w:rPr/>
        <w:t>、母公司税收优惠政策 根据</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11</w:t>
      </w:r>
      <w:r>
        <w:rPr/>
        <w:t>日北京市科学技术委员会、北京市财政局、北京市国家税务局、北京</w:t>
      </w:r>
    </w:p>
    <w:p>
      <w:pPr>
        <w:pStyle w:val="BodyText"/>
        <w:spacing w:line="222" w:lineRule="exact"/>
        <w:ind w:right="0"/>
        <w:jc w:val="left"/>
      </w:pPr>
      <w:r>
        <w:rPr/>
        <w:t>市地方税务局联合颁发的编号为</w:t>
      </w:r>
      <w:r>
        <w:rPr>
          <w:rFonts w:ascii="Times New Roman" w:hAnsi="Times New Roman" w:cs="Times New Roman" w:eastAsia="Times New Roman" w:hint="default"/>
        </w:rPr>
        <w:t>GF201311000291</w:t>
      </w:r>
      <w:r>
        <w:rPr/>
        <w:t>号高新技术企业证书（有效期为</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12</w:t>
      </w:r>
      <w:r>
        <w:rPr/>
        <w:t>月</w:t>
      </w:r>
    </w:p>
    <w:p>
      <w:pPr>
        <w:pStyle w:val="BodyText"/>
        <w:spacing w:line="312" w:lineRule="exact" w:before="20"/>
        <w:ind w:right="172"/>
        <w:jc w:val="left"/>
      </w:pPr>
      <w:r>
        <w:rPr>
          <w:rFonts w:ascii="Times New Roman" w:hAnsi="Times New Roman" w:cs="Times New Roman" w:eastAsia="Times New Roman" w:hint="default"/>
        </w:rPr>
        <w:t>13</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13</w:t>
      </w:r>
      <w:r>
        <w:rPr/>
        <w:t>日），根据中华人民共和国企业所得税税法第二十八条的规定及主管税 务机关的认定，公司在高新技术企业证书有效期内按</w:t>
      </w:r>
      <w:r>
        <w:rPr>
          <w:rFonts w:ascii="Times New Roman" w:hAnsi="Times New Roman" w:cs="Times New Roman" w:eastAsia="Times New Roman" w:hint="default"/>
        </w:rPr>
        <w:t>15%</w:t>
      </w:r>
      <w:r>
        <w:rPr/>
        <w:t>的所得税税率缴纳当年的企业所得</w:t>
      </w:r>
    </w:p>
    <w:p>
      <w:pPr>
        <w:spacing w:after="0" w:line="312" w:lineRule="exact"/>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240" w:lineRule="auto" w:before="26"/>
        <w:ind w:right="0"/>
        <w:jc w:val="left"/>
      </w:pPr>
      <w:r>
        <w:rPr/>
        <w:t>税。</w:t>
      </w:r>
    </w:p>
    <w:p>
      <w:pPr>
        <w:pStyle w:val="BodyText"/>
        <w:spacing w:line="430" w:lineRule="atLeast" w:before="20"/>
        <w:ind w:left="634" w:right="252"/>
        <w:jc w:val="left"/>
      </w:pPr>
      <w:r>
        <w:rPr>
          <w:rFonts w:ascii="Times New Roman" w:hAnsi="Times New Roman" w:cs="Times New Roman" w:eastAsia="Times New Roman" w:hint="default"/>
        </w:rPr>
        <w:t>2</w:t>
      </w:r>
      <w:r>
        <w:rPr/>
        <w:t>、子公司北京昆仑在线网络科技有限公司税收优惠政策 根据北京市石景山区地方税务局</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日颁发的编号为石地税园受</w:t>
      </w:r>
      <w:r>
        <w:rPr>
          <w:rFonts w:ascii="Times New Roman" w:hAnsi="Times New Roman" w:cs="Times New Roman" w:eastAsia="Times New Roman" w:hint="default"/>
        </w:rPr>
        <w:t>[2011]001</w:t>
      </w:r>
      <w:r>
        <w:rPr/>
        <w:t>号软</w:t>
      </w:r>
    </w:p>
    <w:p>
      <w:pPr>
        <w:pStyle w:val="BodyText"/>
        <w:spacing w:line="302" w:lineRule="exact"/>
        <w:ind w:right="0"/>
        <w:jc w:val="left"/>
      </w:pPr>
      <w:r>
        <w:rPr/>
        <w:t>件企业减免税备案受理通知书，北京昆仑在线网络科技有限公司自</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2015</w:t>
      </w:r>
      <w:r>
        <w:rPr/>
        <w:t>年</w:t>
      </w:r>
    </w:p>
    <w:p>
      <w:pPr>
        <w:pStyle w:val="BodyText"/>
        <w:spacing w:line="312" w:lineRule="auto"/>
        <w:ind w:left="634" w:right="172" w:hanging="481"/>
        <w:jc w:val="left"/>
      </w:pP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日止减半征收企业所得税，税率为</w:t>
      </w:r>
      <w:r>
        <w:rPr>
          <w:rFonts w:ascii="Times New Roman" w:hAnsi="Times New Roman" w:cs="Times New Roman" w:eastAsia="Times New Roman" w:hint="default"/>
        </w:rPr>
        <w:t>12.5%</w:t>
      </w:r>
      <w:r>
        <w:rPr/>
        <w:t>。 根据（财税〔</w:t>
      </w:r>
      <w:r>
        <w:rPr>
          <w:rFonts w:ascii="Times New Roman" w:hAnsi="Times New Roman" w:cs="Times New Roman" w:eastAsia="Times New Roman" w:hint="default"/>
        </w:rPr>
        <w:t>2013</w:t>
      </w:r>
      <w:r>
        <w:rPr/>
        <w:t>〕</w:t>
      </w:r>
      <w:r>
        <w:rPr>
          <w:rFonts w:ascii="Times New Roman" w:hAnsi="Times New Roman" w:cs="Times New Roman" w:eastAsia="Times New Roman" w:hint="default"/>
        </w:rPr>
        <w:t>37</w:t>
      </w:r>
      <w:r>
        <w:rPr/>
        <w:t>号）号文件《财政部、国家税务总局关于在全国开展交通运输业</w:t>
      </w:r>
    </w:p>
    <w:p>
      <w:pPr>
        <w:pStyle w:val="BodyText"/>
        <w:spacing w:line="222" w:lineRule="exact"/>
        <w:ind w:right="0"/>
        <w:jc w:val="left"/>
      </w:pPr>
      <w:r>
        <w:rPr/>
        <w:t>和部分现代服务业营业税改征增值税试点税收政策的通知》的规定，公司对于在</w:t>
      </w:r>
      <w:r>
        <w:rPr>
          <w:rFonts w:ascii="Times New Roman" w:hAnsi="Times New Roman" w:cs="Times New Roman" w:eastAsia="Times New Roman" w:hint="default"/>
        </w:rPr>
        <w:t>2015</w:t>
      </w:r>
      <w:r>
        <w:rPr/>
        <w:t>年度从</w:t>
      </w:r>
    </w:p>
    <w:p>
      <w:pPr>
        <w:pStyle w:val="BodyText"/>
        <w:spacing w:line="304" w:lineRule="exact"/>
        <w:ind w:right="0"/>
        <w:jc w:val="left"/>
      </w:pPr>
      <w:r>
        <w:rPr/>
        <w:t>事的技术转让，技术开发业务收入在办理完毕相应的备案手续后免征增值税。</w:t>
      </w:r>
    </w:p>
    <w:p>
      <w:pPr>
        <w:pStyle w:val="BodyText"/>
        <w:spacing w:line="312" w:lineRule="auto" w:before="118"/>
        <w:ind w:left="634" w:right="172"/>
        <w:jc w:val="left"/>
      </w:pPr>
      <w:r>
        <w:rPr>
          <w:rFonts w:ascii="Times New Roman" w:hAnsi="Times New Roman" w:cs="Times New Roman" w:eastAsia="Times New Roman" w:hint="default"/>
        </w:rPr>
        <w:t>3</w:t>
      </w:r>
      <w:r>
        <w:rPr/>
        <w:t>、子公司广州昆仑在线信息科技有限公司税收优惠政策 根据（财税〔</w:t>
      </w:r>
      <w:r>
        <w:rPr>
          <w:rFonts w:ascii="Times New Roman" w:hAnsi="Times New Roman" w:cs="Times New Roman" w:eastAsia="Times New Roman" w:hint="default"/>
        </w:rPr>
        <w:t>2013</w:t>
      </w:r>
      <w:r>
        <w:rPr/>
        <w:t>〕</w:t>
      </w:r>
      <w:r>
        <w:rPr>
          <w:rFonts w:ascii="Times New Roman" w:hAnsi="Times New Roman" w:cs="Times New Roman" w:eastAsia="Times New Roman" w:hint="default"/>
        </w:rPr>
        <w:t>37</w:t>
      </w:r>
      <w:r>
        <w:rPr/>
        <w:t>号）号文件《财政部、国家税务总局关于在全国开展交通运输业</w:t>
      </w:r>
    </w:p>
    <w:p>
      <w:pPr>
        <w:pStyle w:val="BodyText"/>
        <w:spacing w:line="222" w:lineRule="exact"/>
        <w:ind w:right="0"/>
        <w:jc w:val="left"/>
      </w:pPr>
      <w:r>
        <w:rPr/>
        <w:t>和部分现代服务业营业税改征增值税试点税收政策的通知》的规定，公司对于在</w:t>
      </w:r>
      <w:r>
        <w:rPr>
          <w:rFonts w:ascii="Times New Roman" w:hAnsi="Times New Roman" w:cs="Times New Roman" w:eastAsia="Times New Roman" w:hint="default"/>
        </w:rPr>
        <w:t>2015</w:t>
      </w:r>
      <w:r>
        <w:rPr/>
        <w:t>年度从</w:t>
      </w:r>
    </w:p>
    <w:p>
      <w:pPr>
        <w:pStyle w:val="BodyText"/>
        <w:spacing w:line="304" w:lineRule="exact"/>
        <w:ind w:right="0"/>
        <w:jc w:val="left"/>
      </w:pPr>
      <w:r>
        <w:rPr/>
        <w:t>事的技术转让，技术开发业务收入在办理完毕相应的备案手续后免征增值税。</w:t>
      </w:r>
    </w:p>
    <w:p>
      <w:pPr>
        <w:pStyle w:val="BodyText"/>
        <w:spacing w:line="312" w:lineRule="auto" w:before="118"/>
        <w:ind w:left="634" w:right="292"/>
        <w:jc w:val="left"/>
      </w:pPr>
      <w:r>
        <w:rPr>
          <w:rFonts w:ascii="Times New Roman" w:hAnsi="Times New Roman" w:cs="Times New Roman" w:eastAsia="Times New Roman" w:hint="default"/>
        </w:rPr>
        <w:t>4</w:t>
      </w:r>
      <w:r>
        <w:rPr/>
        <w:t>、子公司北京昆仑乐享网络技术有限公司税收优惠政策 根据北京市石景山区地方税务局</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17</w:t>
      </w:r>
      <w:r>
        <w:rPr/>
        <w:t>日对北京昆仑乐享网络技术有限公司报送</w:t>
      </w:r>
    </w:p>
    <w:p>
      <w:pPr>
        <w:pStyle w:val="BodyText"/>
        <w:spacing w:line="222" w:lineRule="exact"/>
        <w:ind w:right="0"/>
        <w:jc w:val="left"/>
        <w:rPr>
          <w:rFonts w:ascii="Times New Roman" w:hAnsi="Times New Roman" w:cs="Times New Roman" w:eastAsia="Times New Roman" w:hint="default"/>
        </w:rPr>
      </w:pPr>
      <w:r>
        <w:rPr/>
        <w:t>企业所得税税收优惠的回执，北京昆仑乐享网络技术有限公司自</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12</w:t>
      </w:r>
    </w:p>
    <w:p>
      <w:pPr>
        <w:pStyle w:val="BodyText"/>
        <w:spacing w:line="312" w:lineRule="exact" w:before="20"/>
        <w:ind w:right="172"/>
        <w:jc w:val="left"/>
      </w:pPr>
      <w:r>
        <w:rPr/>
        <w:t>月</w:t>
      </w:r>
      <w:r>
        <w:rPr>
          <w:rFonts w:ascii="Times New Roman" w:hAnsi="Times New Roman" w:cs="Times New Roman" w:eastAsia="Times New Roman" w:hint="default"/>
        </w:rPr>
        <w:t>31</w:t>
      </w:r>
      <w:r>
        <w:rPr/>
        <w:t>日止免征企业所得税，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日止减半征收企业所得税，税率 为</w:t>
      </w:r>
      <w:r>
        <w:rPr>
          <w:rFonts w:ascii="Times New Roman" w:hAnsi="Times New Roman" w:cs="Times New Roman" w:eastAsia="Times New Roman" w:hint="default"/>
        </w:rPr>
        <w:t>12.5%</w:t>
      </w:r>
      <w:r>
        <w:rPr/>
        <w:t>。</w:t>
      </w:r>
    </w:p>
    <w:p>
      <w:pPr>
        <w:pStyle w:val="BodyText"/>
        <w:spacing w:line="225" w:lineRule="auto" w:before="106"/>
        <w:ind w:right="189" w:firstLine="480"/>
        <w:jc w:val="both"/>
      </w:pPr>
      <w:r>
        <w:rPr/>
        <w:t>根据（财税〔</w:t>
      </w:r>
      <w:r>
        <w:rPr>
          <w:rFonts w:ascii="Times New Roman" w:hAnsi="Times New Roman" w:cs="Times New Roman" w:eastAsia="Times New Roman" w:hint="default"/>
        </w:rPr>
        <w:t>2013</w:t>
      </w:r>
      <w:r>
        <w:rPr/>
        <w:t>〕</w:t>
      </w:r>
      <w:r>
        <w:rPr>
          <w:rFonts w:ascii="Times New Roman" w:hAnsi="Times New Roman" w:cs="Times New Roman" w:eastAsia="Times New Roman" w:hint="default"/>
        </w:rPr>
        <w:t>37</w:t>
      </w:r>
      <w:r>
        <w:rPr/>
        <w:t>号）号文件《财政部、国家税务总局关于在全国开展交通运输业 和部分现代服务业营业税改征增值税试点税收政策的通知》的规定，公司对于在</w:t>
      </w:r>
      <w:r>
        <w:rPr>
          <w:rFonts w:ascii="Times New Roman" w:hAnsi="Times New Roman" w:cs="Times New Roman" w:eastAsia="Times New Roman" w:hint="default"/>
        </w:rPr>
        <w:t>2015</w:t>
      </w:r>
      <w:r>
        <w:rPr/>
        <w:t>年度从 事的技术转让，技术开发业务收入在办理完毕相应的备案手续后免征增值税。</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8"/>
          <w:szCs w:val="28"/>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r>
        <w:rPr/>
        <w:t>七、合并财务报表项目注释</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、货币资金</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296,996.35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383,300.82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994,514,982.29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704,441,865.21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1,047,811,978.64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704,825,166.03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387,172,897.06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651,227,914.90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145"/>
        <w:ind w:left="538" w:right="0"/>
        <w:jc w:val="left"/>
      </w:pPr>
      <w:r>
        <w:rPr/>
        <w:t>注</w:t>
      </w:r>
      <w:r>
        <w:rPr>
          <w:rFonts w:ascii="Times New Roman" w:hAnsi="Times New Roman" w:cs="Times New Roman" w:eastAsia="Times New Roman" w:hint="default"/>
        </w:rPr>
        <w:t>1</w:t>
      </w:r>
      <w:r>
        <w:rPr/>
        <w:t>：截至</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日，本公司存放于境外的货币资金为人民币</w:t>
      </w:r>
      <w:r>
        <w:rPr>
          <w:rFonts w:ascii="Times New Roman" w:hAnsi="Times New Roman" w:cs="Times New Roman" w:eastAsia="Times New Roman" w:hint="default"/>
        </w:rPr>
        <w:t>387,172,897.06</w:t>
      </w:r>
      <w:r>
        <w:rPr/>
        <w:t>元。</w:t>
      </w:r>
    </w:p>
    <w:p>
      <w:pPr>
        <w:spacing w:after="0" w:line="240" w:lineRule="auto"/>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12" w:lineRule="exact" w:before="56"/>
        <w:ind w:right="0" w:firstLine="384"/>
        <w:jc w:val="left"/>
      </w:pPr>
      <w:r>
        <w:rPr>
          <w:spacing w:val="-2"/>
        </w:rPr>
        <w:t>注</w:t>
      </w:r>
      <w:r>
        <w:rPr>
          <w:rFonts w:ascii="Times New Roman" w:hAnsi="Times New Roman" w:cs="Times New Roman" w:eastAsia="Times New Roman" w:hint="default"/>
          <w:spacing w:val="-2"/>
        </w:rPr>
        <w:t>2</w:t>
      </w:r>
      <w:r>
        <w:rPr>
          <w:spacing w:val="-2"/>
        </w:rPr>
        <w:t>：截至</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日，其他货币资金中人民币</w:t>
      </w:r>
      <w:r>
        <w:rPr>
          <w:rFonts w:ascii="Times New Roman" w:hAnsi="Times New Roman" w:cs="Times New Roman" w:eastAsia="Times New Roman" w:hint="default"/>
          <w:spacing w:val="-2"/>
        </w:rPr>
        <w:t>5,300</w:t>
      </w:r>
      <w:r>
        <w:rPr>
          <w:spacing w:val="-2"/>
        </w:rPr>
        <w:t>万元为本公司向银行申请开具无</w:t>
      </w:r>
      <w:r>
        <w:rPr/>
        <w:t> 条件、不可撤销的担保函所存入的保证金存款。</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、以公允价值计量且其变动计入当期损益的金融资产</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、衍生金融资产</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、应收票据</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）应收票据分类列示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）期末公司已质押的应收票据</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）期末公司已背书或贴现且在资产负债表日尚未到期的应收票据</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）期末公司因出票人未履约而将其转应收账款的票据</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、应收账款</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）应收账款分类披露</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2"/>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8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307,174,</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018.99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18,661,3</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23.42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6.08%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288,512,6</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95.57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268,881</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,781.64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14,579,33</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7.48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5.42%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254,302,44</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4.16</w:t>
            </w: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center"/>
              <w:rPr>
                <w:rFonts w:ascii="Times New Roman" w:hAnsi="Times New Roman" w:cs="Times New Roman" w:eastAsia="Times New Roman" w:hint="default"/>
                <w:sz w:val="18"/>
                <w:szCs w:val="18"/>
              </w:rPr>
            </w:pPr>
            <w:r>
              <w:rPr>
                <w:rFonts w:ascii="Times New Roman"/>
                <w:sz w:val="18"/>
              </w:rPr>
              <w:t>307,174,</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018.99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18,661,3</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23.42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6.08%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288,512,6</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95.57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268,881</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,781.64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14,579,33</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7.48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5.42%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254,302,44</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4.16</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38" w:lineRule="auto" w:before="117"/>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组合中，按账龄分析法计提坏账准备的应收账款：</w:t>
      </w:r>
    </w:p>
    <w:p>
      <w:pPr>
        <w:spacing w:before="43"/>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295" w:space="4535"/>
            <w:col w:w="112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206" w:hRule="exact"/>
        </w:trPr>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3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392" w:type="dxa"/>
            <w:vMerge/>
            <w:tcBorders>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6" w:hRule="exact"/>
        </w:trPr>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269,858,748.75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13,492,937.44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28,387,139.59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2,838,713.96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8,248,073.29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1,649,614.66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680,057.36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680,057.36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307,174,018.99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18,661,323.42</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357" w:lineRule="auto" w:before="51"/>
        <w:ind w:left="154" w:right="779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无。</w:t>
      </w:r>
    </w:p>
    <w:p>
      <w:pPr>
        <w:spacing w:before="29"/>
        <w:ind w:left="154" w:right="0"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组合中，采用余额百分比法计提坏账准备的应收账款：</w:t>
      </w:r>
    </w:p>
    <w:p>
      <w:pPr>
        <w:spacing w:line="348" w:lineRule="auto" w:before="117"/>
        <w:ind w:left="154" w:right="58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组合中，采用其他方法计提坏账准备的应收账款： 无。</w:t>
      </w:r>
    </w:p>
    <w:p>
      <w:pPr>
        <w:spacing w:line="240" w:lineRule="auto" w:before="8"/>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type w:val="continuous"/>
          <w:pgSz w:w="11910" w:h="16840"/>
          <w:pgMar w:top="1060" w:bottom="1160" w:left="980" w:right="980"/>
        </w:sectPr>
      </w:pPr>
    </w:p>
    <w:p>
      <w:pPr>
        <w:spacing w:line="338" w:lineRule="auto" w:before="44"/>
        <w:ind w:left="154" w:right="-13"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4,081,985.94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6454" w:space="2375"/>
            <w:col w:w="112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1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type w:val="continuous"/>
          <w:pgSz w:w="11910" w:h="16840"/>
          <w:pgMar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）本期实际核销的应收账款情况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23"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line="357" w:lineRule="auto" w:before="51"/>
        <w:ind w:left="154" w:right="8152" w:firstLine="0"/>
        <w:jc w:val="left"/>
        <w:rPr>
          <w:rFonts w:ascii="宋体" w:hAnsi="宋体" w:cs="宋体" w:eastAsia="宋体" w:hint="default"/>
          <w:sz w:val="18"/>
          <w:szCs w:val="18"/>
        </w:rPr>
      </w:pPr>
      <w:r>
        <w:rPr>
          <w:rFonts w:ascii="宋体" w:hAnsi="宋体" w:cs="宋体" w:eastAsia="宋体" w:hint="default"/>
          <w:sz w:val="18"/>
          <w:szCs w:val="18"/>
        </w:rPr>
        <w:t>应收账款核销说明：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）按欠款方归集的期末余额前五名的应收账款情况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749" w:type="dxa"/>
        <w:tblLayout w:type="fixed"/>
        <w:tblCellMar>
          <w:top w:w="0" w:type="dxa"/>
          <w:left w:w="0" w:type="dxa"/>
          <w:bottom w:w="0" w:type="dxa"/>
          <w:right w:w="0" w:type="dxa"/>
        </w:tblCellMar>
        <w:tblLook w:val="01E0"/>
      </w:tblPr>
      <w:tblGrid>
        <w:gridCol w:w="3509"/>
        <w:gridCol w:w="1700"/>
        <w:gridCol w:w="1134"/>
        <w:gridCol w:w="1418"/>
      </w:tblGrid>
      <w:tr>
        <w:trPr>
          <w:trHeight w:val="347" w:hRule="exact"/>
        </w:trPr>
        <w:tc>
          <w:tcPr>
            <w:tcW w:w="3509" w:type="dxa"/>
            <w:vMerge w:val="restart"/>
            <w:tcBorders>
              <w:top w:val="single" w:sz="6" w:space="0" w:color="000000"/>
              <w:left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425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217" w:right="0"/>
              <w:jc w:val="left"/>
              <w:rPr>
                <w:rFonts w:ascii="宋体" w:hAnsi="宋体" w:cs="宋体" w:eastAsia="宋体" w:hint="default"/>
                <w:sz w:val="18"/>
                <w:szCs w:val="18"/>
              </w:rPr>
            </w:pPr>
            <w:r>
              <w:rPr>
                <w:rFonts w:ascii="宋体" w:hAnsi="宋体" w:cs="宋体" w:eastAsia="宋体" w:hint="default"/>
                <w:sz w:val="18"/>
                <w:szCs w:val="18"/>
              </w:rPr>
              <w:t>期末余额（单位：元）</w:t>
            </w:r>
          </w:p>
        </w:tc>
      </w:tr>
      <w:tr>
        <w:trPr>
          <w:trHeight w:val="971" w:hRule="exact"/>
        </w:trPr>
        <w:tc>
          <w:tcPr>
            <w:tcW w:w="3509" w:type="dxa"/>
            <w:vMerge/>
            <w:tcBorders>
              <w:left w:val="single" w:sz="6" w:space="0" w:color="000000"/>
              <w:bottom w:val="single" w:sz="6" w:space="0" w:color="000000"/>
              <w:right w:val="single" w:sz="6" w:space="0" w:color="000000"/>
            </w:tcBorders>
          </w:tcPr>
          <w:p>
            <w:pP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338" w:lineRule="auto" w:before="21"/>
              <w:ind w:left="20" w:right="17"/>
              <w:jc w:val="center"/>
              <w:rPr>
                <w:rFonts w:ascii="Times New Roman" w:hAnsi="Times New Roman" w:cs="Times New Roman" w:eastAsia="Times New Roman" w:hint="default"/>
                <w:sz w:val="18"/>
                <w:szCs w:val="18"/>
              </w:rPr>
            </w:pPr>
            <w:r>
              <w:rPr>
                <w:rFonts w:ascii="宋体" w:hAnsi="宋体" w:cs="宋体" w:eastAsia="宋体" w:hint="default"/>
                <w:sz w:val="18"/>
                <w:szCs w:val="18"/>
              </w:rPr>
              <w:t>占应收账款合 计数的比例 </w:t>
            </w:r>
            <w:r>
              <w:rPr>
                <w:rFonts w:ascii="Times New Roman" w:hAnsi="Times New Roman" w:cs="Times New Roman" w:eastAsia="Times New Roman" w:hint="default"/>
                <w:sz w:val="18"/>
                <w:szCs w:val="18"/>
              </w:rPr>
              <w:t>(%)</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47" w:hRule="exact"/>
        </w:trPr>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摩利数位行销股份有限公司</w:t>
            </w:r>
            <w:r>
              <w:rPr>
                <w:rFonts w:ascii="Times New Roman" w:hAnsi="Times New Roman" w:cs="Times New Roman" w:eastAsia="Times New Roman" w:hint="default"/>
                <w:sz w:val="18"/>
                <w:szCs w:val="18"/>
              </w:rPr>
              <w:t>(mooelytechco.)</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68,251,539.37</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57" w:right="0"/>
              <w:jc w:val="left"/>
              <w:rPr>
                <w:rFonts w:ascii="Times New Roman" w:hAnsi="Times New Roman" w:cs="Times New Roman" w:eastAsia="Times New Roman" w:hint="default"/>
                <w:sz w:val="18"/>
                <w:szCs w:val="18"/>
              </w:rPr>
            </w:pPr>
            <w:r>
              <w:rPr>
                <w:rFonts w:ascii="Times New Roman"/>
                <w:sz w:val="18"/>
              </w:rPr>
              <w:t>22.22</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4,367,736.79</w:t>
            </w:r>
          </w:p>
        </w:tc>
      </w:tr>
      <w:tr>
        <w:trPr>
          <w:trHeight w:val="347" w:hRule="exact"/>
        </w:trPr>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applestore</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46,853,243.68</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57" w:right="0"/>
              <w:jc w:val="left"/>
              <w:rPr>
                <w:rFonts w:ascii="Times New Roman" w:hAnsi="Times New Roman" w:cs="Times New Roman" w:eastAsia="Times New Roman" w:hint="default"/>
                <w:sz w:val="18"/>
                <w:szCs w:val="18"/>
              </w:rPr>
            </w:pPr>
            <w:r>
              <w:rPr>
                <w:rFonts w:ascii="Times New Roman"/>
                <w:sz w:val="18"/>
              </w:rPr>
              <w:t>15.25</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2,342,662.18</w:t>
            </w:r>
          </w:p>
        </w:tc>
      </w:tr>
      <w:tr>
        <w:trPr>
          <w:trHeight w:val="348" w:hRule="exact"/>
        </w:trPr>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googleplay</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31,538,611.93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57" w:right="0"/>
              <w:jc w:val="left"/>
              <w:rPr>
                <w:rFonts w:ascii="Times New Roman" w:hAnsi="Times New Roman" w:cs="Times New Roman" w:eastAsia="Times New Roman" w:hint="default"/>
                <w:sz w:val="18"/>
                <w:szCs w:val="18"/>
              </w:rPr>
            </w:pPr>
            <w:r>
              <w:rPr>
                <w:rFonts w:ascii="Times New Roman"/>
                <w:sz w:val="18"/>
              </w:rPr>
              <w:t>10.27</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1,576,930.60</w:t>
            </w:r>
          </w:p>
        </w:tc>
      </w:tr>
      <w:tr>
        <w:trPr>
          <w:trHeight w:val="347" w:hRule="exact"/>
        </w:trPr>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北京世界星辉科技有限责任公司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18,190,816.73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03" w:right="0"/>
              <w:jc w:val="left"/>
              <w:rPr>
                <w:rFonts w:ascii="Times New Roman" w:hAnsi="Times New Roman" w:cs="Times New Roman" w:eastAsia="Times New Roman" w:hint="default"/>
                <w:sz w:val="18"/>
                <w:szCs w:val="18"/>
              </w:rPr>
            </w:pPr>
            <w:r>
              <w:rPr>
                <w:rFonts w:ascii="Times New Roman"/>
                <w:sz w:val="18"/>
              </w:rPr>
              <w:t>5.92</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909,540.84</w:t>
            </w:r>
          </w:p>
        </w:tc>
      </w:tr>
      <w:tr>
        <w:trPr>
          <w:trHeight w:val="347" w:hRule="exact"/>
        </w:trPr>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HopeSoftwareJointStockCompany</w:t>
            </w:r>
            <w:r>
              <w:rPr>
                <w:rFonts w:ascii="宋体" w:hAnsi="宋体" w:cs="宋体" w:eastAsia="宋体" w:hint="default"/>
                <w:sz w:val="18"/>
                <w:szCs w:val="18"/>
              </w:rPr>
              <w:t>（</w:t>
            </w:r>
            <w:r>
              <w:rPr>
                <w:rFonts w:ascii="Times New Roman" w:hAnsi="Times New Roman" w:cs="Times New Roman" w:eastAsia="Times New Roman" w:hint="default"/>
                <w:sz w:val="18"/>
                <w:szCs w:val="18"/>
              </w:rPr>
              <w:t>SSPAY</w:t>
            </w:r>
            <w:r>
              <w:rPr>
                <w:rFonts w:ascii="宋体" w:hAnsi="宋体" w:cs="宋体" w:eastAsia="宋体" w:hint="default"/>
                <w:sz w:val="18"/>
                <w:szCs w:val="18"/>
              </w:rPr>
              <w:t>）</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12,563,549.48</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03" w:right="0"/>
              <w:jc w:val="left"/>
              <w:rPr>
                <w:rFonts w:ascii="Times New Roman" w:hAnsi="Times New Roman" w:cs="Times New Roman" w:eastAsia="Times New Roman" w:hint="default"/>
                <w:sz w:val="18"/>
                <w:szCs w:val="18"/>
              </w:rPr>
            </w:pPr>
            <w:r>
              <w:rPr>
                <w:rFonts w:ascii="Times New Roman"/>
                <w:sz w:val="18"/>
              </w:rPr>
              <w:t>4.09</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628,177.47</w:t>
            </w:r>
          </w:p>
        </w:tc>
      </w:tr>
      <w:tr>
        <w:trPr>
          <w:trHeight w:val="348" w:hRule="exact"/>
        </w:trPr>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177,397,761.19</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57" w:right="0"/>
              <w:jc w:val="left"/>
              <w:rPr>
                <w:rFonts w:ascii="Times New Roman" w:hAnsi="Times New Roman" w:cs="Times New Roman" w:eastAsia="Times New Roman" w:hint="default"/>
                <w:sz w:val="18"/>
                <w:szCs w:val="18"/>
              </w:rPr>
            </w:pPr>
            <w:r>
              <w:rPr>
                <w:rFonts w:ascii="Times New Roman"/>
                <w:sz w:val="18"/>
              </w:rPr>
              <w:t>57.75</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9,825,047.88</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2"/>
          <w:szCs w:val="12"/>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）因金融资产转移而终止确认的应收账款</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）转移应收账款且继续涉入形成的资产、负债金额</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line="357" w:lineRule="auto" w:before="0"/>
        <w:ind w:left="154" w:right="8552" w:firstLine="0"/>
        <w:jc w:val="left"/>
        <w:rPr>
          <w:rFonts w:ascii="宋体" w:hAnsi="宋体" w:cs="宋体" w:eastAsia="宋体" w:hint="default"/>
          <w:sz w:val="18"/>
          <w:szCs w:val="18"/>
        </w:rPr>
      </w:pPr>
      <w:r>
        <w:rPr>
          <w:rFonts w:ascii="宋体" w:hAnsi="宋体" w:cs="宋体" w:eastAsia="宋体" w:hint="default"/>
          <w:sz w:val="18"/>
          <w:szCs w:val="18"/>
        </w:rPr>
        <w:t>无。 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、预付款项</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）预付款项按账龄列示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3830"/>
        <w:gridCol w:w="3830"/>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190,181,018.15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89.94%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105,824,468.63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82.91%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11,957,608.15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20,198,489.08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15.82%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8,549,699.36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1,570,794.07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773,685.51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48,297.05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211,462,011.17</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127,642,048.83</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pStyle w:val="BodyText"/>
        <w:spacing w:line="240" w:lineRule="auto" w:before="52"/>
        <w:ind w:right="0"/>
        <w:jc w:val="left"/>
      </w:pPr>
      <w:r>
        <w:rPr/>
        <w:t>本期无账龄超过一年且金额重大的预付款项情况。</w:t>
      </w:r>
    </w:p>
    <w:p>
      <w:pPr>
        <w:spacing w:line="240" w:lineRule="auto" w:before="8"/>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）按预付对象归集的期末余额前五名的预付款情况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717" w:type="dxa"/>
        <w:tblLayout w:type="fixed"/>
        <w:tblCellMar>
          <w:top w:w="0" w:type="dxa"/>
          <w:left w:w="0" w:type="dxa"/>
          <w:bottom w:w="0" w:type="dxa"/>
          <w:right w:w="0" w:type="dxa"/>
        </w:tblCellMar>
        <w:tblLook w:val="01E0"/>
      </w:tblPr>
      <w:tblGrid>
        <w:gridCol w:w="3683"/>
        <w:gridCol w:w="1985"/>
        <w:gridCol w:w="2087"/>
      </w:tblGrid>
      <w:tr>
        <w:trPr>
          <w:trHeight w:val="659" w:hRule="exact"/>
        </w:trPr>
        <w:tc>
          <w:tcPr>
            <w:tcW w:w="3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期末余额（单位：元）</w:t>
            </w:r>
          </w:p>
        </w:tc>
        <w:tc>
          <w:tcPr>
            <w:tcW w:w="208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41" w:right="239" w:firstLine="74"/>
              <w:jc w:val="left"/>
              <w:rPr>
                <w:rFonts w:ascii="宋体" w:hAnsi="宋体" w:cs="宋体" w:eastAsia="宋体" w:hint="default"/>
                <w:sz w:val="18"/>
                <w:szCs w:val="18"/>
              </w:rPr>
            </w:pPr>
            <w:r>
              <w:rPr>
                <w:rFonts w:ascii="宋体" w:hAnsi="宋体" w:cs="宋体" w:eastAsia="宋体" w:hint="default"/>
                <w:sz w:val="18"/>
                <w:szCs w:val="18"/>
              </w:rPr>
              <w:t>占预付款期末余额 合计数的比例（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7" w:hRule="exact"/>
        </w:trPr>
        <w:tc>
          <w:tcPr>
            <w:tcW w:w="3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苏州蜗牛数字科技股份有限公司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66,729,519.26</w:t>
            </w:r>
          </w:p>
        </w:tc>
        <w:tc>
          <w:tcPr>
            <w:tcW w:w="2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31.56</w:t>
            </w:r>
          </w:p>
        </w:tc>
      </w:tr>
      <w:tr>
        <w:trPr>
          <w:trHeight w:val="348" w:hRule="exact"/>
        </w:trPr>
        <w:tc>
          <w:tcPr>
            <w:tcW w:w="3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香港网易互动娱乐有限公司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49,759,994.25</w:t>
            </w:r>
          </w:p>
        </w:tc>
        <w:tc>
          <w:tcPr>
            <w:tcW w:w="2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23.53</w:t>
            </w:r>
          </w:p>
        </w:tc>
      </w:tr>
      <w:tr>
        <w:trPr>
          <w:trHeight w:val="347" w:hRule="exact"/>
        </w:trPr>
        <w:tc>
          <w:tcPr>
            <w:tcW w:w="3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莉莉丝科技（上海）有限公司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12,094,680.87</w:t>
            </w:r>
          </w:p>
        </w:tc>
        <w:tc>
          <w:tcPr>
            <w:tcW w:w="2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5.72</w:t>
            </w:r>
          </w:p>
        </w:tc>
      </w:tr>
      <w:tr>
        <w:trPr>
          <w:trHeight w:val="347" w:hRule="exact"/>
        </w:trPr>
        <w:tc>
          <w:tcPr>
            <w:tcW w:w="3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上海心引网络科技有限公司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9,360,862.76</w:t>
            </w:r>
          </w:p>
        </w:tc>
        <w:tc>
          <w:tcPr>
            <w:tcW w:w="2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4.43</w:t>
            </w:r>
          </w:p>
        </w:tc>
      </w:tr>
      <w:tr>
        <w:trPr>
          <w:trHeight w:val="347" w:hRule="exact"/>
        </w:trPr>
        <w:tc>
          <w:tcPr>
            <w:tcW w:w="3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rovio entertainment</w:t>
            </w:r>
            <w:r>
              <w:rPr>
                <w:rFonts w:ascii="Times New Roman"/>
                <w:spacing w:val="-4"/>
                <w:sz w:val="18"/>
              </w:rPr>
              <w:t> </w:t>
            </w:r>
            <w:r>
              <w:rPr>
                <w:rFonts w:ascii="Times New Roman"/>
                <w:sz w:val="18"/>
              </w:rPr>
              <w:t>ltd</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7,895,381.98</w:t>
            </w:r>
          </w:p>
        </w:tc>
        <w:tc>
          <w:tcPr>
            <w:tcW w:w="2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3.73</w:t>
            </w:r>
          </w:p>
        </w:tc>
      </w:tr>
      <w:tr>
        <w:trPr>
          <w:trHeight w:val="348" w:hRule="exact"/>
        </w:trPr>
        <w:tc>
          <w:tcPr>
            <w:tcW w:w="3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145,840,439.12</w:t>
            </w:r>
          </w:p>
        </w:tc>
        <w:tc>
          <w:tcPr>
            <w:tcW w:w="20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68.97</w:t>
            </w:r>
          </w:p>
        </w:tc>
      </w:tr>
    </w:tbl>
    <w:p>
      <w:pPr>
        <w:spacing w:line="240" w:lineRule="auto" w:before="6"/>
        <w:rPr>
          <w:rFonts w:ascii="Microsoft JhengHei" w:hAnsi="Microsoft JhengHei" w:cs="Microsoft JhengHei" w:eastAsia="Microsoft JhengHei" w:hint="default"/>
          <w:b/>
          <w:bCs/>
          <w:sz w:val="18"/>
          <w:szCs w:val="18"/>
        </w:rPr>
      </w:pPr>
    </w:p>
    <w:p>
      <w:pPr>
        <w:spacing w:line="357" w:lineRule="auto" w:before="44"/>
        <w:ind w:left="154" w:right="855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、应收利息</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）应收利息分类</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）重要逾期利息</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71" w:right="50"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、应收股利</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）应收股利</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）重要的账龄超过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8"/>
          <w:sz w:val="21"/>
          <w:szCs w:val="21"/>
        </w:rPr>
        <w:t> </w:t>
      </w:r>
      <w:r>
        <w:rPr>
          <w:rFonts w:ascii="Microsoft JhengHei" w:hAnsi="Microsoft JhengHei" w:cs="Microsoft JhengHei" w:eastAsia="Microsoft JhengHei" w:hint="default"/>
          <w:b/>
          <w:bCs/>
          <w:sz w:val="21"/>
          <w:szCs w:val="21"/>
        </w:rPr>
        <w:t>年的应收股利</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71" w:right="50"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9</w:t>
      </w:r>
      <w:r>
        <w:rPr>
          <w:rFonts w:ascii="Microsoft JhengHei" w:hAnsi="Microsoft JhengHei" w:cs="Microsoft JhengHei" w:eastAsia="Microsoft JhengHei" w:hint="default"/>
          <w:b/>
          <w:bCs/>
          <w:sz w:val="21"/>
          <w:szCs w:val="21"/>
        </w:rPr>
        <w:t>、其他应收款</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）其他应收款分类披露</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2"/>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251,287,</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581.87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10,758,3</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21.34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240,529,2</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60.53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44,925,</w:t>
            </w:r>
          </w:p>
          <w:p>
            <w:pPr>
              <w:pStyle w:val="TableParagraph"/>
              <w:spacing w:line="240" w:lineRule="auto" w:before="106"/>
              <w:ind w:left="126" w:right="0"/>
              <w:jc w:val="left"/>
              <w:rPr>
                <w:rFonts w:ascii="Times New Roman" w:hAnsi="Times New Roman" w:cs="Times New Roman" w:eastAsia="Times New Roman" w:hint="default"/>
                <w:sz w:val="18"/>
                <w:szCs w:val="18"/>
              </w:rPr>
            </w:pPr>
            <w:r>
              <w:rPr>
                <w:rFonts w:ascii="Times New Roman"/>
                <w:sz w:val="18"/>
              </w:rPr>
              <w:t>676.62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97.84%</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11,696,45</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2.51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26.04%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33,229,224.</w:t>
            </w:r>
          </w:p>
          <w:p>
            <w:pPr>
              <w:pStyle w:val="TableParagraph"/>
              <w:spacing w:line="240" w:lineRule="auto" w:before="106"/>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的其他应收款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991,349</w:t>
            </w:r>
          </w:p>
          <w:p>
            <w:pPr>
              <w:pStyle w:val="TableParagraph"/>
              <w:spacing w:line="240" w:lineRule="auto" w:before="106"/>
              <w:ind w:left="396" w:right="0"/>
              <w:jc w:val="left"/>
              <w:rPr>
                <w:rFonts w:ascii="Times New Roman" w:hAnsi="Times New Roman" w:cs="Times New Roman" w:eastAsia="Times New Roman" w:hint="default"/>
                <w:sz w:val="18"/>
                <w:szCs w:val="18"/>
              </w:rPr>
            </w:pPr>
            <w:r>
              <w:rPr>
                <w:rFonts w:ascii="Times New Roman"/>
                <w:sz w:val="18"/>
              </w:rPr>
              <w:t>.50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2.16%</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991,349.5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center"/>
              <w:rPr>
                <w:rFonts w:ascii="Times New Roman" w:hAnsi="Times New Roman" w:cs="Times New Roman" w:eastAsia="Times New Roman" w:hint="default"/>
                <w:sz w:val="18"/>
                <w:szCs w:val="18"/>
              </w:rPr>
            </w:pPr>
            <w:r>
              <w:rPr>
                <w:rFonts w:ascii="Times New Roman"/>
                <w:sz w:val="18"/>
              </w:rPr>
              <w:t>251,287,</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581.87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10,758,3</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21.34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240,529,2</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60.53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45,917,</w:t>
            </w:r>
          </w:p>
          <w:p>
            <w:pPr>
              <w:pStyle w:val="TableParagraph"/>
              <w:spacing w:line="240" w:lineRule="auto" w:before="106"/>
              <w:ind w:left="126" w:right="0"/>
              <w:jc w:val="left"/>
              <w:rPr>
                <w:rFonts w:ascii="Times New Roman" w:hAnsi="Times New Roman" w:cs="Times New Roman" w:eastAsia="Times New Roman" w:hint="default"/>
                <w:sz w:val="18"/>
                <w:szCs w:val="18"/>
              </w:rPr>
            </w:pPr>
            <w:r>
              <w:rPr>
                <w:rFonts w:ascii="Times New Roman"/>
                <w:sz w:val="18"/>
              </w:rPr>
              <w:t>026.12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12,687,80</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2.01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27.63%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33,229,224.</w:t>
            </w:r>
          </w:p>
          <w:p>
            <w:pPr>
              <w:pStyle w:val="TableParagraph"/>
              <w:spacing w:line="240" w:lineRule="auto" w:before="106"/>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38" w:lineRule="auto" w:before="117"/>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组合中，按账龄分析法计提坏账准备的其他应收款：</w:t>
      </w:r>
    </w:p>
    <w:p>
      <w:pPr>
        <w:spacing w:before="43"/>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475" w:space="4355"/>
            <w:col w:w="112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206" w:hRule="exact"/>
        </w:trPr>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3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392" w:type="dxa"/>
            <w:vMerge/>
            <w:tcBorders>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74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6" w:hRule="exact"/>
        </w:trPr>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196,320,992.09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9,816,049.60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5,799,048.49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579,904.85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362,166.89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362,166.89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202,483,207.47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10,758,321.34</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980"/>
        </w:sectPr>
      </w:pPr>
    </w:p>
    <w:p>
      <w:pPr>
        <w:spacing w:line="240" w:lineRule="auto" w:before="13"/>
        <w:rPr>
          <w:rFonts w:ascii="宋体" w:hAnsi="宋体" w:cs="宋体" w:eastAsia="宋体" w:hint="default"/>
          <w:sz w:val="25"/>
          <w:szCs w:val="25"/>
        </w:rPr>
      </w:pPr>
    </w:p>
    <w:p>
      <w:pPr>
        <w:spacing w:line="357" w:lineRule="auto" w:before="44"/>
        <w:ind w:left="154" w:right="527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38" w:lineRule="auto" w:before="29"/>
        <w:ind w:left="154" w:right="56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组合中，采用其他方法计提坏账准备的其他应收款：</w:t>
      </w:r>
    </w:p>
    <w:p>
      <w:pPr>
        <w:spacing w:before="4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717" w:type="dxa"/>
        <w:tblLayout w:type="fixed"/>
        <w:tblCellMar>
          <w:top w:w="0" w:type="dxa"/>
          <w:left w:w="0" w:type="dxa"/>
          <w:bottom w:w="0" w:type="dxa"/>
          <w:right w:w="0" w:type="dxa"/>
        </w:tblCellMar>
        <w:tblLook w:val="01E0"/>
      </w:tblPr>
      <w:tblGrid>
        <w:gridCol w:w="2356"/>
        <w:gridCol w:w="2073"/>
        <w:gridCol w:w="1624"/>
        <w:gridCol w:w="1694"/>
      </w:tblGrid>
      <w:tr>
        <w:trPr>
          <w:trHeight w:val="355" w:hRule="exact"/>
        </w:trPr>
        <w:tc>
          <w:tcPr>
            <w:tcW w:w="2356" w:type="dxa"/>
            <w:vMerge w:val="restart"/>
            <w:tcBorders>
              <w:top w:val="single" w:sz="6" w:space="0" w:color="000000"/>
              <w:left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5390" w:type="dxa"/>
            <w:gridSpan w:val="3"/>
            <w:tcBorders>
              <w:top w:val="single" w:sz="6" w:space="0" w:color="000000"/>
              <w:left w:val="single" w:sz="6" w:space="0" w:color="000000"/>
              <w:bottom w:val="single" w:sz="12" w:space="0" w:color="000000"/>
              <w:right w:val="nil" w:sz="6" w:space="0" w:color="auto"/>
            </w:tcBorders>
          </w:tcPr>
          <w:p>
            <w:pPr>
              <w:pStyle w:val="TableParagraph"/>
              <w:spacing w:line="240" w:lineRule="auto" w:before="20"/>
              <w:ind w:right="5"/>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2" w:hRule="exact"/>
        </w:trPr>
        <w:tc>
          <w:tcPr>
            <w:tcW w:w="2356" w:type="dxa"/>
            <w:vMerge/>
            <w:tcBorders>
              <w:left w:val="single" w:sz="6" w:space="0" w:color="000000"/>
              <w:bottom w:val="single" w:sz="12" w:space="0" w:color="000000"/>
              <w:right w:val="single" w:sz="6" w:space="0" w:color="000000"/>
            </w:tcBorders>
          </w:tcPr>
          <w:p>
            <w:pPr/>
          </w:p>
        </w:tc>
        <w:tc>
          <w:tcPr>
            <w:tcW w:w="207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579"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left="479" w:right="0"/>
              <w:jc w:val="left"/>
              <w:rPr>
                <w:rFonts w:ascii="宋体" w:hAnsi="宋体" w:cs="宋体" w:eastAsia="宋体" w:hint="default"/>
                <w:sz w:val="18"/>
                <w:szCs w:val="18"/>
              </w:rPr>
            </w:pPr>
            <w:r>
              <w:rPr>
                <w:rFonts w:ascii="宋体" w:hAnsi="宋体" w:cs="宋体" w:eastAsia="宋体" w:hint="default"/>
                <w:sz w:val="18"/>
                <w:szCs w:val="18"/>
              </w:rPr>
              <w:t>计提比例</w:t>
            </w:r>
          </w:p>
        </w:tc>
      </w:tr>
      <w:tr>
        <w:trPr>
          <w:trHeight w:val="352" w:hRule="exact"/>
        </w:trPr>
        <w:tc>
          <w:tcPr>
            <w:tcW w:w="23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207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46,789,222.94</w:t>
            </w:r>
          </w:p>
        </w:tc>
        <w:tc>
          <w:tcPr>
            <w:tcW w:w="1624" w:type="dxa"/>
            <w:tcBorders>
              <w:top w:val="single" w:sz="12" w:space="0" w:color="000000"/>
              <w:left w:val="single" w:sz="6" w:space="0" w:color="000000"/>
              <w:bottom w:val="single" w:sz="12" w:space="0" w:color="000000"/>
              <w:right w:val="single" w:sz="6" w:space="0" w:color="000000"/>
            </w:tcBorders>
          </w:tcPr>
          <w:p>
            <w:pPr/>
          </w:p>
        </w:tc>
        <w:tc>
          <w:tcPr>
            <w:tcW w:w="1694"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3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207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1,355,118.12</w:t>
            </w:r>
          </w:p>
        </w:tc>
        <w:tc>
          <w:tcPr>
            <w:tcW w:w="1624" w:type="dxa"/>
            <w:tcBorders>
              <w:top w:val="single" w:sz="12" w:space="0" w:color="000000"/>
              <w:left w:val="single" w:sz="6" w:space="0" w:color="000000"/>
              <w:bottom w:val="single" w:sz="12" w:space="0" w:color="000000"/>
              <w:right w:val="single" w:sz="6" w:space="0" w:color="000000"/>
            </w:tcBorders>
          </w:tcPr>
          <w:p>
            <w:pPr/>
          </w:p>
        </w:tc>
        <w:tc>
          <w:tcPr>
            <w:tcW w:w="1694"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3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代交员工社保</w:t>
            </w:r>
          </w:p>
        </w:tc>
        <w:tc>
          <w:tcPr>
            <w:tcW w:w="207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pacing w:val="-1"/>
                <w:sz w:val="18"/>
              </w:rPr>
              <w:t>660,033.34</w:t>
            </w:r>
          </w:p>
        </w:tc>
        <w:tc>
          <w:tcPr>
            <w:tcW w:w="1624" w:type="dxa"/>
            <w:tcBorders>
              <w:top w:val="single" w:sz="12" w:space="0" w:color="000000"/>
              <w:left w:val="single" w:sz="6" w:space="0" w:color="000000"/>
              <w:bottom w:val="single" w:sz="12" w:space="0" w:color="000000"/>
              <w:right w:val="single" w:sz="6" w:space="0" w:color="000000"/>
            </w:tcBorders>
          </w:tcPr>
          <w:p>
            <w:pPr/>
          </w:p>
        </w:tc>
        <w:tc>
          <w:tcPr>
            <w:tcW w:w="1694"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3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207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48,804,374.40</w:t>
            </w:r>
          </w:p>
        </w:tc>
        <w:tc>
          <w:tcPr>
            <w:tcW w:w="1624" w:type="dxa"/>
            <w:tcBorders>
              <w:top w:val="single" w:sz="12" w:space="0" w:color="000000"/>
              <w:left w:val="single" w:sz="6" w:space="0" w:color="000000"/>
              <w:bottom w:val="single" w:sz="12" w:space="0" w:color="000000"/>
              <w:right w:val="single" w:sz="6" w:space="0" w:color="000000"/>
            </w:tcBorders>
          </w:tcPr>
          <w:p>
            <w:pPr/>
          </w:p>
        </w:tc>
        <w:tc>
          <w:tcPr>
            <w:tcW w:w="1694"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10" w:h="16840"/>
          <w:pgMar w:header="747" w:footer="979" w:top="1060" w:bottom="1160" w:left="980" w:right="980"/>
        </w:sectPr>
      </w:pPr>
    </w:p>
    <w:p>
      <w:pPr>
        <w:spacing w:line="338" w:lineRule="auto" w:before="44"/>
        <w:ind w:left="154" w:right="-14"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1,929,480.67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6454" w:space="2375"/>
            <w:col w:w="112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）本期实际核销的其他应收款情况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21"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line="357" w:lineRule="auto" w:before="51"/>
        <w:ind w:left="154" w:right="7972" w:firstLine="0"/>
        <w:jc w:val="left"/>
        <w:rPr>
          <w:rFonts w:ascii="宋体" w:hAnsi="宋体" w:cs="宋体" w:eastAsia="宋体" w:hint="default"/>
          <w:sz w:val="18"/>
          <w:szCs w:val="18"/>
        </w:rPr>
      </w:pPr>
      <w:r>
        <w:rPr>
          <w:rFonts w:ascii="宋体" w:hAnsi="宋体" w:cs="宋体" w:eastAsia="宋体" w:hint="default"/>
          <w:sz w:val="18"/>
          <w:szCs w:val="18"/>
        </w:rPr>
        <w:t>其他应收款核销说明：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）其他应收款按款项性质分类情况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处置投资款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196,020,992.09</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游戏授权金、分成款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14,888,335.52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532,714.76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9,186,943.36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固定资产清理款</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1,474,000.02</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外包费</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2,378,889.43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1,589,533.96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1,639,622.34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46,789,222.94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14,934,609.10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1,355,118.12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1,414,626.35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251,287,581.87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45,917,026.12</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）按欠款方归集的期末余额前五名的其他应收款情况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kunlunkemilimited</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投资转让款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196,020,992.09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78.01%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9,801,049.60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grindrllc</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32,467,996.34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12.92%</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广州市叉叉信息科 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游戏授权金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北京中蓝恒丰投资 管理有限公司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服务商押金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4,012,158.00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1.60%</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上海通耀信息科技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供应商押金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2,463,240.00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0.98%</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239,964,386.43</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95.49%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10,301,049.60</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）涉及政府补助的应收款项</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83" w:right="50"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spacing w:before="11"/>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）因金融资产转移而终止确认的其他应收款</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）转移其他应收款且继续涉入形成的资产、负债金额</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line="360" w:lineRule="auto" w:before="0"/>
        <w:ind w:left="154" w:right="8872" w:firstLine="0"/>
        <w:jc w:val="left"/>
        <w:rPr>
          <w:rFonts w:ascii="宋体" w:hAnsi="宋体" w:cs="宋体" w:eastAsia="宋体" w:hint="default"/>
          <w:sz w:val="18"/>
          <w:szCs w:val="18"/>
        </w:rPr>
      </w:pPr>
      <w:r>
        <w:rPr>
          <w:rFonts w:ascii="宋体" w:hAnsi="宋体" w:cs="宋体" w:eastAsia="宋体" w:hint="default"/>
          <w:sz w:val="18"/>
          <w:szCs w:val="18"/>
        </w:rPr>
        <w:t>无。 其他说明： 无。</w:t>
      </w:r>
    </w:p>
    <w:p>
      <w:pPr>
        <w:spacing w:after="0" w:line="36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、存货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）存货分类</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）存货跌价准备</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）存货期末余额含有借款费用资本化金额的说明</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）期末建造合同形成的已完工未结算资产情况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11</w:t>
      </w:r>
      <w:r>
        <w:rPr>
          <w:rFonts w:ascii="Microsoft JhengHei" w:hAnsi="Microsoft JhengHei" w:cs="Microsoft JhengHei" w:eastAsia="Microsoft JhengHei" w:hint="default"/>
          <w:b/>
          <w:bCs/>
          <w:sz w:val="21"/>
          <w:szCs w:val="21"/>
        </w:rPr>
        <w:t>、划分为持有待售的资产</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12</w:t>
      </w:r>
      <w:r>
        <w:rPr>
          <w:rFonts w:ascii="Microsoft JhengHei" w:hAnsi="Microsoft JhengHei" w:cs="Microsoft JhengHei" w:eastAsia="Microsoft JhengHei" w:hint="default"/>
          <w:b/>
          <w:bCs/>
          <w:sz w:val="21"/>
          <w:szCs w:val="21"/>
        </w:rPr>
        <w:t>、一年内到期的非流动资产</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13</w:t>
      </w:r>
      <w:r>
        <w:rPr>
          <w:rFonts w:ascii="Microsoft JhengHei" w:hAnsi="Microsoft JhengHei" w:cs="Microsoft JhengHei" w:eastAsia="Microsoft JhengHei" w:hint="default"/>
          <w:b/>
          <w:bCs/>
          <w:sz w:val="21"/>
          <w:szCs w:val="21"/>
        </w:rPr>
        <w:t>、其他流动资产</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预缴税金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6,486,430.36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8,629,401.78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319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过桥贷款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15,000,000.00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71,486,430.36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8,629,401.78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14</w:t>
      </w:r>
      <w:r>
        <w:rPr>
          <w:rFonts w:ascii="Microsoft JhengHei" w:hAnsi="Microsoft JhengHei" w:cs="Microsoft JhengHei" w:eastAsia="Microsoft JhengHei" w:hint="default"/>
          <w:b/>
          <w:bCs/>
          <w:sz w:val="21"/>
          <w:szCs w:val="21"/>
        </w:rPr>
        <w:t>、可供出售金融资产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）可供出售金融资产情况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001"/>
        <w:gridCol w:w="1195"/>
        <w:gridCol w:w="1196"/>
        <w:gridCol w:w="1196"/>
        <w:gridCol w:w="1248"/>
        <w:gridCol w:w="1367"/>
        <w:gridCol w:w="1367"/>
      </w:tblGrid>
      <w:tr>
        <w:trPr>
          <w:trHeight w:val="402" w:hRule="exact"/>
        </w:trPr>
        <w:tc>
          <w:tcPr>
            <w:tcW w:w="2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001"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1,128,458,691.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17</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1,128,458,691.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6" w:right="0"/>
              <w:jc w:val="center"/>
              <w:rPr>
                <w:rFonts w:ascii="Times New Roman" w:hAnsi="Times New Roman" w:cs="Times New Roman" w:eastAsia="Times New Roman" w:hint="default"/>
                <w:sz w:val="18"/>
                <w:szCs w:val="18"/>
              </w:rPr>
            </w:pPr>
            <w:r>
              <w:rPr>
                <w:rFonts w:ascii="Times New Roman"/>
                <w:sz w:val="18"/>
              </w:rPr>
              <w:t>160,580,373.69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160,580,373.69</w:t>
            </w:r>
          </w:p>
        </w:tc>
      </w:tr>
      <w:tr>
        <w:trPr>
          <w:trHeight w:val="714"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82"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1,128,458,691.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17</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1,128,458,691.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6" w:right="0"/>
              <w:jc w:val="center"/>
              <w:rPr>
                <w:rFonts w:ascii="Times New Roman" w:hAnsi="Times New Roman" w:cs="Times New Roman" w:eastAsia="Times New Roman" w:hint="default"/>
                <w:sz w:val="18"/>
                <w:szCs w:val="18"/>
              </w:rPr>
            </w:pPr>
            <w:r>
              <w:rPr>
                <w:rFonts w:ascii="Times New Roman"/>
                <w:sz w:val="18"/>
              </w:rPr>
              <w:t>160,580,373.69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160,580,373.69</w:t>
            </w:r>
          </w:p>
        </w:tc>
      </w:tr>
      <w:tr>
        <w:trPr>
          <w:trHeight w:val="714"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1,128,458,691.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17</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1,128,458,691.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6" w:right="0"/>
              <w:jc w:val="center"/>
              <w:rPr>
                <w:rFonts w:ascii="Times New Roman" w:hAnsi="Times New Roman" w:cs="Times New Roman" w:eastAsia="Times New Roman" w:hint="default"/>
                <w:sz w:val="18"/>
                <w:szCs w:val="18"/>
              </w:rPr>
            </w:pPr>
            <w:r>
              <w:rPr>
                <w:rFonts w:ascii="Times New Roman"/>
                <w:sz w:val="18"/>
              </w:rPr>
              <w:t>160,580,373.69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160,580,373.69</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）期末按公允价值计量的可供出售金融资产</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）期末按成本计量的可供出售金融资产</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5"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3" w:type="dxa"/>
            <w:vMerge/>
            <w:tcBorders>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天津真格 天峰投资 中心（有 限合伙）</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东方富海</w:t>
            </w:r>
          </w:p>
          <w:p>
            <w:pPr>
              <w:pStyle w:val="TableParagraph"/>
              <w:spacing w:line="319" w:lineRule="auto" w:before="75"/>
              <w:ind w:left="22" w:right="108"/>
              <w:jc w:val="both"/>
              <w:rPr>
                <w:rFonts w:ascii="宋体" w:hAnsi="宋体" w:cs="宋体" w:eastAsia="宋体" w:hint="default"/>
                <w:sz w:val="18"/>
                <w:szCs w:val="18"/>
              </w:rPr>
            </w:pPr>
            <w:r>
              <w:rPr>
                <w:rFonts w:ascii="宋体" w:hAnsi="宋体" w:cs="宋体" w:eastAsia="宋体" w:hint="default"/>
                <w:sz w:val="18"/>
                <w:szCs w:val="18"/>
              </w:rPr>
              <w:t>（上海） 创业投资 企业（有 限合伙）</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31,530,000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24,964,394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6,565,606.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4.99%</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98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珠海富海 铧创信息 技术创业</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z w:val="18"/>
              </w:rPr>
              <w:t>6.37%</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1299"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both"/>
              <w:rPr>
                <w:rFonts w:ascii="宋体" w:hAnsi="宋体" w:cs="宋体" w:eastAsia="宋体" w:hint="default"/>
                <w:sz w:val="18"/>
                <w:szCs w:val="18"/>
              </w:rPr>
            </w:pPr>
            <w:r>
              <w:rPr>
                <w:rFonts w:ascii="宋体" w:hAnsi="宋体" w:cs="宋体" w:eastAsia="宋体" w:hint="default"/>
                <w:sz w:val="18"/>
                <w:szCs w:val="18"/>
              </w:rPr>
              <w:t>投资基金</w:t>
            </w:r>
          </w:p>
          <w:p>
            <w:pPr>
              <w:pStyle w:val="TableParagraph"/>
              <w:spacing w:line="328" w:lineRule="auto" w:before="76"/>
              <w:ind w:left="22" w:right="108"/>
              <w:jc w:val="both"/>
              <w:rPr>
                <w:rFonts w:ascii="Times New Roman" w:hAnsi="Times New Roman" w:cs="Times New Roman" w:eastAsia="Times New Roman" w:hint="default"/>
                <w:sz w:val="18"/>
                <w:szCs w:val="18"/>
              </w:rPr>
            </w:pPr>
            <w:r>
              <w:rPr>
                <w:rFonts w:ascii="宋体" w:hAnsi="宋体" w:cs="宋体" w:eastAsia="宋体" w:hint="default"/>
                <w:sz w:val="18"/>
                <w:szCs w:val="18"/>
              </w:rPr>
              <w:t>（有限合 伙） </w:t>
            </w:r>
            <w:r>
              <w:rPr>
                <w:rFonts w:ascii="Times New Roman" w:hAnsi="Times New Roman" w:cs="Times New Roman" w:eastAsia="Times New Roman" w:hint="default"/>
                <w:sz w:val="18"/>
                <w:szCs w:val="18"/>
              </w:rPr>
              <w:t>(</w:t>
            </w:r>
            <w:r>
              <w:rPr>
                <w:rFonts w:ascii="宋体" w:hAnsi="宋体" w:cs="宋体" w:eastAsia="宋体" w:hint="default"/>
                <w:sz w:val="18"/>
                <w:szCs w:val="18"/>
              </w:rPr>
              <w:t>注 </w:t>
            </w:r>
            <w:r>
              <w:rPr>
                <w:rFonts w:ascii="Times New Roman" w:hAnsi="Times New Roman" w:cs="Times New Roman" w:eastAsia="Times New Roman" w:hint="default"/>
                <w:sz w:val="18"/>
                <w:szCs w:val="18"/>
              </w:rPr>
              <w:t>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广州优蜜 信息科技 有限公司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北京龙渊 天启投资 管理中心</w:t>
            </w:r>
          </w:p>
          <w:p>
            <w:pPr>
              <w:pStyle w:val="TableParagraph"/>
              <w:spacing w:line="319" w:lineRule="auto" w:before="19"/>
              <w:ind w:left="22" w:right="108"/>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4,990,000.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335,824.98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4,654,175.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19.19%</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和力辰光 国际文化 传媒（北 京）有限 公司</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60,000,000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60,000,000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在线途游</w:t>
            </w:r>
          </w:p>
          <w:p>
            <w:pPr>
              <w:pStyle w:val="TableParagraph"/>
              <w:spacing w:line="319" w:lineRule="auto" w:before="75"/>
              <w:ind w:left="22" w:right="108"/>
              <w:jc w:val="both"/>
              <w:rPr>
                <w:rFonts w:ascii="宋体" w:hAnsi="宋体" w:cs="宋体" w:eastAsia="宋体" w:hint="default"/>
                <w:sz w:val="18"/>
                <w:szCs w:val="18"/>
              </w:rPr>
            </w:pPr>
            <w:r>
              <w:rPr>
                <w:rFonts w:ascii="宋体" w:hAnsi="宋体" w:cs="宋体" w:eastAsia="宋体" w:hint="default"/>
                <w:sz w:val="18"/>
                <w:szCs w:val="18"/>
              </w:rPr>
              <w:t>（北京） 科技有限 公司</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35,040,000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35,040,000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3.60%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灵趣（北 京）网络 科技有限 公司（注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2,250,000.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2,250,000.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宁波辰海 灵璧股权 投资合伙 企业（有 限合伙）</w:t>
            </w:r>
          </w:p>
          <w:p>
            <w:pPr>
              <w:pStyle w:val="TableParagraph"/>
              <w:spacing w:line="240" w:lineRule="auto" w:before="20"/>
              <w:ind w:left="22" w:right="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32.23%</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北京企额 宝资产管 理有限公 司</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2"/>
              <w:jc w:val="left"/>
              <w:rPr>
                <w:rFonts w:ascii="Times New Roman" w:hAnsi="Times New Roman" w:cs="Times New Roman" w:eastAsia="Times New Roman" w:hint="default"/>
                <w:sz w:val="18"/>
                <w:szCs w:val="18"/>
              </w:rPr>
            </w:pPr>
            <w:r>
              <w:rPr>
                <w:rFonts w:ascii="Times New Roman"/>
                <w:sz w:val="18"/>
              </w:rPr>
              <w:t>Source</w:t>
            </w:r>
            <w:r>
              <w:rPr>
                <w:rFonts w:ascii="Times New Roman"/>
                <w:w w:val="99"/>
                <w:sz w:val="18"/>
              </w:rPr>
              <w:t> </w:t>
            </w:r>
            <w:r>
              <w:rPr>
                <w:rFonts w:ascii="Times New Roman"/>
                <w:sz w:val="18"/>
              </w:rPr>
              <w:t>Code</w:t>
            </w:r>
            <w:r>
              <w:rPr>
                <w:rFonts w:ascii="Times New Roman"/>
                <w:spacing w:val="-1"/>
                <w:sz w:val="18"/>
              </w:rPr>
              <w:t> </w:t>
            </w:r>
            <w:r>
              <w:rPr>
                <w:rFonts w:ascii="Times New Roman"/>
                <w:sz w:val="18"/>
              </w:rPr>
              <w:t>Fund</w:t>
            </w:r>
            <w:r>
              <w:rPr>
                <w:rFonts w:ascii="Times New Roman"/>
                <w:w w:val="99"/>
                <w:sz w:val="18"/>
              </w:rPr>
              <w:t> </w:t>
            </w:r>
            <w:r>
              <w:rPr>
                <w:rFonts w:ascii="Times New Roman"/>
                <w:sz w:val="18"/>
              </w:rPr>
              <w:t>I</w:t>
            </w:r>
            <w:r>
              <w:rPr>
                <w:rFonts w:ascii="Times New Roman"/>
                <w:spacing w:val="2"/>
                <w:sz w:val="18"/>
              </w:rPr>
              <w:t> </w:t>
            </w:r>
            <w:r>
              <w:rPr>
                <w:rFonts w:ascii="Times New Roman"/>
                <w:spacing w:val="-6"/>
                <w:sz w:val="18"/>
              </w:rPr>
              <w:t>L.P.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11,064,240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14,918,327</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pacing w:val="-3"/>
                <w:sz w:val="18"/>
              </w:rPr>
              <w:t>.11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25,982,567</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pacing w:val="-3"/>
                <w:sz w:val="18"/>
              </w:rPr>
              <w:t>.11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4.17%</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98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1"/>
              <w:ind w:left="22" w:right="28"/>
              <w:jc w:val="both"/>
              <w:rPr>
                <w:rFonts w:ascii="Times New Roman" w:hAnsi="Times New Roman" w:cs="Times New Roman" w:eastAsia="Times New Roman" w:hint="default"/>
                <w:sz w:val="18"/>
                <w:szCs w:val="18"/>
              </w:rPr>
            </w:pPr>
            <w:r>
              <w:rPr>
                <w:rFonts w:ascii="Times New Roman"/>
                <w:sz w:val="18"/>
              </w:rPr>
              <w:t>DaesungCt</w:t>
            </w:r>
            <w:r>
              <w:rPr>
                <w:rFonts w:ascii="Times New Roman"/>
                <w:w w:val="99"/>
                <w:sz w:val="18"/>
              </w:rPr>
              <w:t> </w:t>
            </w:r>
            <w:r>
              <w:rPr>
                <w:rFonts w:ascii="Times New Roman"/>
                <w:sz w:val="18"/>
              </w:rPr>
              <w:t>Investment</w:t>
            </w:r>
            <w:r>
              <w:rPr>
                <w:rFonts w:ascii="Times New Roman"/>
                <w:sz w:val="18"/>
              </w:rPr>
              <w:t> Partnershi</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11,940,828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.87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392,081.73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12,332,910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10.30%</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67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10"/>
              <w:ind w:left="22"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p</w:t>
            </w:r>
            <w:r>
              <w:rPr>
                <w:rFonts w:ascii="宋体" w:hAnsi="宋体" w:cs="宋体" w:eastAsia="宋体" w:hint="default"/>
                <w:sz w:val="18"/>
                <w:szCs w:val="18"/>
              </w:rPr>
              <w:t>（大成基 金）</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58"/>
              <w:jc w:val="left"/>
              <w:rPr>
                <w:rFonts w:ascii="Times New Roman" w:hAnsi="Times New Roman" w:cs="Times New Roman" w:eastAsia="Times New Roman" w:hint="default"/>
                <w:sz w:val="18"/>
                <w:szCs w:val="18"/>
              </w:rPr>
            </w:pPr>
            <w:r>
              <w:rPr>
                <w:rFonts w:ascii="Times New Roman"/>
                <w:sz w:val="18"/>
              </w:rPr>
              <w:t>DadaNexu</w:t>
            </w:r>
            <w:r>
              <w:rPr>
                <w:rFonts w:ascii="Times New Roman"/>
                <w:w w:val="99"/>
                <w:sz w:val="18"/>
              </w:rPr>
              <w:t> </w:t>
            </w:r>
            <w:r>
              <w:rPr>
                <w:rFonts w:ascii="Times New Roman"/>
                <w:sz w:val="18"/>
              </w:rPr>
              <w:t>sLimited</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116,900,27</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1.53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116,900,27</w:t>
            </w:r>
          </w:p>
          <w:p>
            <w:pPr>
              <w:pStyle w:val="TableParagraph"/>
              <w:spacing w:line="240" w:lineRule="auto" w:before="105"/>
              <w:ind w:left="522" w:right="0"/>
              <w:jc w:val="left"/>
              <w:rPr>
                <w:rFonts w:ascii="Times New Roman" w:hAnsi="Times New Roman" w:cs="Times New Roman" w:eastAsia="Times New Roman" w:hint="default"/>
                <w:sz w:val="18"/>
                <w:szCs w:val="18"/>
              </w:rPr>
            </w:pPr>
            <w:r>
              <w:rPr>
                <w:rFonts w:ascii="Times New Roman"/>
                <w:sz w:val="18"/>
              </w:rPr>
              <w:t>1.53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2.74%</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8"/>
              <w:jc w:val="left"/>
              <w:rPr>
                <w:rFonts w:ascii="Times New Roman" w:hAnsi="Times New Roman" w:cs="Times New Roman" w:eastAsia="Times New Roman" w:hint="default"/>
                <w:sz w:val="18"/>
                <w:szCs w:val="18"/>
              </w:rPr>
            </w:pPr>
            <w:r>
              <w:rPr>
                <w:rFonts w:ascii="Times New Roman"/>
                <w:sz w:val="18"/>
              </w:rPr>
              <w:t>SourceCod</w:t>
            </w:r>
            <w:r>
              <w:rPr>
                <w:rFonts w:ascii="Times New Roman"/>
                <w:w w:val="99"/>
                <w:sz w:val="18"/>
              </w:rPr>
              <w:t> </w:t>
            </w:r>
            <w:r>
              <w:rPr>
                <w:rFonts w:ascii="Times New Roman"/>
                <w:sz w:val="18"/>
              </w:rPr>
              <w:t>eSsjLinka</w:t>
            </w:r>
            <w:r>
              <w:rPr>
                <w:rFonts w:ascii="Times New Roman"/>
                <w:w w:val="99"/>
                <w:sz w:val="18"/>
              </w:rPr>
              <w:t> </w:t>
            </w:r>
            <w:r>
              <w:rPr>
                <w:rFonts w:ascii="Times New Roman"/>
                <w:spacing w:val="-4"/>
                <w:sz w:val="18"/>
              </w:rPr>
              <w:t>geL.P.</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107,150,13</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7.62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107,150,13</w:t>
            </w:r>
          </w:p>
          <w:p>
            <w:pPr>
              <w:pStyle w:val="TableParagraph"/>
              <w:spacing w:line="240" w:lineRule="auto" w:before="105"/>
              <w:ind w:left="522" w:right="0"/>
              <w:jc w:val="left"/>
              <w:rPr>
                <w:rFonts w:ascii="Times New Roman" w:hAnsi="Times New Roman" w:cs="Times New Roman" w:eastAsia="Times New Roman" w:hint="default"/>
                <w:sz w:val="18"/>
                <w:szCs w:val="18"/>
              </w:rPr>
            </w:pPr>
            <w:r>
              <w:rPr>
                <w:rFonts w:ascii="Times New Roman"/>
                <w:sz w:val="18"/>
              </w:rPr>
              <w:t>7.62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89.19%</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1"/>
              <w:ind w:left="22" w:right="68"/>
              <w:jc w:val="left"/>
              <w:rPr>
                <w:rFonts w:ascii="Times New Roman" w:hAnsi="Times New Roman" w:cs="Times New Roman" w:eastAsia="Times New Roman" w:hint="default"/>
                <w:sz w:val="18"/>
                <w:szCs w:val="18"/>
              </w:rPr>
            </w:pPr>
            <w:r>
              <w:rPr>
                <w:rFonts w:ascii="Times New Roman"/>
                <w:sz w:val="18"/>
              </w:rPr>
              <w:t>BrvAsterF</w:t>
            </w:r>
            <w:r>
              <w:rPr>
                <w:rFonts w:ascii="Times New Roman"/>
                <w:w w:val="99"/>
                <w:sz w:val="18"/>
              </w:rPr>
              <w:t> </w:t>
            </w:r>
            <w:r>
              <w:rPr>
                <w:rFonts w:ascii="Times New Roman"/>
                <w:spacing w:val="-3"/>
                <w:sz w:val="18"/>
              </w:rPr>
              <w:t>undI,L.P.</w:t>
            </w:r>
          </w:p>
          <w:p>
            <w:pPr>
              <w:pStyle w:val="TableParagraph"/>
              <w:spacing w:line="216" w:lineRule="exact"/>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12,184,614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12,184,614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8"/>
              <w:jc w:val="both"/>
              <w:rPr>
                <w:rFonts w:ascii="Times New Roman" w:hAnsi="Times New Roman" w:cs="Times New Roman" w:eastAsia="Times New Roman" w:hint="default"/>
                <w:sz w:val="18"/>
                <w:szCs w:val="18"/>
              </w:rPr>
            </w:pPr>
            <w:r>
              <w:rPr>
                <w:rFonts w:ascii="Times New Roman"/>
                <w:sz w:val="18"/>
              </w:rPr>
              <w:t>SourceCod</w:t>
            </w:r>
            <w:r>
              <w:rPr>
                <w:rFonts w:ascii="Times New Roman"/>
                <w:w w:val="99"/>
                <w:sz w:val="18"/>
              </w:rPr>
              <w:t> </w:t>
            </w:r>
            <w:r>
              <w:rPr>
                <w:rFonts w:ascii="Times New Roman"/>
                <w:sz w:val="18"/>
              </w:rPr>
              <w:t>eQfqLinka</w:t>
            </w:r>
            <w:r>
              <w:rPr>
                <w:rFonts w:ascii="Times New Roman"/>
                <w:w w:val="99"/>
                <w:sz w:val="18"/>
              </w:rPr>
              <w:t> </w:t>
            </w:r>
            <w:r>
              <w:rPr>
                <w:rFonts w:ascii="Times New Roman"/>
                <w:spacing w:val="-4"/>
                <w:sz w:val="18"/>
              </w:rPr>
              <w:t>geL.P.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73,637,595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73,637,595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40"/>
              <w:jc w:val="left"/>
              <w:rPr>
                <w:rFonts w:ascii="Times New Roman" w:hAnsi="Times New Roman" w:cs="Times New Roman" w:eastAsia="Times New Roman" w:hint="default"/>
                <w:sz w:val="18"/>
                <w:szCs w:val="18"/>
              </w:rPr>
            </w:pPr>
            <w:r>
              <w:rPr>
                <w:rFonts w:ascii="Times New Roman"/>
                <w:sz w:val="18"/>
              </w:rPr>
              <w:t>Qufenqi</w:t>
            </w:r>
            <w:r>
              <w:rPr>
                <w:rFonts w:ascii="Times New Roman"/>
                <w:w w:val="99"/>
                <w:sz w:val="18"/>
              </w:rPr>
              <w:t> </w:t>
            </w:r>
            <w:r>
              <w:rPr>
                <w:rFonts w:ascii="Times New Roman"/>
                <w:sz w:val="18"/>
              </w:rPr>
              <w:t>inc.</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479,173,83</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3.63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479,173,83</w:t>
            </w:r>
          </w:p>
          <w:p>
            <w:pPr>
              <w:pStyle w:val="TableParagraph"/>
              <w:spacing w:line="240" w:lineRule="auto" w:before="105"/>
              <w:ind w:left="522" w:right="0"/>
              <w:jc w:val="left"/>
              <w:rPr>
                <w:rFonts w:ascii="Times New Roman" w:hAnsi="Times New Roman" w:cs="Times New Roman" w:eastAsia="Times New Roman" w:hint="default"/>
                <w:sz w:val="18"/>
                <w:szCs w:val="18"/>
              </w:rPr>
            </w:pPr>
            <w:r>
              <w:rPr>
                <w:rFonts w:ascii="Times New Roman"/>
                <w:sz w:val="18"/>
              </w:rPr>
              <w:t>3.63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19.45%</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08"/>
              <w:jc w:val="left"/>
              <w:rPr>
                <w:rFonts w:ascii="Times New Roman" w:hAnsi="Times New Roman" w:cs="Times New Roman" w:eastAsia="Times New Roman" w:hint="default"/>
                <w:sz w:val="18"/>
                <w:szCs w:val="18"/>
              </w:rPr>
            </w:pPr>
            <w:r>
              <w:rPr>
                <w:rFonts w:ascii="Times New Roman"/>
                <w:sz w:val="18"/>
              </w:rPr>
              <w:t>propel(x)i</w:t>
            </w:r>
            <w:r>
              <w:rPr>
                <w:rFonts w:ascii="Times New Roman"/>
                <w:w w:val="99"/>
                <w:sz w:val="18"/>
              </w:rPr>
              <w:t> </w:t>
            </w:r>
            <w:r>
              <w:rPr>
                <w:rFonts w:ascii="Times New Roman"/>
                <w:sz w:val="18"/>
              </w:rPr>
              <w:t>nc</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3,247,859.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3,247,859.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12"/>
              <w:jc w:val="left"/>
              <w:rPr>
                <w:rFonts w:ascii="Times New Roman" w:hAnsi="Times New Roman" w:cs="Times New Roman" w:eastAsia="Times New Roman" w:hint="default"/>
                <w:sz w:val="18"/>
                <w:szCs w:val="18"/>
              </w:rPr>
            </w:pPr>
            <w:r>
              <w:rPr>
                <w:rFonts w:ascii="Times New Roman"/>
                <w:sz w:val="18"/>
              </w:rPr>
              <w:t>Source</w:t>
            </w:r>
            <w:r>
              <w:rPr>
                <w:rFonts w:ascii="Times New Roman"/>
                <w:w w:val="99"/>
                <w:sz w:val="18"/>
              </w:rPr>
              <w:t> </w:t>
            </w:r>
            <w:r>
              <w:rPr>
                <w:rFonts w:ascii="Times New Roman"/>
                <w:sz w:val="18"/>
              </w:rPr>
              <w:t>code fund</w:t>
            </w:r>
            <w:r>
              <w:rPr>
                <w:rFonts w:ascii="Times New Roman"/>
                <w:w w:val="99"/>
                <w:sz w:val="18"/>
              </w:rPr>
              <w:t> </w:t>
            </w:r>
            <w:r>
              <w:rPr>
                <w:rFonts w:ascii="Times New Roman"/>
                <w:sz w:val="18"/>
              </w:rPr>
              <w:t>II</w:t>
            </w:r>
            <w:r>
              <w:rPr>
                <w:rFonts w:ascii="Times New Roman"/>
                <w:spacing w:val="-2"/>
                <w:sz w:val="18"/>
              </w:rPr>
              <w:t> </w:t>
            </w:r>
            <w:r>
              <w:rPr>
                <w:rFonts w:ascii="Times New Roman"/>
                <w:sz w:val="18"/>
              </w:rPr>
              <w:t>l.p.</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31,815,523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31,815,523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3.16%</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68"/>
              <w:jc w:val="left"/>
              <w:rPr>
                <w:rFonts w:ascii="Times New Roman" w:hAnsi="Times New Roman" w:cs="Times New Roman" w:eastAsia="Times New Roman" w:hint="default"/>
                <w:sz w:val="18"/>
                <w:szCs w:val="18"/>
              </w:rPr>
            </w:pPr>
            <w:r>
              <w:rPr>
                <w:rFonts w:ascii="Times New Roman"/>
                <w:sz w:val="18"/>
              </w:rPr>
              <w:t>Sourcecod</w:t>
            </w:r>
            <w:r>
              <w:rPr>
                <w:rFonts w:ascii="Times New Roman"/>
                <w:w w:val="99"/>
                <w:sz w:val="18"/>
              </w:rPr>
              <w:t> </w:t>
            </w:r>
            <w:r>
              <w:rPr>
                <w:rFonts w:ascii="Times New Roman"/>
                <w:sz w:val="18"/>
              </w:rPr>
              <w:t>e fund</w:t>
            </w:r>
            <w:r>
              <w:rPr>
                <w:rFonts w:ascii="Times New Roman"/>
                <w:spacing w:val="-1"/>
                <w:sz w:val="18"/>
              </w:rPr>
              <w:t> </w:t>
            </w:r>
            <w:r>
              <w:rPr>
                <w:rFonts w:ascii="Times New Roman"/>
                <w:sz w:val="18"/>
              </w:rPr>
              <w:t>I</w:t>
            </w:r>
            <w:r>
              <w:rPr>
                <w:rFonts w:ascii="Times New Roman"/>
                <w:w w:val="99"/>
                <w:sz w:val="18"/>
              </w:rPr>
              <w:t> </w:t>
            </w:r>
            <w:r>
              <w:rPr>
                <w:rFonts w:ascii="Times New Roman"/>
                <w:sz w:val="18"/>
              </w:rPr>
              <w:t>annex</w:t>
            </w:r>
            <w:r>
              <w:rPr>
                <w:rFonts w:ascii="Times New Roman"/>
                <w:spacing w:val="-4"/>
                <w:sz w:val="18"/>
              </w:rPr>
              <w:t> </w:t>
            </w:r>
            <w:r>
              <w:rPr>
                <w:rFonts w:ascii="Times New Roman"/>
                <w:sz w:val="18"/>
              </w:rPr>
              <w:t>l.p.</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18,777,057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.48</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18,777,057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.48</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8.45%</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株式会社</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knetp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42,947,709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4,354,274.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38,593,434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98"/>
              <w:jc w:val="left"/>
              <w:rPr>
                <w:rFonts w:ascii="Times New Roman" w:hAnsi="Times New Roman" w:cs="Times New Roman" w:eastAsia="Times New Roman" w:hint="default"/>
                <w:sz w:val="18"/>
                <w:szCs w:val="18"/>
              </w:rPr>
            </w:pPr>
            <w:r>
              <w:rPr>
                <w:rFonts w:ascii="Times New Roman"/>
                <w:sz w:val="18"/>
              </w:rPr>
              <w:t>movelooti nc</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47,267,687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47,267,687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16.31%</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YimiInc.</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97,430,379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97,430,379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Everalbum</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,inc</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9,092,634.</w:t>
            </w:r>
          </w:p>
          <w:p>
            <w:pPr>
              <w:pStyle w:val="TableParagraph"/>
              <w:spacing w:line="240" w:lineRule="auto" w:before="105"/>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9,092,634.</w:t>
            </w:r>
          </w:p>
          <w:p>
            <w:pPr>
              <w:pStyle w:val="TableParagraph"/>
              <w:spacing w:line="240" w:lineRule="auto" w:before="105"/>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2.53%</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160,580,37</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3.69</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1,131,170,</w:t>
            </w:r>
          </w:p>
          <w:p>
            <w:pPr>
              <w:pStyle w:val="TableParagraph"/>
              <w:spacing w:line="240" w:lineRule="auto" w:before="105"/>
              <w:ind w:left="341" w:right="0"/>
              <w:jc w:val="left"/>
              <w:rPr>
                <w:rFonts w:ascii="Times New Roman" w:hAnsi="Times New Roman" w:cs="Times New Roman" w:eastAsia="Times New Roman" w:hint="default"/>
                <w:sz w:val="18"/>
                <w:szCs w:val="18"/>
              </w:rPr>
            </w:pPr>
            <w:r>
              <w:rPr>
                <w:rFonts w:ascii="Times New Roman"/>
                <w:sz w:val="18"/>
              </w:rPr>
              <w:t>406.74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163,292,08</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9.26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1,128,458,</w:t>
            </w:r>
          </w:p>
          <w:p>
            <w:pPr>
              <w:pStyle w:val="TableParagraph"/>
              <w:spacing w:line="240" w:lineRule="auto" w:before="105"/>
              <w:ind w:left="342" w:right="0"/>
              <w:jc w:val="left"/>
              <w:rPr>
                <w:rFonts w:ascii="Times New Roman" w:hAnsi="Times New Roman" w:cs="Times New Roman" w:eastAsia="Times New Roman" w:hint="default"/>
                <w:sz w:val="18"/>
                <w:szCs w:val="18"/>
              </w:rPr>
            </w:pPr>
            <w:r>
              <w:rPr>
                <w:rFonts w:ascii="Times New Roman"/>
                <w:sz w:val="18"/>
              </w:rPr>
              <w:t>691.17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）报告期内可供出售金融资产减值的变动情况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3"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）可供出售权益工具期末公允价值严重下跌或非暂时性下跌但未计提减值准备的相关说明</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08" w:right="48" w:hanging="361"/>
              <w:jc w:val="left"/>
              <w:rPr>
                <w:rFonts w:ascii="宋体" w:hAnsi="宋体" w:cs="宋体" w:eastAsia="宋体" w:hint="default"/>
                <w:sz w:val="18"/>
                <w:szCs w:val="18"/>
              </w:rPr>
            </w:pPr>
            <w:r>
              <w:rPr>
                <w:rFonts w:ascii="宋体" w:hAnsi="宋体" w:cs="宋体" w:eastAsia="宋体" w:hint="default"/>
                <w:sz w:val="18"/>
                <w:szCs w:val="18"/>
              </w:rPr>
              <w:t>可供出售权益工 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7" w:right="47"/>
              <w:jc w:val="left"/>
              <w:rPr>
                <w:rFonts w:ascii="宋体" w:hAnsi="宋体" w:cs="宋体" w:eastAsia="宋体" w:hint="default"/>
                <w:sz w:val="18"/>
                <w:szCs w:val="18"/>
              </w:rPr>
            </w:pPr>
            <w:r>
              <w:rPr>
                <w:rFonts w:ascii="宋体" w:hAnsi="宋体" w:cs="宋体" w:eastAsia="宋体" w:hint="default"/>
                <w:sz w:val="18"/>
                <w:szCs w:val="18"/>
              </w:rPr>
              <w:t>公允价值相对于 成本的下跌幅度</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（个月）</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8" w:right="0"/>
              <w:jc w:val="left"/>
              <w:rPr>
                <w:rFonts w:ascii="宋体" w:hAnsi="宋体" w:cs="宋体" w:eastAsia="宋体" w:hint="default"/>
                <w:sz w:val="18"/>
                <w:szCs w:val="18"/>
              </w:rPr>
            </w:pPr>
            <w:r>
              <w:rPr>
                <w:rFonts w:ascii="宋体" w:hAnsi="宋体" w:cs="宋体" w:eastAsia="宋体" w:hint="default"/>
                <w:sz w:val="18"/>
                <w:szCs w:val="18"/>
              </w:rPr>
              <w:t>已计提减值金额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未计提减值原因</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3"/>
        <w:rPr>
          <w:rFonts w:ascii="宋体" w:hAnsi="宋体" w:cs="宋体" w:eastAsia="宋体" w:hint="default"/>
          <w:sz w:val="12"/>
          <w:szCs w:val="12"/>
        </w:rPr>
      </w:pPr>
    </w:p>
    <w:p>
      <w:pPr>
        <w:spacing w:line="273" w:lineRule="auto" w:before="0"/>
        <w:ind w:left="154" w:right="0" w:firstLine="420"/>
        <w:jc w:val="left"/>
        <w:rPr>
          <w:rFonts w:ascii="宋体" w:hAnsi="宋体" w:cs="宋体" w:eastAsia="宋体" w:hint="default"/>
          <w:sz w:val="21"/>
          <w:szCs w:val="21"/>
        </w:rPr>
      </w:pPr>
      <w:r>
        <w:rPr>
          <w:rFonts w:ascii="宋体" w:hAnsi="宋体" w:cs="宋体" w:eastAsia="宋体" w:hint="default"/>
          <w:spacing w:val="-1"/>
          <w:sz w:val="21"/>
          <w:szCs w:val="21"/>
        </w:rPr>
        <w:t>对于上述可供出售权益工具，因其在活跃市场中没有报价且其公允价值不能可靠计量且未对被投资公</w:t>
      </w:r>
      <w:r>
        <w:rPr>
          <w:rFonts w:ascii="宋体" w:hAnsi="宋体" w:cs="宋体" w:eastAsia="宋体" w:hint="default"/>
          <w:sz w:val="21"/>
          <w:szCs w:val="21"/>
        </w:rPr>
        <w:t> 司产生重大影响，本公司对其按成本计量。</w:t>
      </w:r>
    </w:p>
    <w:p>
      <w:pPr>
        <w:spacing w:line="256" w:lineRule="auto" w:before="127"/>
        <w:ind w:left="576" w:right="0" w:firstLine="0"/>
        <w:jc w:val="left"/>
        <w:rPr>
          <w:rFonts w:ascii="宋体" w:hAnsi="宋体" w:cs="宋体" w:eastAsia="宋体" w:hint="default"/>
          <w:sz w:val="21"/>
          <w:szCs w:val="21"/>
        </w:rPr>
      </w:pPr>
      <w:r>
        <w:rPr>
          <w:rFonts w:ascii="宋体" w:hAnsi="宋体" w:cs="宋体" w:eastAsia="宋体" w:hint="default"/>
          <w:spacing w:val="-1"/>
          <w:sz w:val="21"/>
          <w:szCs w:val="21"/>
        </w:rPr>
        <w:t>注</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：公司对珠海富海铧创信息技术创业投资基金（有限合伙）认缴出资额为</w:t>
      </w:r>
      <w:r>
        <w:rPr>
          <w:rFonts w:ascii="Times New Roman" w:hAnsi="Times New Roman" w:cs="Times New Roman" w:eastAsia="Times New Roman" w:hint="default"/>
          <w:spacing w:val="-1"/>
          <w:sz w:val="21"/>
          <w:szCs w:val="21"/>
        </w:rPr>
        <w:t>2,000.00</w:t>
      </w:r>
      <w:r>
        <w:rPr>
          <w:rFonts w:ascii="宋体" w:hAnsi="宋体" w:cs="宋体" w:eastAsia="宋体" w:hint="default"/>
          <w:spacing w:val="-1"/>
          <w:sz w:val="21"/>
          <w:szCs w:val="21"/>
        </w:rPr>
        <w:t>万元，截止</w:t>
      </w:r>
      <w:r>
        <w:rPr>
          <w:rFonts w:ascii="Times New Roman" w:hAnsi="Times New Roman" w:cs="Times New Roman" w:eastAsia="Times New Roman" w:hint="default"/>
          <w:spacing w:val="-1"/>
          <w:sz w:val="21"/>
          <w:szCs w:val="21"/>
        </w:rPr>
        <w:t>2015</w:t>
      </w:r>
      <w:r>
        <w:rPr>
          <w:rFonts w:ascii="Times New Roman" w:hAnsi="Times New Roman" w:cs="Times New Roman" w:eastAsia="Times New Roman" w:hint="default"/>
          <w:spacing w:val="-34"/>
          <w:sz w:val="21"/>
          <w:szCs w:val="21"/>
        </w:rPr>
        <w:t> </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日，公司实际出资额为</w:t>
      </w:r>
      <w:r>
        <w:rPr>
          <w:rFonts w:ascii="Times New Roman" w:hAnsi="Times New Roman" w:cs="Times New Roman" w:eastAsia="Times New Roman" w:hint="default"/>
          <w:sz w:val="21"/>
          <w:szCs w:val="21"/>
        </w:rPr>
        <w:t>1,000.00</w:t>
      </w:r>
      <w:r>
        <w:rPr>
          <w:rFonts w:ascii="宋体" w:hAnsi="宋体" w:cs="宋体" w:eastAsia="宋体" w:hint="default"/>
          <w:sz w:val="21"/>
          <w:szCs w:val="21"/>
        </w:rPr>
        <w:t>万元，剩余出资额为</w:t>
      </w:r>
      <w:r>
        <w:rPr>
          <w:rFonts w:ascii="Times New Roman" w:hAnsi="Times New Roman" w:cs="Times New Roman" w:eastAsia="Times New Roman" w:hint="default"/>
          <w:sz w:val="21"/>
          <w:szCs w:val="21"/>
        </w:rPr>
        <w:t>1,000.00</w:t>
      </w:r>
      <w:r>
        <w:rPr>
          <w:rFonts w:ascii="宋体" w:hAnsi="宋体" w:cs="宋体" w:eastAsia="宋体" w:hint="default"/>
          <w:sz w:val="21"/>
          <w:szCs w:val="21"/>
        </w:rPr>
        <w:t>万元。</w:t>
      </w:r>
    </w:p>
    <w:p>
      <w:pPr>
        <w:spacing w:line="256" w:lineRule="auto" w:before="125"/>
        <w:ind w:left="576" w:right="0" w:firstLine="0"/>
        <w:jc w:val="left"/>
        <w:rPr>
          <w:rFonts w:ascii="宋体" w:hAnsi="宋体" w:cs="宋体" w:eastAsia="宋体" w:hint="default"/>
          <w:sz w:val="21"/>
          <w:szCs w:val="21"/>
        </w:rPr>
      </w:pPr>
      <w:r>
        <w:rPr>
          <w:rFonts w:ascii="宋体" w:hAnsi="宋体" w:cs="宋体" w:eastAsia="宋体" w:hint="default"/>
          <w:spacing w:val="-2"/>
          <w:sz w:val="21"/>
          <w:szCs w:val="21"/>
        </w:rPr>
        <w:t>注</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：公司对灵趣（北京）网络科技有限公司认缴出资额为</w:t>
      </w:r>
      <w:r>
        <w:rPr>
          <w:rFonts w:ascii="Times New Roman" w:hAnsi="Times New Roman" w:cs="Times New Roman" w:eastAsia="Times New Roman" w:hint="default"/>
          <w:spacing w:val="-2"/>
          <w:sz w:val="21"/>
          <w:szCs w:val="21"/>
        </w:rPr>
        <w:t>450.00</w:t>
      </w:r>
      <w:r>
        <w:rPr>
          <w:rFonts w:ascii="宋体" w:hAnsi="宋体" w:cs="宋体" w:eastAsia="宋体" w:hint="default"/>
          <w:spacing w:val="-2"/>
          <w:sz w:val="21"/>
          <w:szCs w:val="21"/>
        </w:rPr>
        <w:t>万元，截止</w:t>
      </w:r>
      <w:r>
        <w:rPr>
          <w:rFonts w:ascii="Times New Roman" w:hAnsi="Times New Roman" w:cs="Times New Roman" w:eastAsia="Times New Roman" w:hint="default"/>
          <w:spacing w:val="-2"/>
          <w:sz w:val="21"/>
          <w:szCs w:val="21"/>
        </w:rPr>
        <w:t>2015</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日，公司实</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际出资额为</w:t>
      </w:r>
      <w:r>
        <w:rPr>
          <w:rFonts w:ascii="Times New Roman" w:hAnsi="Times New Roman" w:cs="Times New Roman" w:eastAsia="Times New Roman" w:hint="default"/>
          <w:sz w:val="21"/>
          <w:szCs w:val="21"/>
        </w:rPr>
        <w:t>225.00</w:t>
      </w:r>
      <w:r>
        <w:rPr>
          <w:rFonts w:ascii="宋体" w:hAnsi="宋体" w:cs="宋体" w:eastAsia="宋体" w:hint="default"/>
          <w:sz w:val="21"/>
          <w:szCs w:val="21"/>
        </w:rPr>
        <w:t>万元，剩余出资额为</w:t>
      </w:r>
      <w:r>
        <w:rPr>
          <w:rFonts w:ascii="Times New Roman" w:hAnsi="Times New Roman" w:cs="Times New Roman" w:eastAsia="Times New Roman" w:hint="default"/>
          <w:sz w:val="21"/>
          <w:szCs w:val="21"/>
        </w:rPr>
        <w:t>225.00</w:t>
      </w:r>
      <w:r>
        <w:rPr>
          <w:rFonts w:ascii="宋体" w:hAnsi="宋体" w:cs="宋体" w:eastAsia="宋体" w:hint="default"/>
          <w:sz w:val="21"/>
          <w:szCs w:val="21"/>
        </w:rPr>
        <w:t>万元。</w:t>
      </w:r>
    </w:p>
    <w:p>
      <w:pPr>
        <w:spacing w:line="264" w:lineRule="auto" w:before="125"/>
        <w:ind w:left="490" w:right="149" w:firstLine="86"/>
        <w:jc w:val="left"/>
        <w:rPr>
          <w:rFonts w:ascii="宋体" w:hAnsi="宋体" w:cs="宋体" w:eastAsia="宋体" w:hint="default"/>
          <w:sz w:val="21"/>
          <w:szCs w:val="21"/>
        </w:rPr>
      </w:pPr>
      <w:r>
        <w:rPr>
          <w:rFonts w:ascii="宋体" w:hAnsi="宋体" w:cs="宋体" w:eastAsia="宋体" w:hint="default"/>
          <w:spacing w:val="-1"/>
          <w:sz w:val="21"/>
          <w:szCs w:val="21"/>
        </w:rPr>
        <w:t>注</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：公司对宁波辰海灵璧股权投资合伙企业（有限合伙）认缴出资额为</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亿元人民币，截止</w:t>
      </w:r>
      <w:r>
        <w:rPr>
          <w:rFonts w:ascii="Times New Roman" w:hAnsi="Times New Roman" w:cs="Times New Roman" w:eastAsia="Times New Roman" w:hint="default"/>
          <w:spacing w:val="-1"/>
          <w:sz w:val="21"/>
          <w:szCs w:val="21"/>
        </w:rPr>
        <w:t>2015</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Times New Roman" w:hAnsi="Times New Roman" w:cs="Times New Roman" w:eastAsia="Times New Roman" w:hint="default"/>
          <w:sz w:val="21"/>
          <w:szCs w:val="21"/>
        </w:rPr>
        <w:t> </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日，公司实际出资</w:t>
      </w:r>
      <w:r>
        <w:rPr>
          <w:rFonts w:ascii="Times New Roman" w:hAnsi="Times New Roman" w:cs="Times New Roman" w:eastAsia="Times New Roman" w:hint="default"/>
          <w:sz w:val="21"/>
          <w:szCs w:val="21"/>
        </w:rPr>
        <w:t>3,500.00</w:t>
      </w:r>
      <w:r>
        <w:rPr>
          <w:rFonts w:ascii="宋体" w:hAnsi="宋体" w:cs="宋体" w:eastAsia="宋体" w:hint="default"/>
          <w:sz w:val="21"/>
          <w:szCs w:val="21"/>
        </w:rPr>
        <w:t>万元，剩余出资额为</w:t>
      </w:r>
      <w:r>
        <w:rPr>
          <w:rFonts w:ascii="Times New Roman" w:hAnsi="Times New Roman" w:cs="Times New Roman" w:eastAsia="Times New Roman" w:hint="default"/>
          <w:sz w:val="21"/>
          <w:szCs w:val="21"/>
        </w:rPr>
        <w:t>6,500.00</w:t>
      </w:r>
      <w:r>
        <w:rPr>
          <w:rFonts w:ascii="宋体" w:hAnsi="宋体" w:cs="宋体" w:eastAsia="宋体" w:hint="default"/>
          <w:sz w:val="21"/>
          <w:szCs w:val="21"/>
        </w:rPr>
        <w:t>万元，并且有限合伙权益的认购是不可撤 销的。另外合同规定，在合伙企业的存续期间内，未经普通合伙人的事先书面同意，有限合伙人，不 得转让在本合伙企业中全部或部分权益或将其财产份额出质。 注</w:t>
      </w:r>
      <w:r>
        <w:rPr>
          <w:rFonts w:ascii="Times New Roman" w:hAnsi="Times New Roman" w:cs="Times New Roman" w:eastAsia="Times New Roman" w:hint="default"/>
          <w:sz w:val="21"/>
          <w:szCs w:val="21"/>
        </w:rPr>
        <w:t>4</w:t>
      </w:r>
      <w:r>
        <w:rPr>
          <w:rFonts w:ascii="宋体" w:hAnsi="宋体" w:cs="宋体" w:eastAsia="宋体" w:hint="default"/>
          <w:sz w:val="21"/>
          <w:szCs w:val="21"/>
        </w:rPr>
        <w:t>：公司对</w:t>
      </w:r>
      <w:r>
        <w:rPr>
          <w:rFonts w:ascii="Times New Roman" w:hAnsi="Times New Roman" w:cs="Times New Roman" w:eastAsia="Times New Roman" w:hint="default"/>
          <w:sz w:val="21"/>
          <w:szCs w:val="21"/>
        </w:rPr>
        <w:t>BrvAsterFundI,L.P.</w:t>
      </w:r>
      <w:r>
        <w:rPr>
          <w:rFonts w:ascii="宋体" w:hAnsi="宋体" w:cs="宋体" w:eastAsia="宋体" w:hint="default"/>
          <w:sz w:val="21"/>
          <w:szCs w:val="21"/>
        </w:rPr>
        <w:t>的认缴投资额为</w:t>
      </w:r>
      <w:r>
        <w:rPr>
          <w:rFonts w:ascii="Times New Roman" w:hAnsi="Times New Roman" w:cs="Times New Roman" w:eastAsia="Times New Roman" w:hint="default"/>
          <w:sz w:val="21"/>
          <w:szCs w:val="21"/>
        </w:rPr>
        <w:t>500.00</w:t>
      </w:r>
      <w:r>
        <w:rPr>
          <w:rFonts w:ascii="宋体" w:hAnsi="宋体" w:cs="宋体" w:eastAsia="宋体" w:hint="default"/>
          <w:sz w:val="21"/>
          <w:szCs w:val="21"/>
        </w:rPr>
        <w:t>万美元，截止</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日，公司实际出资额</w:t>
      </w:r>
    </w:p>
    <w:p>
      <w:pPr>
        <w:spacing w:line="289" w:lineRule="exact"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为</w:t>
      </w:r>
      <w:r>
        <w:rPr>
          <w:rFonts w:ascii="Times New Roman" w:hAnsi="Times New Roman" w:cs="Times New Roman" w:eastAsia="Times New Roman" w:hint="default"/>
          <w:sz w:val="21"/>
          <w:szCs w:val="21"/>
        </w:rPr>
        <w:t>187.50</w:t>
      </w:r>
      <w:r>
        <w:rPr>
          <w:rFonts w:ascii="宋体" w:hAnsi="宋体" w:cs="宋体" w:eastAsia="宋体" w:hint="default"/>
          <w:sz w:val="21"/>
          <w:szCs w:val="21"/>
        </w:rPr>
        <w:t>万美元，剩余出资额为</w:t>
      </w:r>
      <w:r>
        <w:rPr>
          <w:rFonts w:ascii="Times New Roman" w:hAnsi="Times New Roman" w:cs="Times New Roman" w:eastAsia="Times New Roman" w:hint="default"/>
          <w:sz w:val="21"/>
          <w:szCs w:val="21"/>
        </w:rPr>
        <w:t>312.50</w:t>
      </w:r>
      <w:r>
        <w:rPr>
          <w:rFonts w:ascii="宋体" w:hAnsi="宋体" w:cs="宋体" w:eastAsia="宋体" w:hint="default"/>
          <w:sz w:val="21"/>
          <w:szCs w:val="21"/>
        </w:rPr>
        <w:t>万美元（折合人民币</w:t>
      </w:r>
      <w:r>
        <w:rPr>
          <w:rFonts w:ascii="Times New Roman" w:hAnsi="Times New Roman" w:cs="Times New Roman" w:eastAsia="Times New Roman" w:hint="default"/>
          <w:sz w:val="21"/>
          <w:szCs w:val="21"/>
        </w:rPr>
        <w:t>2,029.25</w:t>
      </w:r>
      <w:r>
        <w:rPr>
          <w:rFonts w:ascii="宋体" w:hAnsi="宋体" w:cs="宋体" w:eastAsia="宋体" w:hint="default"/>
          <w:sz w:val="21"/>
          <w:szCs w:val="21"/>
        </w:rPr>
        <w:t>万元）。</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15</w:t>
      </w:r>
      <w:r>
        <w:rPr>
          <w:rFonts w:ascii="Microsoft JhengHei" w:hAnsi="Microsoft JhengHei" w:cs="Microsoft JhengHei" w:eastAsia="Microsoft JhengHei" w:hint="default"/>
          <w:b/>
          <w:bCs/>
          <w:sz w:val="21"/>
          <w:szCs w:val="21"/>
        </w:rPr>
        <w:t>、持有至到期投资</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）持有至到期投资情况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）期末重要的持有至到期投资</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0" w:right="0"/>
              <w:jc w:val="left"/>
              <w:rPr>
                <w:rFonts w:ascii="宋体" w:hAnsi="宋体" w:cs="宋体" w:eastAsia="宋体" w:hint="default"/>
                <w:sz w:val="18"/>
                <w:szCs w:val="18"/>
              </w:rPr>
            </w:pPr>
            <w:r>
              <w:rPr>
                <w:rFonts w:ascii="宋体" w:hAnsi="宋体" w:cs="宋体" w:eastAsia="宋体" w:hint="default"/>
                <w:sz w:val="18"/>
                <w:szCs w:val="18"/>
              </w:rPr>
              <w:t>债券项目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）本期重分类的持有至到期投资</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r>
        <w:rPr/>
        <w:pict>
          <v:shape style="position:absolute;margin-left:72.597pt;margin-top:510.279968pt;width:63.55pt;height:50.8pt;mso-position-horizontal-relative:page;mso-position-vertical-relative:page;z-index:-96544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w:pict>
      </w: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16</w:t>
      </w:r>
      <w:r>
        <w:rPr>
          <w:rFonts w:ascii="Microsoft JhengHei" w:hAnsi="Microsoft JhengHei" w:cs="Microsoft JhengHei" w:eastAsia="Microsoft JhengHei" w:hint="default"/>
          <w:b/>
          <w:bCs/>
          <w:sz w:val="21"/>
          <w:szCs w:val="21"/>
        </w:rPr>
        <w:t>、长期应收款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）长期应收款情况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03"/>
        <w:gridCol w:w="1168"/>
        <w:gridCol w:w="1167"/>
        <w:gridCol w:w="1168"/>
        <w:gridCol w:w="1166"/>
        <w:gridCol w:w="1169"/>
        <w:gridCol w:w="1164"/>
        <w:gridCol w:w="1165"/>
      </w:tblGrid>
      <w:tr>
        <w:trPr>
          <w:trHeight w:val="402" w:hRule="exact"/>
        </w:trPr>
        <w:tc>
          <w:tcPr>
            <w:tcW w:w="14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2D2D2"/>
          </w:tcPr>
          <w:p>
            <w:pP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）因金融资产转移而终止确认的长期应收款</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）转移长期应收款且继续涉入形成的资产、负债金额</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17</w:t>
      </w:r>
      <w:r>
        <w:rPr>
          <w:rFonts w:ascii="Microsoft JhengHei" w:hAnsi="Microsoft JhengHei" w:cs="Microsoft JhengHei" w:eastAsia="Microsoft JhengHei" w:hint="default"/>
          <w:b/>
          <w:bCs/>
          <w:sz w:val="21"/>
          <w:szCs w:val="21"/>
        </w:rPr>
        <w:t>、长期股权投资</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02" w:right="33"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1"/>
              <w:jc w:val="righ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1"/>
              <w:jc w:val="both"/>
              <w:rPr>
                <w:rFonts w:ascii="宋体" w:hAnsi="宋体" w:cs="宋体" w:eastAsia="宋体" w:hint="default"/>
                <w:sz w:val="18"/>
                <w:szCs w:val="18"/>
              </w:rPr>
            </w:pPr>
            <w:r>
              <w:rPr>
                <w:rFonts w:ascii="宋体" w:hAnsi="宋体" w:cs="宋体" w:eastAsia="宋体" w:hint="default"/>
                <w:sz w:val="18"/>
                <w:szCs w:val="18"/>
              </w:rPr>
              <w:t>北京信达 天下科技 有限公司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15,000,00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-2,161,00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4.57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12,838,99</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5.43</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1"/>
              <w:jc w:val="both"/>
              <w:rPr>
                <w:rFonts w:ascii="宋体" w:hAnsi="宋体" w:cs="宋体" w:eastAsia="宋体" w:hint="default"/>
                <w:sz w:val="18"/>
                <w:szCs w:val="18"/>
              </w:rPr>
            </w:pPr>
            <w:r>
              <w:rPr>
                <w:rFonts w:ascii="宋体" w:hAnsi="宋体" w:cs="宋体" w:eastAsia="宋体" w:hint="default"/>
                <w:sz w:val="18"/>
                <w:szCs w:val="18"/>
              </w:rPr>
              <w:t>深圳玩贝 科技有限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1015" w:lineRule="exact"/>
              <w:ind w:left="1" w:right="-49"/>
              <w:jc w:val="left"/>
              <w:rPr>
                <w:rFonts w:ascii="宋体" w:hAnsi="宋体" w:cs="宋体" w:eastAsia="宋体" w:hint="default"/>
                <w:sz w:val="20"/>
                <w:szCs w:val="20"/>
              </w:rPr>
            </w:pPr>
            <w:r>
              <w:rPr>
                <w:rFonts w:ascii="宋体" w:hAnsi="宋体" w:cs="宋体" w:eastAsia="宋体" w:hint="default"/>
                <w:position w:val="-19"/>
                <w:sz w:val="20"/>
                <w:szCs w:val="20"/>
              </w:rPr>
              <w:pict>
                <v:group style="width:39.3pt;height:50.8pt;mso-position-horizontal-relative:char;mso-position-vertical-relative:line" coordorigin="0,0" coordsize="786,1016">
                  <v:group style="position:absolute;left:0;top:0;width:786;height:1016" coordorigin="0,0" coordsize="786,1016">
                    <v:shape style="position:absolute;left:0;top:0;width:786;height:1016" coordorigin="0,0" coordsize="786,1016" path="m0,1015l786,1015,786,0,0,0,0,1015xe" filled="true" fillcolor="#ffffff" stroked="false">
                      <v:path arrowok="t"/>
                      <v:fill type="solid"/>
                    </v:shape>
                  </v:group>
                  <v:group style="position:absolute;left:23;top:312;width:741;height:392" coordorigin="23,312" coordsize="741,392">
                    <v:shape style="position:absolute;left:23;top:312;width:741;height:392" coordorigin="23,312" coordsize="741,392" path="m23,703l763,703,763,312,23,312,23,703xe" filled="true" fillcolor="#ffffff" stroked="false">
                      <v:path arrowok="t"/>
                      <v:fill type="solid"/>
                    </v:shape>
                  </v:group>
                </v:group>
              </w:pict>
            </w:r>
            <w:r>
              <w:rPr>
                <w:rFonts w:ascii="宋体" w:hAnsi="宋体" w:cs="宋体" w:eastAsia="宋体" w:hint="default"/>
                <w:position w:val="-19"/>
                <w:sz w:val="20"/>
                <w:szCs w:val="20"/>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-129,421.</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1,370,578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.54</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艾普拉斯</w:t>
            </w:r>
          </w:p>
        </w:tc>
        <w:tc>
          <w:tcPr>
            <w:tcW w:w="798"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投资顾问</w:t>
            </w:r>
          </w:p>
        </w:tc>
        <w:tc>
          <w:tcPr>
            <w:tcW w:w="798"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75,000,00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w w:val="95"/>
                <w:sz w:val="18"/>
              </w:rPr>
              <w:t>-88,653.3</w:t>
            </w:r>
            <w:r>
              <w:rPr>
                <w:rFonts w:ascii="Times New Roman"/>
                <w:sz w:val="18"/>
              </w:rPr>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74,911,34</w:t>
            </w:r>
          </w:p>
        </w:tc>
        <w:tc>
          <w:tcPr>
            <w:tcW w:w="798" w:type="dxa"/>
            <w:vMerge/>
            <w:tcBorders>
              <w:left w:val="single" w:sz="4" w:space="0" w:color="000000"/>
              <w:right w:val="single" w:sz="4" w:space="0" w:color="000000"/>
            </w:tcBorders>
          </w:tcPr>
          <w:p>
            <w:pPr/>
          </w:p>
        </w:tc>
      </w:tr>
      <w:tr>
        <w:trPr>
          <w:trHeight w:val="313"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798"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9"/>
              <w:jc w:val="right"/>
              <w:rPr>
                <w:rFonts w:ascii="Times New Roman" w:hAnsi="Times New Roman" w:cs="Times New Roman" w:eastAsia="Times New Roman" w:hint="default"/>
                <w:sz w:val="18"/>
                <w:szCs w:val="18"/>
              </w:rPr>
            </w:pPr>
            <w:r>
              <w:rPr>
                <w:rFonts w:ascii="Times New Roman"/>
                <w:sz w:val="18"/>
              </w:rPr>
              <w:t>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3"/>
              <w:jc w:val="right"/>
              <w:rPr>
                <w:rFonts w:ascii="Times New Roman" w:hAnsi="Times New Roman" w:cs="Times New Roman" w:eastAsia="Times New Roman" w:hint="default"/>
                <w:sz w:val="18"/>
                <w:szCs w:val="18"/>
              </w:rPr>
            </w:pPr>
            <w:r>
              <w:rPr>
                <w:rFonts w:ascii="Times New Roman"/>
                <w:sz w:val="18"/>
              </w:rPr>
              <w:t>7</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z w:val="18"/>
              </w:rPr>
              <w:t>6.63</w:t>
            </w:r>
          </w:p>
        </w:tc>
        <w:tc>
          <w:tcPr>
            <w:tcW w:w="798" w:type="dxa"/>
            <w:vMerge/>
            <w:tcBorders>
              <w:left w:val="single" w:sz="4" w:space="0" w:color="000000"/>
              <w:right w:val="single" w:sz="4" w:space="0" w:color="000000"/>
            </w:tcBorders>
          </w:tcPr>
          <w:p>
            <w:pPr/>
          </w:p>
        </w:tc>
      </w:tr>
      <w:tr>
        <w:trPr>
          <w:trHeight w:val="351"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798"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YinkerInc</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129,891,3</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46.39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129,891,3</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46.39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36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MitouHo</w:t>
            </w:r>
          </w:p>
        </w:tc>
        <w:tc>
          <w:tcPr>
            <w:tcW w:w="798"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0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2" w:right="0"/>
              <w:jc w:val="left"/>
              <w:rPr>
                <w:rFonts w:ascii="Times New Roman" w:hAnsi="Times New Roman" w:cs="Times New Roman" w:eastAsia="Times New Roman" w:hint="default"/>
                <w:sz w:val="18"/>
                <w:szCs w:val="18"/>
              </w:rPr>
            </w:pPr>
            <w:r>
              <w:rPr>
                <w:rFonts w:ascii="Times New Roman"/>
                <w:sz w:val="18"/>
              </w:rPr>
              <w:t>ngkongLi</w:t>
            </w:r>
          </w:p>
        </w:tc>
        <w:tc>
          <w:tcPr>
            <w:tcW w:w="798"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13"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mited(</w:t>
            </w:r>
            <w:r>
              <w:rPr>
                <w:rFonts w:ascii="宋体" w:hAnsi="宋体" w:cs="宋体" w:eastAsia="宋体" w:hint="default"/>
                <w:sz w:val="18"/>
                <w:szCs w:val="18"/>
              </w:rPr>
              <w:t>米</w:t>
            </w:r>
          </w:p>
        </w:tc>
        <w:tc>
          <w:tcPr>
            <w:tcW w:w="798"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0"/>
              <w:jc w:val="right"/>
              <w:rPr>
                <w:rFonts w:ascii="Times New Roman" w:hAnsi="Times New Roman" w:cs="Times New Roman" w:eastAsia="Times New Roman" w:hint="default"/>
                <w:sz w:val="18"/>
                <w:szCs w:val="18"/>
              </w:rPr>
            </w:pPr>
            <w:r>
              <w:rPr>
                <w:rFonts w:ascii="Times New Roman"/>
                <w:sz w:val="18"/>
              </w:rPr>
              <w:t>93,788,31</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21"/>
              <w:jc w:val="right"/>
              <w:rPr>
                <w:rFonts w:ascii="Times New Roman" w:hAnsi="Times New Roman" w:cs="Times New Roman" w:eastAsia="Times New Roman" w:hint="default"/>
                <w:sz w:val="18"/>
                <w:szCs w:val="18"/>
              </w:rPr>
            </w:pPr>
            <w:r>
              <w:rPr>
                <w:rFonts w:ascii="Times New Roman"/>
                <w:sz w:val="18"/>
              </w:rPr>
              <w:t>93,788,31</w:t>
            </w:r>
          </w:p>
        </w:tc>
        <w:tc>
          <w:tcPr>
            <w:tcW w:w="798" w:type="dxa"/>
            <w:vMerge/>
            <w:tcBorders>
              <w:left w:val="single" w:sz="4" w:space="0" w:color="000000"/>
              <w:right w:val="single" w:sz="4" w:space="0" w:color="000000"/>
            </w:tcBorders>
          </w:tcPr>
          <w:p>
            <w:pPr/>
          </w:p>
        </w:tc>
      </w:tr>
      <w:tr>
        <w:trPr>
          <w:trHeight w:val="313"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投科技</w:t>
            </w:r>
          </w:p>
        </w:tc>
        <w:tc>
          <w:tcPr>
            <w:tcW w:w="798"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z w:val="18"/>
              </w:rPr>
              <w:t>4.50</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z w:val="18"/>
              </w:rPr>
              <w:t>4.50</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798"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有限公</w:t>
            </w:r>
          </w:p>
        </w:tc>
        <w:tc>
          <w:tcPr>
            <w:tcW w:w="798"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40"/>
              <w:jc w:val="both"/>
              <w:rPr>
                <w:rFonts w:ascii="Times New Roman" w:hAnsi="Times New Roman" w:cs="Times New Roman" w:eastAsia="Times New Roman" w:hint="default"/>
                <w:sz w:val="18"/>
                <w:szCs w:val="18"/>
              </w:rPr>
            </w:pPr>
            <w:r>
              <w:rPr>
                <w:rFonts w:ascii="Times New Roman"/>
                <w:sz w:val="18"/>
              </w:rPr>
              <w:t>FreeChar</w:t>
            </w:r>
            <w:r>
              <w:rPr>
                <w:rFonts w:ascii="Times New Roman"/>
                <w:w w:val="99"/>
                <w:sz w:val="18"/>
              </w:rPr>
              <w:t> </w:t>
            </w:r>
            <w:r>
              <w:rPr>
                <w:rFonts w:ascii="Times New Roman"/>
                <w:sz w:val="18"/>
              </w:rPr>
              <w:t>mInvestm</w:t>
            </w:r>
            <w:r>
              <w:rPr>
                <w:rFonts w:ascii="Times New Roman"/>
                <w:w w:val="99"/>
                <w:sz w:val="18"/>
              </w:rPr>
              <w:t> </w:t>
            </w:r>
            <w:r>
              <w:rPr>
                <w:rFonts w:ascii="Times New Roman"/>
                <w:sz w:val="18"/>
              </w:rPr>
              <w:t>entHoldin</w:t>
            </w:r>
            <w:r>
              <w:rPr>
                <w:rFonts w:ascii="Times New Roman"/>
                <w:w w:val="99"/>
                <w:sz w:val="18"/>
              </w:rPr>
              <w:t> </w:t>
            </w:r>
            <w:r>
              <w:rPr>
                <w:rFonts w:ascii="Times New Roman"/>
                <w:sz w:val="18"/>
              </w:rPr>
              <w:t>gCo.,Inc</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72,141,17</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7.35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-2,399,95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5.54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69,741,22</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1.81</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71"/>
              <w:jc w:val="left"/>
              <w:rPr>
                <w:rFonts w:ascii="Times New Roman" w:hAnsi="Times New Roman" w:cs="Times New Roman" w:eastAsia="Times New Roman" w:hint="default"/>
                <w:sz w:val="18"/>
                <w:szCs w:val="18"/>
              </w:rPr>
            </w:pPr>
            <w:r>
              <w:rPr>
                <w:rFonts w:ascii="Times New Roman"/>
                <w:sz w:val="18"/>
              </w:rPr>
              <w:t>Lendinve stLimited</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left"/>
              <w:rPr>
                <w:rFonts w:ascii="Times New Roman" w:hAnsi="Times New Roman" w:cs="Times New Roman" w:eastAsia="Times New Roman" w:hint="default"/>
                <w:sz w:val="18"/>
                <w:szCs w:val="18"/>
              </w:rPr>
            </w:pPr>
            <w:r>
              <w:rPr>
                <w:rFonts w:ascii="Times New Roman"/>
                <w:sz w:val="18"/>
              </w:rPr>
              <w:t>194,963,1</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10.73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4,050,067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199,013,1</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77.80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71"/>
              <w:jc w:val="left"/>
              <w:rPr>
                <w:rFonts w:ascii="Times New Roman" w:hAnsi="Times New Roman" w:cs="Times New Roman" w:eastAsia="Times New Roman" w:hint="default"/>
                <w:sz w:val="18"/>
                <w:szCs w:val="18"/>
              </w:rPr>
            </w:pPr>
            <w:r>
              <w:rPr>
                <w:rFonts w:ascii="Times New Roman"/>
                <w:sz w:val="18"/>
              </w:rPr>
              <w:t>Qufenqi</w:t>
            </w:r>
            <w:r>
              <w:rPr>
                <w:rFonts w:ascii="Times New Roman"/>
                <w:w w:val="99"/>
                <w:sz w:val="18"/>
              </w:rPr>
              <w:t> </w:t>
            </w:r>
            <w:r>
              <w:rPr>
                <w:rFonts w:ascii="Times New Roman"/>
                <w:sz w:val="18"/>
              </w:rPr>
              <w:t>inc.</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453,301,5</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48.16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446,971,1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52.12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-6,330,39</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6.04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1,035,585</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,497.13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446,971,1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52.12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-7,059,36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3.91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581,554,9</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81.10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1,035,585</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,497.13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446,971,1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52.12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-7,059,36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3.91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581,554,9</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81.10</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both"/>
        <w:rPr>
          <w:rFonts w:ascii="宋体" w:hAnsi="宋体" w:cs="宋体" w:eastAsia="宋体" w:hint="default"/>
          <w:sz w:val="18"/>
          <w:szCs w:val="18"/>
        </w:rPr>
      </w:pPr>
      <w:r>
        <w:rPr>
          <w:rFonts w:ascii="宋体" w:hAnsi="宋体" w:cs="宋体" w:eastAsia="宋体" w:hint="default"/>
          <w:sz w:val="18"/>
          <w:szCs w:val="18"/>
        </w:rPr>
        <w:t>其他说明</w:t>
      </w:r>
    </w:p>
    <w:p>
      <w:pPr>
        <w:spacing w:line="256" w:lineRule="auto" w:before="90"/>
        <w:ind w:left="154" w:right="183" w:firstLine="0"/>
        <w:jc w:val="both"/>
        <w:rPr>
          <w:rFonts w:ascii="宋体" w:hAnsi="宋体" w:cs="宋体" w:eastAsia="宋体" w:hint="default"/>
          <w:sz w:val="21"/>
          <w:szCs w:val="21"/>
        </w:rPr>
      </w:pPr>
      <w:r>
        <w:rPr>
          <w:rFonts w:ascii="宋体" w:hAnsi="宋体" w:cs="宋体" w:eastAsia="宋体" w:hint="default"/>
          <w:sz w:val="21"/>
          <w:szCs w:val="21"/>
        </w:rPr>
        <w:t>注：公司对深圳玩贝科技有限公司（以下简称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深圳玩贝</w:t>
      </w:r>
      <w:r>
        <w:rPr>
          <w:rFonts w:ascii="Times New Roman" w:hAnsi="Times New Roman" w:cs="Times New Roman" w:eastAsia="Times New Roman" w:hint="default"/>
          <w:sz w:val="21"/>
          <w:szCs w:val="21"/>
        </w:rPr>
        <w:t>”</w:t>
      </w:r>
      <w:r>
        <w:rPr>
          <w:rFonts w:ascii="宋体" w:hAnsi="宋体" w:cs="宋体" w:eastAsia="宋体" w:hint="default"/>
          <w:sz w:val="21"/>
          <w:szCs w:val="21"/>
        </w:rPr>
        <w:t>）的认缴投资额为</w:t>
      </w:r>
      <w:r>
        <w:rPr>
          <w:rFonts w:ascii="Times New Roman" w:hAnsi="Times New Roman" w:cs="Times New Roman" w:eastAsia="Times New Roman" w:hint="default"/>
          <w:sz w:val="21"/>
          <w:szCs w:val="21"/>
        </w:rPr>
        <w:t>500.00</w:t>
      </w:r>
      <w:r>
        <w:rPr>
          <w:rFonts w:ascii="宋体" w:hAnsi="宋体" w:cs="宋体" w:eastAsia="宋体" w:hint="default"/>
          <w:sz w:val="21"/>
          <w:szCs w:val="21"/>
        </w:rPr>
        <w:t>万元，截至</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 </w:t>
      </w:r>
      <w:r>
        <w:rPr>
          <w:rFonts w:ascii="Times New Roman" w:hAnsi="Times New Roman" w:cs="Times New Roman" w:eastAsia="Times New Roman" w:hint="default"/>
          <w:sz w:val="21"/>
          <w:szCs w:val="21"/>
        </w:rPr>
        <w:t>31</w:t>
      </w:r>
      <w:r>
        <w:rPr>
          <w:rFonts w:ascii="宋体" w:hAnsi="宋体" w:cs="宋体" w:eastAsia="宋体" w:hint="default"/>
          <w:sz w:val="21"/>
          <w:szCs w:val="21"/>
        </w:rPr>
        <w:t>日实际出资</w:t>
      </w:r>
      <w:r>
        <w:rPr>
          <w:rFonts w:ascii="Times New Roman" w:hAnsi="Times New Roman" w:cs="Times New Roman" w:eastAsia="Times New Roman" w:hint="default"/>
          <w:sz w:val="21"/>
          <w:szCs w:val="21"/>
        </w:rPr>
        <w:t>150.00</w:t>
      </w:r>
      <w:r>
        <w:rPr>
          <w:rFonts w:ascii="宋体" w:hAnsi="宋体" w:cs="宋体" w:eastAsia="宋体" w:hint="default"/>
          <w:sz w:val="21"/>
          <w:szCs w:val="21"/>
        </w:rPr>
        <w:t>万元；同时股东协议约定，如果深圳玩贝在</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日前未完成首次公开发行并 上市，公司有权要求深圳玩贝其他股东按照约定的回购价格回购公司股权。</w:t>
      </w:r>
    </w:p>
    <w:p>
      <w:pPr>
        <w:spacing w:line="240" w:lineRule="auto" w:before="8"/>
        <w:rPr>
          <w:rFonts w:ascii="宋体" w:hAnsi="宋体" w:cs="宋体" w:eastAsia="宋体" w:hint="default"/>
          <w:sz w:val="19"/>
          <w:szCs w:val="19"/>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18</w:t>
      </w:r>
      <w:r>
        <w:rPr>
          <w:rFonts w:ascii="Microsoft JhengHei" w:hAnsi="Microsoft JhengHei" w:cs="Microsoft JhengHei" w:eastAsia="Microsoft JhengHei" w:hint="default"/>
          <w:b/>
          <w:bCs/>
          <w:sz w:val="21"/>
          <w:szCs w:val="21"/>
        </w:rPr>
        <w:t>、投资性房地产</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）采用成本计量模式的投资性房地产</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）采用公允价值计量模式的投资性房地产</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）未办妥产权证书的投资性房地产情况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19</w:t>
      </w:r>
      <w:r>
        <w:rPr>
          <w:rFonts w:ascii="Microsoft JhengHei" w:hAnsi="Microsoft JhengHei" w:cs="Microsoft JhengHei" w:eastAsia="Microsoft JhengHei" w:hint="default"/>
          <w:b/>
          <w:bCs/>
          <w:sz w:val="21"/>
          <w:szCs w:val="21"/>
        </w:rPr>
        <w:t>、固定资产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）固定资产情况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2"/>
              <w:ind w:left="587" w:right="47" w:hanging="540"/>
              <w:jc w:val="left"/>
              <w:rPr>
                <w:rFonts w:ascii="宋体" w:hAnsi="宋体" w:cs="宋体" w:eastAsia="宋体" w:hint="default"/>
                <w:sz w:val="18"/>
                <w:szCs w:val="18"/>
              </w:rPr>
            </w:pPr>
            <w:r>
              <w:rPr>
                <w:rFonts w:ascii="宋体" w:hAnsi="宋体" w:cs="宋体" w:eastAsia="宋体" w:hint="default"/>
                <w:sz w:val="18"/>
                <w:szCs w:val="18"/>
              </w:rPr>
              <w:t>计算机及办公设 备</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9" w:right="0"/>
              <w:jc w:val="left"/>
              <w:rPr>
                <w:rFonts w:ascii="宋体" w:hAnsi="宋体" w:cs="宋体" w:eastAsia="宋体" w:hint="default"/>
                <w:sz w:val="18"/>
                <w:szCs w:val="18"/>
              </w:rPr>
            </w:pPr>
            <w:r>
              <w:rPr>
                <w:rFonts w:ascii="宋体" w:hAnsi="宋体" w:cs="宋体" w:eastAsia="宋体" w:hint="default"/>
                <w:sz w:val="18"/>
                <w:szCs w:val="18"/>
              </w:rPr>
              <w:t>服务器</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办公家具</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交通工具</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建筑物</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11,344,510.78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43,473,721.55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5,237,880.98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5,841,461.51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1,678,900.00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67,576,474.82</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1,189,729.41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3,477,760.65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3,553,054.02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8,220,544.08</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1,189,729.41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3,477,760.65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3,553,054.02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8,220,544.08</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2"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2"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1,132,004.38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2,079,459.00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104,012.51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3,315,475.89</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2"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1,132,004.38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2,079,459.00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104,012.51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3,315,475.89</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11,402,235.81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44,872,023.20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5,133,868.47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9,394,515.53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1,678,900.00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72,481,543.01</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6,516,898.57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25,135,749.50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2,996,107.93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1,062,944.12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272,454.85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35,984,154.97</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2,003,536.47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9,770,803.81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941,795.59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579,355.20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79,741.08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13,375,232.15</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2,003,536.47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9,770,803.81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941,795.59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579,355.20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79,741.08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13,375,232.15</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801,165.51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1,680,562.62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87,311.45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2,569,039.58</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2"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801,165.51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1,680,562.62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87,311.45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2,569,039.58</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7,719,269.53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33,225,990.69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3,850,592.07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1,642,299.32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352,195.93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46,790,347.54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261,554.49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484,922.59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31,969.39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778,446.47</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89,226.59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269,449.98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358,676.57</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2"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89,226.59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269,449.98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358,676.57</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172,327.90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215,472.61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31,969.39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419,769.90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3,510,638.38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11,430,559.90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1,283,276.40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7,720,246.82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1,326,704.07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25,271,425.57</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4,566,057.72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17,853,049.46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2,241,773.05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4,746,548.00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1,406,445.15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30,813,873.38</w:t>
            </w:r>
          </w:p>
        </w:tc>
      </w:tr>
    </w:tbl>
    <w:p>
      <w:pPr>
        <w:spacing w:line="240" w:lineRule="auto" w:before="10"/>
        <w:rPr>
          <w:rFonts w:ascii="Times New Roman" w:hAnsi="Times New Roman" w:cs="Times New Roman" w:eastAsia="Times New Roman" w:hint="default"/>
          <w:sz w:val="21"/>
          <w:szCs w:val="21"/>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）暂时闲置的固定资产情况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）通过融资租赁租入的固定资产情况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）通过经营租赁租出的固定资产</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）未办妥产权证书的固定资产情况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spacing w:line="357" w:lineRule="auto" w:before="51"/>
        <w:ind w:left="154" w:right="905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20</w:t>
      </w:r>
      <w:r>
        <w:rPr>
          <w:rFonts w:ascii="Microsoft JhengHei" w:hAnsi="Microsoft JhengHei" w:cs="Microsoft JhengHei" w:eastAsia="Microsoft JhengHei" w:hint="default"/>
          <w:b/>
          <w:bCs/>
          <w:sz w:val="21"/>
          <w:szCs w:val="21"/>
        </w:rPr>
        <w:t>、在建工程</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）在建工程情况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）重要在建工程项目本期变动情况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338"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0" w:right="90"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3" w:right="91"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92"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3"/>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2"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3" w:right="91"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2" w:right="93"/>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0"/>
              <w:jc w:val="center"/>
              <w:rPr>
                <w:rFonts w:ascii="宋体" w:hAnsi="宋体" w:cs="宋体" w:eastAsia="宋体" w:hint="default"/>
                <w:sz w:val="18"/>
                <w:szCs w:val="18"/>
              </w:rPr>
            </w:pPr>
            <w:r>
              <w:rPr>
                <w:rFonts w:ascii="宋体" w:hAnsi="宋体" w:cs="宋体" w:eastAsia="宋体" w:hint="default"/>
                <w:spacing w:val="-10"/>
                <w:sz w:val="18"/>
                <w:szCs w:val="18"/>
              </w:rPr>
              <w:t>其中：本</w:t>
            </w:r>
            <w:r>
              <w:rPr>
                <w:rFonts w:ascii="宋体" w:hAnsi="宋体" w:cs="宋体" w:eastAsia="宋体" w:hint="default"/>
                <w:sz w:val="18"/>
                <w:szCs w:val="18"/>
              </w:rPr>
              <w:t> 期利息 资本化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2"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）本期计提在建工程减值准备情况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21</w:t>
      </w:r>
      <w:r>
        <w:rPr>
          <w:rFonts w:ascii="Microsoft JhengHei" w:hAnsi="Microsoft JhengHei" w:cs="Microsoft JhengHei" w:eastAsia="Microsoft JhengHei" w:hint="default"/>
          <w:b/>
          <w:bCs/>
          <w:sz w:val="21"/>
          <w:szCs w:val="21"/>
        </w:rPr>
        <w:t>、工程物资</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22</w:t>
      </w:r>
      <w:r>
        <w:rPr>
          <w:rFonts w:ascii="Microsoft JhengHei" w:hAnsi="Microsoft JhengHei" w:cs="Microsoft JhengHei" w:eastAsia="Microsoft JhengHei" w:hint="default"/>
          <w:b/>
          <w:bCs/>
          <w:sz w:val="21"/>
          <w:szCs w:val="21"/>
        </w:rPr>
        <w:t>、固定资产清理</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23</w:t>
      </w:r>
      <w:r>
        <w:rPr>
          <w:rFonts w:ascii="Microsoft JhengHei" w:hAnsi="Microsoft JhengHei" w:cs="Microsoft JhengHei" w:eastAsia="Microsoft JhengHei" w:hint="default"/>
          <w:b/>
          <w:bCs/>
          <w:sz w:val="21"/>
          <w:szCs w:val="21"/>
        </w:rPr>
        <w:t>、生产性生物资产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）采用成本计量模式的生产性生物资产</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）采用公允价值计量模式的生产性生物资产</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24</w:t>
      </w:r>
      <w:r>
        <w:rPr>
          <w:rFonts w:ascii="Microsoft JhengHei" w:hAnsi="Microsoft JhengHei" w:cs="Microsoft JhengHei" w:eastAsia="Microsoft JhengHei" w:hint="default"/>
          <w:b/>
          <w:bCs/>
          <w:sz w:val="21"/>
          <w:szCs w:val="21"/>
        </w:rPr>
        <w:t>、油气资产</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25</w:t>
      </w:r>
      <w:r>
        <w:rPr>
          <w:rFonts w:ascii="Microsoft JhengHei" w:hAnsi="Microsoft JhengHei" w:cs="Microsoft JhengHei" w:eastAsia="Microsoft JhengHei" w:hint="default"/>
          <w:b/>
          <w:bCs/>
          <w:sz w:val="21"/>
          <w:szCs w:val="21"/>
        </w:rPr>
        <w:t>、无形资产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）无形资产情况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3"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2"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595"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35,632,771.41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35,632,771.41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2,537,988.23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2,537,988.23</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0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2,537,988.23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2,537,988.23</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）内部研</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发</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并增加</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6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本期减少金额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3,022,244.32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3,022,244.32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0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3,022,244.32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3,022,244.32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35,148,515.32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35,148,515.32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20,532,226.26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20,532,226.26</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5,145,563.88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5,145,563.88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0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5,145,563.88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5,145,563.88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0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22,677,790.14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22,677,790.14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0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8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12,470,725.18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12,470,725.18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15,100,545.15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15,100,545.15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本期末通过公司内部研发形成的无形资产占无形资产余额的比例</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0.00%</w:t>
      </w:r>
      <w:r>
        <w:rPr>
          <w:rFonts w:ascii="宋体" w:hAnsi="宋体" w:cs="宋体" w:eastAsia="宋体" w:hint="default"/>
          <w:sz w:val="18"/>
          <w:szCs w:val="18"/>
        </w:rPr>
        <w:t>。</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）未办妥产权证书的土地使用权情况</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spacing w:line="357" w:lineRule="auto" w:before="51"/>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26</w:t>
      </w:r>
      <w:r>
        <w:rPr>
          <w:rFonts w:ascii="Microsoft JhengHei" w:hAnsi="Microsoft JhengHei" w:cs="Microsoft JhengHei" w:eastAsia="Microsoft JhengHei" w:hint="default"/>
          <w:b/>
          <w:bCs/>
          <w:sz w:val="21"/>
          <w:szCs w:val="21"/>
        </w:rPr>
        <w:t>、开发支出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3"/>
        <w:gridCol w:w="1063"/>
        <w:gridCol w:w="1062"/>
        <w:gridCol w:w="1063"/>
        <w:gridCol w:w="1063"/>
        <w:gridCol w:w="1064"/>
        <w:gridCol w:w="1063"/>
        <w:gridCol w:w="1063"/>
      </w:tblGrid>
      <w:tr>
        <w:trPr>
          <w:trHeight w:val="401"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346"/>
              <w:jc w:val="righ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right="354"/>
              <w:jc w:val="right"/>
              <w:rPr>
                <w:rFonts w:ascii="Times New Roman" w:hAnsi="Times New Roman" w:cs="Times New Roman" w:eastAsia="Times New Roman" w:hint="default"/>
                <w:sz w:val="18"/>
                <w:szCs w:val="18"/>
              </w:rPr>
            </w:pPr>
            <w:r>
              <w:rPr>
                <w:rFonts w:ascii="宋体" w:hAnsi="宋体" w:cs="宋体" w:eastAsia="宋体" w:hint="default"/>
                <w:sz w:val="18"/>
                <w:szCs w:val="18"/>
              </w:rPr>
              <w:t>次世代</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19" w:right="0"/>
              <w:jc w:val="left"/>
              <w:rPr>
                <w:rFonts w:ascii="Times New Roman" w:hAnsi="Times New Roman" w:cs="Times New Roman" w:eastAsia="Times New Roman" w:hint="default"/>
                <w:sz w:val="18"/>
                <w:szCs w:val="18"/>
              </w:rPr>
            </w:pPr>
            <w:r>
              <w:rPr>
                <w:rFonts w:ascii="Times New Roman"/>
                <w:sz w:val="18"/>
              </w:rPr>
              <w:t>888,850.39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888,850.39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346"/>
              <w:jc w:val="righ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19" w:right="0"/>
              <w:jc w:val="left"/>
              <w:rPr>
                <w:rFonts w:ascii="Times New Roman" w:hAnsi="Times New Roman" w:cs="Times New Roman" w:eastAsia="Times New Roman" w:hint="default"/>
                <w:sz w:val="18"/>
                <w:szCs w:val="18"/>
              </w:rPr>
            </w:pPr>
            <w:r>
              <w:rPr>
                <w:rFonts w:ascii="Times New Roman"/>
                <w:sz w:val="18"/>
              </w:rPr>
              <w:t>888,850.39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888,850.39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27</w:t>
      </w:r>
      <w:r>
        <w:rPr>
          <w:rFonts w:ascii="Microsoft JhengHei" w:hAnsi="Microsoft JhengHei" w:cs="Microsoft JhengHei" w:eastAsia="Microsoft JhengHei" w:hint="default"/>
          <w:b/>
          <w:bCs/>
          <w:sz w:val="21"/>
          <w:szCs w:val="21"/>
        </w:rPr>
        <w:t>、商誉</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）商誉账面原值</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）商誉减值准备</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48"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67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588" w:right="47" w:hanging="541"/>
              <w:jc w:val="left"/>
              <w:rPr>
                <w:rFonts w:ascii="宋体" w:hAnsi="宋体" w:cs="宋体" w:eastAsia="宋体" w:hint="default"/>
                <w:sz w:val="18"/>
                <w:szCs w:val="18"/>
              </w:rPr>
            </w:pPr>
            <w:r>
              <w:rPr>
                <w:rFonts w:ascii="宋体" w:hAnsi="宋体" w:cs="宋体" w:eastAsia="宋体" w:hint="default"/>
                <w:sz w:val="18"/>
                <w:szCs w:val="18"/>
              </w:rPr>
              <w:t>或形成商誉的事 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360" w:lineRule="auto" w:before="51"/>
        <w:ind w:left="154" w:right="5092" w:firstLine="0"/>
        <w:jc w:val="left"/>
        <w:rPr>
          <w:rFonts w:ascii="宋体" w:hAnsi="宋体" w:cs="宋体" w:eastAsia="宋体" w:hint="default"/>
          <w:sz w:val="18"/>
          <w:szCs w:val="18"/>
        </w:rPr>
      </w:pPr>
      <w:r>
        <w:rPr>
          <w:rFonts w:ascii="宋体" w:hAnsi="宋体" w:cs="宋体" w:eastAsia="宋体" w:hint="default"/>
          <w:sz w:val="18"/>
          <w:szCs w:val="18"/>
        </w:rPr>
        <w:t>说明商誉减值测试过程、参数及商誉减值损失的确认方法： 其他说明</w:t>
      </w:r>
    </w:p>
    <w:p>
      <w:pPr>
        <w:spacing w:line="240" w:lineRule="auto" w:before="10"/>
        <w:rPr>
          <w:rFonts w:ascii="宋体" w:hAnsi="宋体" w:cs="宋体" w:eastAsia="宋体" w:hint="default"/>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28</w:t>
      </w:r>
      <w:r>
        <w:rPr>
          <w:rFonts w:ascii="Microsoft JhengHei" w:hAnsi="Microsoft JhengHei" w:cs="Microsoft JhengHei" w:eastAsia="Microsoft JhengHei" w:hint="default"/>
          <w:b/>
          <w:bCs/>
          <w:sz w:val="21"/>
          <w:szCs w:val="21"/>
        </w:rPr>
        <w:t>、长期待摊费用</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办公室装修费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6,930,797.40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265,803.55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4,489,678.20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2,706,922.75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授权金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112,422,708.20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83,204,148.16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57,191,306.17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2,959,158.63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135,476,391.56</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游戏形象使用权</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25,833.26</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25,833.26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119,379,338.86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83,469,951.71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61,706,817.63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2,959,158.63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138,183,314.31</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66"/>
        <w:ind w:right="0"/>
        <w:jc w:val="left"/>
      </w:pPr>
      <w:r>
        <w:rPr/>
        <w:t>注：其他减少的主要原因为游戏终止运营而核销的授权金。</w:t>
      </w:r>
    </w:p>
    <w:p>
      <w:pPr>
        <w:spacing w:line="240" w:lineRule="auto" w:before="8"/>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29</w:t>
      </w:r>
      <w:r>
        <w:rPr>
          <w:rFonts w:ascii="Microsoft JhengHei" w:hAnsi="Microsoft JhengHei" w:cs="Microsoft JhengHei" w:eastAsia="Microsoft JhengHei" w:hint="default"/>
          <w:b/>
          <w:bCs/>
          <w:sz w:val="21"/>
          <w:szCs w:val="21"/>
        </w:rPr>
        <w:t>、递延所得税资产</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递延所得税负债</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）未经抵销的递延所得税资产</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6,280,549.73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785,068.72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4,047,176.88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505,897.12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无形资产摊销（年限）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867,241.15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108,405.14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6,280,549.73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785,068.72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4,914,418.03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614,302.26</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）未经抵销的递延所得税负债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）以抵销后净额列示的递延所得税资产或负债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3"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0" w:right="0"/>
              <w:jc w:val="left"/>
              <w:rPr>
                <w:rFonts w:ascii="Times New Roman" w:hAnsi="Times New Roman" w:cs="Times New Roman" w:eastAsia="Times New Roman" w:hint="default"/>
                <w:sz w:val="18"/>
                <w:szCs w:val="18"/>
              </w:rPr>
            </w:pPr>
            <w:r>
              <w:rPr>
                <w:rFonts w:ascii="Times New Roman"/>
                <w:sz w:val="18"/>
              </w:rPr>
              <w:t>785,068.72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0" w:right="0"/>
              <w:jc w:val="left"/>
              <w:rPr>
                <w:rFonts w:ascii="Times New Roman" w:hAnsi="Times New Roman" w:cs="Times New Roman" w:eastAsia="Times New Roman" w:hint="default"/>
                <w:sz w:val="18"/>
                <w:szCs w:val="18"/>
              </w:rPr>
            </w:pPr>
            <w:r>
              <w:rPr>
                <w:rFonts w:ascii="Times New Roman"/>
                <w:sz w:val="18"/>
              </w:rPr>
              <w:t>614,302.26</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21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）未确认递延所得税资产明细</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21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spacing w:line="334" w:lineRule="exact" w:before="0"/>
        <w:ind w:left="154" w:right="21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）未确认递延所得税资产的可抵扣亏损将于以下年度到期</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21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before="51"/>
        <w:ind w:left="154" w:right="2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21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30</w:t>
      </w:r>
      <w:r>
        <w:rPr>
          <w:rFonts w:ascii="Microsoft JhengHei" w:hAnsi="Microsoft JhengHei" w:cs="Microsoft JhengHei" w:eastAsia="Microsoft JhengHei" w:hint="default"/>
          <w:b/>
          <w:bCs/>
          <w:sz w:val="21"/>
          <w:szCs w:val="21"/>
        </w:rPr>
        <w:t>、其他非流动资产</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21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61,600,000.00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12,237,527.35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游戏授权金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80,357,731.60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141,957,731.60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12,237,527.35</w:t>
            </w:r>
          </w:p>
        </w:tc>
      </w:tr>
    </w:tbl>
    <w:p>
      <w:pPr>
        <w:spacing w:before="51"/>
        <w:ind w:left="154" w:right="2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3"/>
          <w:szCs w:val="13"/>
        </w:rPr>
      </w:pPr>
    </w:p>
    <w:p>
      <w:pPr>
        <w:spacing w:line="256" w:lineRule="auto" w:before="0"/>
        <w:ind w:left="154" w:right="211" w:firstLine="420"/>
        <w:jc w:val="both"/>
        <w:rPr>
          <w:rFonts w:ascii="宋体" w:hAnsi="宋体" w:cs="宋体" w:eastAsia="宋体" w:hint="default"/>
          <w:sz w:val="21"/>
          <w:szCs w:val="21"/>
        </w:rPr>
      </w:pPr>
      <w:r>
        <w:rPr>
          <w:rFonts w:ascii="宋体" w:hAnsi="宋体" w:cs="宋体" w:eastAsia="宋体" w:hint="default"/>
          <w:spacing w:val="-1"/>
          <w:sz w:val="21"/>
          <w:szCs w:val="21"/>
        </w:rPr>
        <w:t>注</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2015</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30</w:t>
      </w:r>
      <w:r>
        <w:rPr>
          <w:rFonts w:ascii="宋体" w:hAnsi="宋体" w:cs="宋体" w:eastAsia="宋体" w:hint="default"/>
          <w:spacing w:val="-1"/>
          <w:sz w:val="21"/>
          <w:szCs w:val="21"/>
        </w:rPr>
        <w:t>日，公司签署了关于电视剧《生死三八线》的投资协议，根据协议，公司向啊哈娱</w:t>
      </w:r>
      <w:r>
        <w:rPr>
          <w:rFonts w:ascii="宋体" w:hAnsi="宋体" w:cs="宋体" w:eastAsia="宋体" w:hint="default"/>
          <w:sz w:val="21"/>
          <w:szCs w:val="21"/>
        </w:rPr>
        <w:t> </w:t>
      </w:r>
      <w:r>
        <w:rPr>
          <w:rFonts w:ascii="宋体" w:hAnsi="宋体" w:cs="宋体" w:eastAsia="宋体" w:hint="default"/>
          <w:spacing w:val="-1"/>
          <w:sz w:val="21"/>
          <w:szCs w:val="21"/>
        </w:rPr>
        <w:t>乐（上海）有限公司投资</w:t>
      </w:r>
      <w:r>
        <w:rPr>
          <w:rFonts w:ascii="Times New Roman" w:hAnsi="Times New Roman" w:cs="Times New Roman" w:eastAsia="Times New Roman" w:hint="default"/>
          <w:spacing w:val="-1"/>
          <w:sz w:val="21"/>
          <w:szCs w:val="21"/>
        </w:rPr>
        <w:t>1360</w:t>
      </w:r>
      <w:r>
        <w:rPr>
          <w:rFonts w:ascii="宋体" w:hAnsi="宋体" w:cs="宋体" w:eastAsia="宋体" w:hint="default"/>
          <w:spacing w:val="-1"/>
          <w:sz w:val="21"/>
          <w:szCs w:val="21"/>
        </w:rPr>
        <w:t>万元参与电视剧《生死三八线》的投资。啊哈娱乐作为本剧出品人，本剧产</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生收入后优先支付本公司的投资款，之后净赚部分的</w:t>
      </w:r>
      <w:r>
        <w:rPr>
          <w:rFonts w:ascii="Times New Roman" w:hAnsi="Times New Roman" w:cs="Times New Roman" w:eastAsia="Times New Roman" w:hint="default"/>
          <w:sz w:val="21"/>
          <w:szCs w:val="21"/>
        </w:rPr>
        <w:t>80%</w:t>
      </w:r>
      <w:r>
        <w:rPr>
          <w:rFonts w:ascii="宋体" w:hAnsi="宋体" w:cs="宋体" w:eastAsia="宋体" w:hint="default"/>
          <w:sz w:val="21"/>
          <w:szCs w:val="21"/>
        </w:rPr>
        <w:t>再分配给本公司。</w:t>
      </w:r>
    </w:p>
    <w:p>
      <w:pPr>
        <w:spacing w:line="256" w:lineRule="auto" w:before="125"/>
        <w:ind w:left="154" w:right="213" w:firstLine="420"/>
        <w:jc w:val="left"/>
        <w:rPr>
          <w:rFonts w:ascii="宋体" w:hAnsi="宋体" w:cs="宋体" w:eastAsia="宋体" w:hint="default"/>
          <w:sz w:val="21"/>
          <w:szCs w:val="21"/>
        </w:rPr>
      </w:pPr>
      <w:r>
        <w:rPr>
          <w:rFonts w:ascii="宋体" w:hAnsi="宋体" w:cs="宋体" w:eastAsia="宋体" w:hint="default"/>
          <w:spacing w:val="-3"/>
          <w:sz w:val="21"/>
          <w:szCs w:val="21"/>
        </w:rPr>
        <w:t>注</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2015</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12</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11</w:t>
      </w:r>
      <w:r>
        <w:rPr>
          <w:rFonts w:ascii="宋体" w:hAnsi="宋体" w:cs="宋体" w:eastAsia="宋体" w:hint="default"/>
          <w:spacing w:val="-3"/>
          <w:sz w:val="21"/>
          <w:szCs w:val="21"/>
        </w:rPr>
        <w:t>日，公司签署了关于对广州酷麦信息科技有限公司（以下简称</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广州酷麦</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）的增资</w:t>
      </w:r>
      <w:r>
        <w:rPr>
          <w:rFonts w:ascii="宋体" w:hAnsi="宋体" w:cs="宋体" w:eastAsia="宋体" w:hint="default"/>
          <w:sz w:val="21"/>
          <w:szCs w:val="21"/>
        </w:rPr>
        <w:t> 协议，根据协议公司对广州酷麦增加投资</w:t>
      </w:r>
      <w:r>
        <w:rPr>
          <w:rFonts w:ascii="Times New Roman" w:hAnsi="Times New Roman" w:cs="Times New Roman" w:eastAsia="Times New Roman" w:hint="default"/>
          <w:sz w:val="21"/>
          <w:szCs w:val="21"/>
        </w:rPr>
        <w:t>1,000.00</w:t>
      </w:r>
      <w:r>
        <w:rPr>
          <w:rFonts w:ascii="宋体" w:hAnsi="宋体" w:cs="宋体" w:eastAsia="宋体" w:hint="default"/>
          <w:sz w:val="21"/>
          <w:szCs w:val="21"/>
        </w:rPr>
        <w:t>万元，持股比例为</w:t>
      </w:r>
      <w:r>
        <w:rPr>
          <w:rFonts w:ascii="Times New Roman" w:hAnsi="Times New Roman" w:cs="Times New Roman" w:eastAsia="Times New Roman" w:hint="default"/>
          <w:sz w:val="21"/>
          <w:szCs w:val="21"/>
        </w:rPr>
        <w:t>20%</w:t>
      </w:r>
      <w:r>
        <w:rPr>
          <w:rFonts w:ascii="宋体" w:hAnsi="宋体" w:cs="宋体" w:eastAsia="宋体" w:hint="default"/>
          <w:sz w:val="21"/>
          <w:szCs w:val="21"/>
        </w:rPr>
        <w:t>，并将在董事会（</w:t>
      </w:r>
      <w:r>
        <w:rPr>
          <w:rFonts w:ascii="Times New Roman" w:hAnsi="Times New Roman" w:cs="Times New Roman" w:eastAsia="Times New Roman" w:hint="default"/>
          <w:sz w:val="21"/>
          <w:szCs w:val="21"/>
        </w:rPr>
        <w:t>3</w:t>
      </w:r>
      <w:r>
        <w:rPr>
          <w:rFonts w:ascii="宋体" w:hAnsi="宋体" w:cs="宋体" w:eastAsia="宋体" w:hint="default"/>
          <w:sz w:val="21"/>
          <w:szCs w:val="21"/>
        </w:rPr>
        <w:t>人）中占有</w:t>
      </w:r>
      <w:r>
        <w:rPr>
          <w:rFonts w:ascii="Times New Roman" w:hAnsi="Times New Roman" w:cs="Times New Roman" w:eastAsia="Times New Roman" w:hint="default"/>
          <w:sz w:val="21"/>
          <w:szCs w:val="21"/>
        </w:rPr>
        <w:t>1 </w:t>
      </w:r>
      <w:r>
        <w:rPr>
          <w:rFonts w:ascii="宋体" w:hAnsi="宋体" w:cs="宋体" w:eastAsia="宋体" w:hint="default"/>
          <w:sz w:val="21"/>
          <w:szCs w:val="21"/>
        </w:rPr>
        <w:t>各席位。截止</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日，公司共实际出资</w:t>
      </w:r>
      <w:r>
        <w:rPr>
          <w:rFonts w:ascii="Times New Roman" w:hAnsi="Times New Roman" w:cs="Times New Roman" w:eastAsia="Times New Roman" w:hint="default"/>
          <w:sz w:val="21"/>
          <w:szCs w:val="21"/>
        </w:rPr>
        <w:t>500.00</w:t>
      </w:r>
      <w:r>
        <w:rPr>
          <w:rFonts w:ascii="宋体" w:hAnsi="宋体" w:cs="宋体" w:eastAsia="宋体" w:hint="default"/>
          <w:sz w:val="21"/>
          <w:szCs w:val="21"/>
        </w:rPr>
        <w:t>万元，股权尚未完成交割。</w:t>
      </w:r>
    </w:p>
    <w:p>
      <w:pPr>
        <w:spacing w:line="256" w:lineRule="auto" w:before="125"/>
        <w:ind w:left="154" w:right="212" w:firstLine="420"/>
        <w:jc w:val="both"/>
        <w:rPr>
          <w:rFonts w:ascii="宋体" w:hAnsi="宋体" w:cs="宋体" w:eastAsia="宋体" w:hint="default"/>
          <w:sz w:val="21"/>
          <w:szCs w:val="21"/>
        </w:rPr>
      </w:pPr>
      <w:r>
        <w:rPr>
          <w:rFonts w:ascii="宋体" w:hAnsi="宋体" w:cs="宋体" w:eastAsia="宋体" w:hint="default"/>
          <w:spacing w:val="-3"/>
          <w:sz w:val="21"/>
          <w:szCs w:val="21"/>
        </w:rPr>
        <w:t>注</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2015</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12</w:t>
      </w:r>
      <w:r>
        <w:rPr>
          <w:rFonts w:ascii="宋体" w:hAnsi="宋体" w:cs="宋体" w:eastAsia="宋体" w:hint="default"/>
          <w:spacing w:val="-3"/>
          <w:sz w:val="21"/>
          <w:szCs w:val="21"/>
        </w:rPr>
        <w:t>月，公司签署了关于北京蜜莱坞网络科技有限公司（以下简称</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北京蜜莱坞</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）的增资协</w:t>
      </w:r>
      <w:r>
        <w:rPr>
          <w:rFonts w:ascii="宋体" w:hAnsi="宋体" w:cs="宋体" w:eastAsia="宋体" w:hint="default"/>
          <w:sz w:val="21"/>
          <w:szCs w:val="21"/>
        </w:rPr>
        <w:t> 议，根据协议公司对北京蜜莱坞增加投资</w:t>
      </w:r>
      <w:r>
        <w:rPr>
          <w:rFonts w:ascii="Times New Roman" w:hAnsi="Times New Roman" w:cs="Times New Roman" w:eastAsia="Times New Roman" w:hint="default"/>
          <w:sz w:val="21"/>
          <w:szCs w:val="21"/>
        </w:rPr>
        <w:t>6,800.00</w:t>
      </w:r>
      <w:r>
        <w:rPr>
          <w:rFonts w:ascii="宋体" w:hAnsi="宋体" w:cs="宋体" w:eastAsia="宋体" w:hint="default"/>
          <w:sz w:val="21"/>
          <w:szCs w:val="21"/>
        </w:rPr>
        <w:t>万元，增资后持股比例为</w:t>
      </w:r>
      <w:r>
        <w:rPr>
          <w:rFonts w:ascii="Times New Roman" w:hAnsi="Times New Roman" w:cs="Times New Roman" w:eastAsia="Times New Roman" w:hint="default"/>
          <w:sz w:val="21"/>
          <w:szCs w:val="21"/>
        </w:rPr>
        <w:t>18%</w:t>
      </w:r>
      <w:r>
        <w:rPr>
          <w:rFonts w:ascii="宋体" w:hAnsi="宋体" w:cs="宋体" w:eastAsia="宋体" w:hint="default"/>
          <w:sz w:val="21"/>
          <w:szCs w:val="21"/>
        </w:rPr>
        <w:t>，并将在董事会（</w:t>
      </w:r>
      <w:r>
        <w:rPr>
          <w:rFonts w:ascii="Times New Roman" w:hAnsi="Times New Roman" w:cs="Times New Roman" w:eastAsia="Times New Roman" w:hint="default"/>
          <w:sz w:val="21"/>
          <w:szCs w:val="21"/>
        </w:rPr>
        <w:t>5</w:t>
      </w:r>
      <w:r>
        <w:rPr>
          <w:rFonts w:ascii="宋体" w:hAnsi="宋体" w:cs="宋体" w:eastAsia="宋体" w:hint="default"/>
          <w:sz w:val="21"/>
          <w:szCs w:val="21"/>
        </w:rPr>
        <w:t>人）中 占有</w:t>
      </w:r>
      <w:r>
        <w:rPr>
          <w:rFonts w:ascii="Times New Roman" w:hAnsi="Times New Roman" w:cs="Times New Roman" w:eastAsia="Times New Roman" w:hint="default"/>
          <w:sz w:val="21"/>
          <w:szCs w:val="21"/>
        </w:rPr>
        <w:t>1</w:t>
      </w:r>
      <w:r>
        <w:rPr>
          <w:rFonts w:ascii="宋体" w:hAnsi="宋体" w:cs="宋体" w:eastAsia="宋体" w:hint="default"/>
          <w:sz w:val="21"/>
          <w:szCs w:val="21"/>
        </w:rPr>
        <w:t>各席位。截止</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日，公司共实际出资</w:t>
      </w:r>
      <w:r>
        <w:rPr>
          <w:rFonts w:ascii="Times New Roman" w:hAnsi="Times New Roman" w:cs="Times New Roman" w:eastAsia="Times New Roman" w:hint="default"/>
          <w:sz w:val="21"/>
          <w:szCs w:val="21"/>
        </w:rPr>
        <w:t>2,000.00</w:t>
      </w:r>
      <w:r>
        <w:rPr>
          <w:rFonts w:ascii="宋体" w:hAnsi="宋体" w:cs="宋体" w:eastAsia="宋体" w:hint="default"/>
          <w:sz w:val="21"/>
          <w:szCs w:val="21"/>
        </w:rPr>
        <w:t>万元，股权尚未完成交割。</w:t>
      </w:r>
    </w:p>
    <w:p>
      <w:pPr>
        <w:spacing w:line="256" w:lineRule="auto" w:before="125"/>
        <w:ind w:left="154" w:right="103" w:firstLine="420"/>
        <w:jc w:val="left"/>
        <w:rPr>
          <w:rFonts w:ascii="宋体" w:hAnsi="宋体" w:cs="宋体" w:eastAsia="宋体"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4</w:t>
      </w:r>
      <w:r>
        <w:rPr>
          <w:rFonts w:ascii="宋体" w:hAnsi="宋体" w:cs="宋体" w:eastAsia="宋体" w:hint="default"/>
          <w:sz w:val="21"/>
          <w:szCs w:val="21"/>
        </w:rPr>
        <w:t>日，公司全资子公司北京昆仑在线网络科技有限公司（以下简称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昆仑在线</w:t>
      </w:r>
      <w:r>
        <w:rPr>
          <w:rFonts w:ascii="Times New Roman" w:hAnsi="Times New Roman" w:cs="Times New Roman" w:eastAsia="Times New Roman" w:hint="default"/>
          <w:sz w:val="21"/>
          <w:szCs w:val="21"/>
        </w:rPr>
        <w:t>”</w:t>
      </w:r>
      <w:r>
        <w:rPr>
          <w:rFonts w:ascii="宋体" w:hAnsi="宋体" w:cs="宋体" w:eastAsia="宋体" w:hint="default"/>
          <w:sz w:val="21"/>
          <w:szCs w:val="21"/>
        </w:rPr>
        <w:t>）签署 了关于北京厘米库信息科技有限公司（以下简称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北京厘米库</w:t>
      </w:r>
      <w:r>
        <w:rPr>
          <w:rFonts w:ascii="Times New Roman" w:hAnsi="Times New Roman" w:cs="Times New Roman" w:eastAsia="Times New Roman" w:hint="default"/>
          <w:sz w:val="21"/>
          <w:szCs w:val="21"/>
        </w:rPr>
        <w:t>”</w:t>
      </w:r>
      <w:r>
        <w:rPr>
          <w:rFonts w:ascii="宋体" w:hAnsi="宋体" w:cs="宋体" w:eastAsia="宋体" w:hint="default"/>
          <w:sz w:val="21"/>
          <w:szCs w:val="21"/>
        </w:rPr>
        <w:t>）的增资协议，根据协议昆仑在线对北京厘 </w:t>
      </w:r>
      <w:r>
        <w:rPr>
          <w:rFonts w:ascii="宋体" w:hAnsi="宋体" w:cs="宋体" w:eastAsia="宋体" w:hint="default"/>
          <w:spacing w:val="-3"/>
          <w:sz w:val="21"/>
          <w:szCs w:val="21"/>
        </w:rPr>
        <w:t>米库增加投资</w:t>
      </w:r>
      <w:r>
        <w:rPr>
          <w:rFonts w:ascii="Times New Roman" w:hAnsi="Times New Roman" w:cs="Times New Roman" w:eastAsia="Times New Roman" w:hint="default"/>
          <w:spacing w:val="-3"/>
          <w:sz w:val="21"/>
          <w:szCs w:val="21"/>
        </w:rPr>
        <w:t>600.00</w:t>
      </w:r>
      <w:r>
        <w:rPr>
          <w:rFonts w:ascii="宋体" w:hAnsi="宋体" w:cs="宋体" w:eastAsia="宋体" w:hint="default"/>
          <w:spacing w:val="-3"/>
          <w:sz w:val="21"/>
          <w:szCs w:val="21"/>
        </w:rPr>
        <w:t>万元，增资后持股比例为</w:t>
      </w:r>
      <w:r>
        <w:rPr>
          <w:rFonts w:ascii="Times New Roman" w:hAnsi="Times New Roman" w:cs="Times New Roman" w:eastAsia="Times New Roman" w:hint="default"/>
          <w:spacing w:val="-3"/>
          <w:sz w:val="21"/>
          <w:szCs w:val="21"/>
        </w:rPr>
        <w:t>3.85%</w:t>
      </w:r>
      <w:r>
        <w:rPr>
          <w:rFonts w:ascii="宋体" w:hAnsi="宋体" w:cs="宋体" w:eastAsia="宋体" w:hint="default"/>
          <w:spacing w:val="-3"/>
          <w:sz w:val="21"/>
          <w:szCs w:val="21"/>
        </w:rPr>
        <w:t>。截至</w:t>
      </w:r>
      <w:r>
        <w:rPr>
          <w:rFonts w:ascii="Times New Roman" w:hAnsi="Times New Roman" w:cs="Times New Roman" w:eastAsia="Times New Roman" w:hint="default"/>
          <w:spacing w:val="-3"/>
          <w:sz w:val="21"/>
          <w:szCs w:val="21"/>
        </w:rPr>
        <w:t>2015</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12</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31</w:t>
      </w:r>
      <w:r>
        <w:rPr>
          <w:rFonts w:ascii="宋体" w:hAnsi="宋体" w:cs="宋体" w:eastAsia="宋体" w:hint="default"/>
          <w:spacing w:val="-3"/>
          <w:sz w:val="21"/>
          <w:szCs w:val="21"/>
        </w:rPr>
        <w:t>日，昆仑在线实际出资</w:t>
      </w:r>
      <w:r>
        <w:rPr>
          <w:rFonts w:ascii="Times New Roman" w:hAnsi="Times New Roman" w:cs="Times New Roman" w:eastAsia="Times New Roman" w:hint="default"/>
          <w:spacing w:val="-3"/>
          <w:sz w:val="21"/>
          <w:szCs w:val="21"/>
        </w:rPr>
        <w:t>300.00</w:t>
      </w:r>
      <w:r>
        <w:rPr>
          <w:rFonts w:ascii="宋体" w:hAnsi="宋体" w:cs="宋体" w:eastAsia="宋体" w:hint="default"/>
          <w:spacing w:val="-3"/>
          <w:sz w:val="21"/>
          <w:szCs w:val="21"/>
        </w:rPr>
        <w:t>万元，</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股权尚未完成交割。</w:t>
      </w:r>
    </w:p>
    <w:p>
      <w:pPr>
        <w:spacing w:line="256" w:lineRule="auto" w:before="142"/>
        <w:ind w:left="154" w:right="203" w:firstLine="420"/>
        <w:jc w:val="left"/>
        <w:rPr>
          <w:rFonts w:ascii="宋体" w:hAnsi="宋体" w:cs="宋体" w:eastAsia="宋体"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2015</w:t>
      </w:r>
      <w:r>
        <w:rPr>
          <w:rFonts w:ascii="宋体" w:hAnsi="宋体" w:cs="宋体" w:eastAsia="宋体" w:hint="default"/>
          <w:sz w:val="21"/>
          <w:szCs w:val="21"/>
        </w:rPr>
        <w:t>年公司全资子公司</w:t>
      </w:r>
      <w:r>
        <w:rPr>
          <w:rFonts w:ascii="Times New Roman" w:hAnsi="Times New Roman" w:cs="Times New Roman" w:eastAsia="Times New Roman" w:hint="default"/>
          <w:sz w:val="21"/>
          <w:szCs w:val="21"/>
        </w:rPr>
        <w:t>Kunlun</w:t>
      </w:r>
      <w:r>
        <w:rPr>
          <w:rFonts w:ascii="Times New Roman" w:hAnsi="Times New Roman" w:cs="Times New Roman" w:eastAsia="Times New Roman" w:hint="default"/>
          <w:spacing w:val="-24"/>
          <w:sz w:val="21"/>
          <w:szCs w:val="21"/>
        </w:rPr>
        <w:t> </w:t>
      </w:r>
      <w:r>
        <w:rPr>
          <w:rFonts w:ascii="Times New Roman" w:hAnsi="Times New Roman" w:cs="Times New Roman" w:eastAsia="Times New Roman" w:hint="default"/>
          <w:sz w:val="21"/>
          <w:szCs w:val="21"/>
        </w:rPr>
        <w:t>Korea</w:t>
      </w:r>
      <w:r>
        <w:rPr>
          <w:rFonts w:ascii="Times New Roman" w:hAnsi="Times New Roman" w:cs="Times New Roman" w:eastAsia="Times New Roman" w:hint="default"/>
          <w:spacing w:val="-23"/>
          <w:sz w:val="21"/>
          <w:szCs w:val="21"/>
        </w:rPr>
        <w:t> </w:t>
      </w:r>
      <w:r>
        <w:rPr>
          <w:rFonts w:ascii="Times New Roman" w:hAnsi="Times New Roman" w:cs="Times New Roman" w:eastAsia="Times New Roman" w:hint="default"/>
          <w:sz w:val="21"/>
          <w:szCs w:val="21"/>
        </w:rPr>
        <w:t>Co.,</w:t>
      </w:r>
      <w:r>
        <w:rPr>
          <w:rFonts w:ascii="Times New Roman" w:hAnsi="Times New Roman" w:cs="Times New Roman" w:eastAsia="Times New Roman" w:hint="default"/>
          <w:spacing w:val="-24"/>
          <w:sz w:val="21"/>
          <w:szCs w:val="21"/>
        </w:rPr>
        <w:t> </w:t>
      </w:r>
      <w:r>
        <w:rPr>
          <w:rFonts w:ascii="Times New Roman" w:hAnsi="Times New Roman" w:cs="Times New Roman" w:eastAsia="Times New Roman" w:hint="default"/>
          <w:sz w:val="21"/>
          <w:szCs w:val="21"/>
        </w:rPr>
        <w:t>LTD</w:t>
      </w:r>
      <w:r>
        <w:rPr>
          <w:rFonts w:ascii="宋体" w:hAnsi="宋体" w:cs="宋体" w:eastAsia="宋体" w:hint="default"/>
          <w:sz w:val="21"/>
          <w:szCs w:val="21"/>
        </w:rPr>
        <w:t>（昆仑韩国株式会社）（以下简称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昆仑韩国</w:t>
      </w:r>
      <w:r>
        <w:rPr>
          <w:rFonts w:ascii="Times New Roman" w:hAnsi="Times New Roman" w:cs="Times New Roman" w:eastAsia="Times New Roman" w:hint="default"/>
          <w:sz w:val="21"/>
          <w:szCs w:val="21"/>
        </w:rPr>
        <w:t>”</w:t>
      </w:r>
      <w:r>
        <w:rPr>
          <w:rFonts w:ascii="宋体" w:hAnsi="宋体" w:cs="宋体" w:eastAsia="宋体" w:hint="default"/>
          <w:sz w:val="21"/>
          <w:szCs w:val="21"/>
        </w:rPr>
        <w:t>）为</w:t>
      </w:r>
      <w:r>
        <w:rPr>
          <w:rFonts w:ascii="宋体" w:hAnsi="宋体" w:cs="宋体" w:eastAsia="宋体" w:hint="default"/>
          <w:spacing w:val="-6"/>
          <w:sz w:val="21"/>
          <w:szCs w:val="21"/>
        </w:rPr>
        <w:t> </w:t>
      </w:r>
      <w:r>
        <w:rPr>
          <w:rFonts w:ascii="宋体" w:hAnsi="宋体" w:cs="宋体" w:eastAsia="宋体" w:hint="default"/>
          <w:sz w:val="21"/>
          <w:szCs w:val="21"/>
        </w:rPr>
        <w:t>投资主体，与</w:t>
      </w:r>
      <w:r>
        <w:rPr>
          <w:rFonts w:ascii="Times New Roman" w:hAnsi="Times New Roman" w:cs="Times New Roman" w:eastAsia="Times New Roman" w:hint="default"/>
          <w:sz w:val="21"/>
          <w:szCs w:val="21"/>
        </w:rPr>
        <w:t>xiaoairen technology limited</w:t>
      </w:r>
      <w:r>
        <w:rPr>
          <w:rFonts w:ascii="宋体" w:hAnsi="宋体" w:cs="宋体" w:eastAsia="宋体" w:hint="default"/>
          <w:sz w:val="21"/>
          <w:szCs w:val="21"/>
        </w:rPr>
        <w:t>签署了投资协议，根据协议， </w:t>
      </w:r>
      <w:r>
        <w:rPr>
          <w:rFonts w:ascii="Times New Roman" w:hAnsi="Times New Roman" w:cs="Times New Roman" w:eastAsia="Times New Roman" w:hint="default"/>
          <w:sz w:val="21"/>
          <w:szCs w:val="21"/>
        </w:rPr>
        <w:t>Kunlun Korea Co.,</w:t>
      </w:r>
      <w:r>
        <w:rPr>
          <w:rFonts w:ascii="Times New Roman" w:hAnsi="Times New Roman" w:cs="Times New Roman" w:eastAsia="Times New Roman" w:hint="default"/>
          <w:spacing w:val="-31"/>
          <w:sz w:val="21"/>
          <w:szCs w:val="21"/>
        </w:rPr>
        <w:t> </w:t>
      </w:r>
      <w:r>
        <w:rPr>
          <w:rFonts w:ascii="Times New Roman" w:hAnsi="Times New Roman" w:cs="Times New Roman" w:eastAsia="Times New Roman" w:hint="default"/>
          <w:sz w:val="21"/>
          <w:szCs w:val="21"/>
        </w:rPr>
        <w:t>LTD</w:t>
      </w:r>
      <w:r>
        <w:rPr>
          <w:rFonts w:ascii="宋体" w:hAnsi="宋体" w:cs="宋体" w:eastAsia="宋体" w:hint="default"/>
          <w:sz w:val="21"/>
          <w:szCs w:val="21"/>
        </w:rPr>
        <w:t>向</w:t>
      </w:r>
      <w:r>
        <w:rPr>
          <w:rFonts w:ascii="Times New Roman" w:hAnsi="Times New Roman" w:cs="Times New Roman" w:eastAsia="Times New Roman" w:hint="default"/>
          <w:sz w:val="21"/>
          <w:szCs w:val="21"/>
        </w:rPr>
        <w:t>xiaoairen technology</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limited</w:t>
      </w:r>
      <w:r>
        <w:rPr>
          <w:rFonts w:ascii="宋体" w:hAnsi="宋体" w:cs="宋体" w:eastAsia="宋体" w:hint="default"/>
          <w:sz w:val="21"/>
          <w:szCs w:val="21"/>
        </w:rPr>
        <w:t>投资</w:t>
      </w:r>
      <w:r>
        <w:rPr>
          <w:rFonts w:ascii="Times New Roman" w:hAnsi="Times New Roman" w:cs="Times New Roman" w:eastAsia="Times New Roman" w:hint="default"/>
          <w:sz w:val="21"/>
          <w:szCs w:val="21"/>
        </w:rPr>
        <w:t>600</w:t>
      </w:r>
      <w:r>
        <w:rPr>
          <w:rFonts w:ascii="宋体" w:hAnsi="宋体" w:cs="宋体" w:eastAsia="宋体" w:hint="default"/>
          <w:sz w:val="21"/>
          <w:szCs w:val="21"/>
        </w:rPr>
        <w:t>万美元，以取得其</w:t>
      </w:r>
      <w:r>
        <w:rPr>
          <w:rFonts w:ascii="Times New Roman" w:hAnsi="Times New Roman" w:cs="Times New Roman" w:eastAsia="Times New Roman" w:hint="default"/>
          <w:sz w:val="21"/>
          <w:szCs w:val="21"/>
        </w:rPr>
        <w:t>12.67%</w:t>
      </w:r>
      <w:r>
        <w:rPr>
          <w:rFonts w:ascii="宋体" w:hAnsi="宋体" w:cs="宋体" w:eastAsia="宋体" w:hint="default"/>
          <w:sz w:val="21"/>
          <w:szCs w:val="21"/>
        </w:rPr>
        <w:t>的股权。截止</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日，实际出资</w:t>
      </w:r>
      <w:r>
        <w:rPr>
          <w:rFonts w:ascii="Times New Roman" w:hAnsi="Times New Roman" w:cs="Times New Roman" w:eastAsia="Times New Roman" w:hint="default"/>
          <w:sz w:val="21"/>
          <w:szCs w:val="21"/>
        </w:rPr>
        <w:t>2,000.00</w:t>
      </w:r>
      <w:r>
        <w:rPr>
          <w:rFonts w:ascii="宋体" w:hAnsi="宋体" w:cs="宋体" w:eastAsia="宋体" w:hint="default"/>
          <w:sz w:val="21"/>
          <w:szCs w:val="21"/>
        </w:rPr>
        <w:t>万人 民币，该股权尚未交割完成。</w:t>
      </w:r>
    </w:p>
    <w:p>
      <w:pPr>
        <w:spacing w:after="0" w:line="256" w:lineRule="auto"/>
        <w:jc w:val="left"/>
        <w:rPr>
          <w:rFonts w:ascii="宋体" w:hAnsi="宋体" w:cs="宋体" w:eastAsia="宋体" w:hint="default"/>
          <w:sz w:val="21"/>
          <w:szCs w:val="21"/>
        </w:rPr>
        <w:sectPr>
          <w:pgSz w:w="11910" w:h="16840"/>
          <w:pgMar w:header="747" w:footer="979" w:top="1060" w:bottom="1160" w:left="980" w:right="92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31</w:t>
      </w:r>
      <w:r>
        <w:rPr>
          <w:rFonts w:ascii="Microsoft JhengHei" w:hAnsi="Microsoft JhengHei" w:cs="Microsoft JhengHei" w:eastAsia="Microsoft JhengHei" w:hint="default"/>
          <w:b/>
          <w:bCs/>
          <w:sz w:val="21"/>
          <w:szCs w:val="21"/>
        </w:rPr>
        <w:t>、短期借款</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）短期借款分类</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207,823,862.19</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247,823,862.19</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短期借款分类的说明：</w:t>
      </w:r>
    </w:p>
    <w:p>
      <w:pPr>
        <w:spacing w:line="240" w:lineRule="auto" w:before="6"/>
        <w:rPr>
          <w:rFonts w:ascii="宋体" w:hAnsi="宋体" w:cs="宋体" w:eastAsia="宋体" w:hint="default"/>
          <w:sz w:val="13"/>
          <w:szCs w:val="13"/>
        </w:rPr>
      </w:pPr>
    </w:p>
    <w:p>
      <w:pPr>
        <w:pStyle w:val="BodyText"/>
        <w:spacing w:line="312" w:lineRule="exact"/>
        <w:ind w:right="150" w:firstLine="480"/>
        <w:jc w:val="both"/>
      </w:pPr>
      <w:r>
        <w:rPr/>
        <w:t>注</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日北京昆仑在线网络科技有限公司与北京银行股份有限公司阜成支行 </w:t>
      </w:r>
      <w:r>
        <w:rPr>
          <w:spacing w:val="-2"/>
        </w:rPr>
        <w:t>基于</w:t>
      </w:r>
      <w:r>
        <w:rPr>
          <w:rFonts w:ascii="Times New Roman" w:hAnsi="Times New Roman" w:cs="Times New Roman" w:eastAsia="Times New Roman" w:hint="default"/>
          <w:spacing w:val="-2"/>
        </w:rPr>
        <w:t>0287140</w:t>
      </w:r>
      <w:r>
        <w:rPr>
          <w:spacing w:val="-2"/>
        </w:rPr>
        <w:t>的《综合授信合同》签订了</w:t>
      </w:r>
      <w:r>
        <w:rPr>
          <w:rFonts w:ascii="Times New Roman" w:hAnsi="Times New Roman" w:cs="Times New Roman" w:eastAsia="Times New Roman" w:hint="default"/>
          <w:spacing w:val="-2"/>
        </w:rPr>
        <w:t>0288105</w:t>
      </w:r>
      <w:r>
        <w:rPr>
          <w:spacing w:val="-2"/>
        </w:rPr>
        <w:t>号借款合同，借款金额为</w:t>
      </w:r>
      <w:r>
        <w:rPr>
          <w:rFonts w:ascii="Times New Roman" w:hAnsi="Times New Roman" w:cs="Times New Roman" w:eastAsia="Times New Roman" w:hint="default"/>
          <w:spacing w:val="-2"/>
        </w:rPr>
        <w:t>500</w:t>
      </w:r>
      <w:r>
        <w:rPr>
          <w:spacing w:val="-2"/>
        </w:rPr>
        <w:t>万元，借款期限</w:t>
      </w:r>
      <w:r>
        <w:rPr>
          <w:spacing w:val="-106"/>
        </w:rPr>
        <w:t> </w:t>
      </w:r>
      <w:r>
        <w:rPr>
          <w:spacing w:val="-106"/>
        </w:rPr>
      </w:r>
      <w:r>
        <w:rPr/>
        <w:t>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日，采取以提款日同期基准利率为基础上浮</w:t>
      </w:r>
      <w:r>
        <w:rPr>
          <w:rFonts w:ascii="Times New Roman" w:hAnsi="Times New Roman" w:cs="Times New Roman" w:eastAsia="Times New Roman" w:hint="default"/>
        </w:rPr>
        <w:t>10%</w:t>
      </w:r>
      <w:r>
        <w:rPr/>
        <w:t>后的利率。 </w:t>
      </w:r>
      <w:r>
        <w:rPr>
          <w:spacing w:val="-1"/>
        </w:rPr>
        <w:t>同时签订了编号为</w:t>
      </w:r>
      <w:r>
        <w:rPr>
          <w:rFonts w:ascii="Times New Roman" w:hAnsi="Times New Roman" w:cs="Times New Roman" w:eastAsia="Times New Roman" w:hint="default"/>
          <w:spacing w:val="-1"/>
        </w:rPr>
        <w:t>0287140-001</w:t>
      </w:r>
      <w:r>
        <w:rPr>
          <w:spacing w:val="-1"/>
        </w:rPr>
        <w:t>号《最高额保证合同》，北京昆仑万维科技股份有限公司作为</w:t>
      </w:r>
      <w:r>
        <w:rPr>
          <w:spacing w:val="-118"/>
        </w:rPr>
        <w:t> </w:t>
      </w:r>
      <w:r>
        <w:rPr>
          <w:spacing w:val="-118"/>
        </w:rPr>
      </w:r>
      <w:r>
        <w:rPr/>
        <w:t>保证人。</w:t>
      </w:r>
    </w:p>
    <w:p>
      <w:pPr>
        <w:pStyle w:val="BodyText"/>
        <w:spacing w:line="225" w:lineRule="auto" w:before="106"/>
        <w:ind w:right="150" w:firstLine="480"/>
        <w:jc w:val="both"/>
      </w:pPr>
      <w:r>
        <w:rPr>
          <w:spacing w:val="-2"/>
        </w:rPr>
        <w:t>注</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w:t>
      </w:r>
      <w:r>
        <w:rPr>
          <w:spacing w:val="-2"/>
        </w:rPr>
        <w:t>日北京昆仑在线网络科技有限公司与北京银行股份有限公司阜成支行基</w:t>
      </w:r>
      <w:r>
        <w:rPr/>
        <w:t> </w:t>
      </w:r>
      <w:r>
        <w:rPr>
          <w:spacing w:val="-2"/>
        </w:rPr>
        <w:t>于</w:t>
      </w:r>
      <w:r>
        <w:rPr>
          <w:rFonts w:ascii="Times New Roman" w:hAnsi="Times New Roman" w:cs="Times New Roman" w:eastAsia="Times New Roman" w:hint="default"/>
          <w:spacing w:val="-2"/>
        </w:rPr>
        <w:t>0287140</w:t>
      </w:r>
      <w:r>
        <w:rPr>
          <w:spacing w:val="-2"/>
        </w:rPr>
        <w:t>的《综合授信合同》签订了</w:t>
      </w:r>
      <w:r>
        <w:rPr>
          <w:rFonts w:ascii="Times New Roman" w:hAnsi="Times New Roman" w:cs="Times New Roman" w:eastAsia="Times New Roman" w:hint="default"/>
          <w:spacing w:val="-2"/>
        </w:rPr>
        <w:t>0288209</w:t>
      </w:r>
      <w:r>
        <w:rPr>
          <w:spacing w:val="-2"/>
        </w:rPr>
        <w:t>号借款合同，借款金额为</w:t>
      </w:r>
      <w:r>
        <w:rPr>
          <w:rFonts w:ascii="Times New Roman" w:hAnsi="Times New Roman" w:cs="Times New Roman" w:eastAsia="Times New Roman" w:hint="default"/>
          <w:spacing w:val="-2"/>
        </w:rPr>
        <w:t>500</w:t>
      </w:r>
      <w:r>
        <w:rPr>
          <w:spacing w:val="-2"/>
        </w:rPr>
        <w:t>万元，借款期限自</w:t>
      </w:r>
      <w:r>
        <w:rPr>
          <w:spacing w:val="-106"/>
        </w:rPr>
        <w:t> </w:t>
      </w:r>
      <w:r>
        <w:rPr>
          <w:spacing w:val="-106"/>
        </w:rPr>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日，采取以提款日同期基准利率为基础上浮</w:t>
      </w:r>
      <w:r>
        <w:rPr>
          <w:rFonts w:ascii="Times New Roman" w:hAnsi="Times New Roman" w:cs="Times New Roman" w:eastAsia="Times New Roman" w:hint="default"/>
        </w:rPr>
        <w:t>10%</w:t>
      </w:r>
      <w:r>
        <w:rPr/>
        <w:t>后的利率。同时 </w:t>
      </w:r>
      <w:r>
        <w:rPr>
          <w:spacing w:val="-1"/>
        </w:rPr>
        <w:t>签订了编号为</w:t>
      </w:r>
      <w:r>
        <w:rPr>
          <w:rFonts w:ascii="Times New Roman" w:hAnsi="Times New Roman" w:cs="Times New Roman" w:eastAsia="Times New Roman" w:hint="default"/>
          <w:spacing w:val="-1"/>
        </w:rPr>
        <w:t>0287140-001</w:t>
      </w:r>
      <w:r>
        <w:rPr>
          <w:spacing w:val="-1"/>
        </w:rPr>
        <w:t>号《最高额保证合同》，北京昆仑万维科技股份有限公司作为保证</w:t>
      </w:r>
      <w:r>
        <w:rPr/>
        <w:t> 人。</w:t>
      </w:r>
    </w:p>
    <w:p>
      <w:pPr>
        <w:pStyle w:val="BodyText"/>
        <w:spacing w:line="312" w:lineRule="exact" w:before="150"/>
        <w:ind w:right="150" w:firstLine="480"/>
        <w:jc w:val="left"/>
      </w:pPr>
      <w:r>
        <w:rPr/>
        <w:t>注</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日北京昆仑在线网络科技有限公司与江苏银行股份有限公司北京中关 </w:t>
      </w:r>
      <w:r>
        <w:rPr>
          <w:spacing w:val="-2"/>
        </w:rPr>
        <w:t>村支行基于</w:t>
      </w:r>
      <w:r>
        <w:rPr>
          <w:rFonts w:ascii="Times New Roman" w:hAnsi="Times New Roman" w:cs="Times New Roman" w:eastAsia="Times New Roman" w:hint="default"/>
          <w:spacing w:val="-2"/>
        </w:rPr>
        <w:t>323015CF006</w:t>
      </w:r>
      <w:r>
        <w:rPr>
          <w:spacing w:val="-2"/>
        </w:rPr>
        <w:t>的《最高额综合授信合同》签订了</w:t>
      </w:r>
      <w:r>
        <w:rPr>
          <w:rFonts w:ascii="Times New Roman" w:hAnsi="Times New Roman" w:cs="Times New Roman" w:eastAsia="Times New Roman" w:hint="default"/>
          <w:spacing w:val="-2"/>
        </w:rPr>
        <w:t>323015CF006-001JK</w:t>
      </w:r>
      <w:r>
        <w:rPr>
          <w:spacing w:val="-2"/>
        </w:rPr>
        <w:t>流动资金借款</w:t>
      </w:r>
      <w:r>
        <w:rPr>
          <w:spacing w:val="-72"/>
        </w:rPr>
        <w:t> </w:t>
      </w:r>
      <w:r>
        <w:rPr/>
        <w:t>合同，借款金额为</w:t>
      </w:r>
      <w:r>
        <w:rPr>
          <w:rFonts w:ascii="Times New Roman" w:hAnsi="Times New Roman" w:cs="Times New Roman" w:eastAsia="Times New Roman" w:hint="default"/>
        </w:rPr>
        <w:t>500.00</w:t>
      </w:r>
      <w:r>
        <w:rPr/>
        <w:t>万元，借款期限自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日，执行年利率 </w:t>
      </w:r>
      <w:r>
        <w:rPr>
          <w:rFonts w:ascii="Times New Roman" w:hAnsi="Times New Roman" w:cs="Times New Roman" w:eastAsia="Times New Roman" w:hint="default"/>
          <w:spacing w:val="-2"/>
        </w:rPr>
        <w:t>4.85%</w:t>
      </w:r>
      <w:r>
        <w:rPr>
          <w:spacing w:val="-2"/>
        </w:rPr>
        <w:t>。同时签订了</w:t>
      </w:r>
      <w:r>
        <w:rPr>
          <w:rFonts w:ascii="Times New Roman" w:hAnsi="Times New Roman" w:cs="Times New Roman" w:eastAsia="Times New Roman" w:hint="default"/>
          <w:spacing w:val="-2"/>
        </w:rPr>
        <w:t>323015CF006-001BZ</w:t>
      </w:r>
      <w:r>
        <w:rPr>
          <w:spacing w:val="-2"/>
        </w:rPr>
        <w:t>《最高额保证合同》，北京昆仑万维科技股份有限公</w:t>
      </w:r>
      <w:r>
        <w:rPr>
          <w:spacing w:val="-83"/>
        </w:rPr>
        <w:t> </w:t>
      </w:r>
      <w:r>
        <w:rPr>
          <w:spacing w:val="-83"/>
        </w:rPr>
      </w:r>
      <w:r>
        <w:rPr/>
        <w:t>司作为保证人。</w:t>
      </w:r>
    </w:p>
    <w:p>
      <w:pPr>
        <w:pStyle w:val="BodyText"/>
        <w:spacing w:line="312" w:lineRule="exact" w:before="120"/>
        <w:ind w:right="150" w:firstLine="480"/>
        <w:jc w:val="both"/>
      </w:pPr>
      <w:r>
        <w:rPr/>
        <w:t>注</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日北京昆仑乐享网络技术有限公司与北京银行股份有限公司阜成支行 </w:t>
      </w:r>
      <w:r>
        <w:rPr>
          <w:spacing w:val="-2"/>
        </w:rPr>
        <w:t>基于</w:t>
      </w:r>
      <w:r>
        <w:rPr>
          <w:rFonts w:ascii="Times New Roman" w:hAnsi="Times New Roman" w:cs="Times New Roman" w:eastAsia="Times New Roman" w:hint="default"/>
          <w:spacing w:val="-2"/>
        </w:rPr>
        <w:t>0287138</w:t>
      </w:r>
      <w:r>
        <w:rPr>
          <w:spacing w:val="-2"/>
        </w:rPr>
        <w:t>的《综合授信合同》签订了</w:t>
      </w:r>
      <w:r>
        <w:rPr>
          <w:rFonts w:ascii="Times New Roman" w:hAnsi="Times New Roman" w:cs="Times New Roman" w:eastAsia="Times New Roman" w:hint="default"/>
          <w:spacing w:val="-2"/>
        </w:rPr>
        <w:t>0288114</w:t>
      </w:r>
      <w:r>
        <w:rPr>
          <w:spacing w:val="-2"/>
        </w:rPr>
        <w:t>号借款合同，借款金额为</w:t>
      </w:r>
      <w:r>
        <w:rPr>
          <w:rFonts w:ascii="Times New Roman" w:hAnsi="Times New Roman" w:cs="Times New Roman" w:eastAsia="Times New Roman" w:hint="default"/>
          <w:spacing w:val="-2"/>
        </w:rPr>
        <w:t>500</w:t>
      </w:r>
      <w:r>
        <w:rPr>
          <w:spacing w:val="-2"/>
        </w:rPr>
        <w:t>万元，借款期限</w:t>
      </w:r>
      <w:r>
        <w:rPr>
          <w:spacing w:val="-106"/>
        </w:rPr>
        <w:t> </w:t>
      </w:r>
      <w:r>
        <w:rPr>
          <w:spacing w:val="-106"/>
        </w:rPr>
      </w:r>
      <w:r>
        <w:rPr/>
        <w:t>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日，采取以提款日同期基准利率为基础上浮</w:t>
      </w:r>
      <w:r>
        <w:rPr>
          <w:rFonts w:ascii="Times New Roman" w:hAnsi="Times New Roman" w:cs="Times New Roman" w:eastAsia="Times New Roman" w:hint="default"/>
        </w:rPr>
        <w:t>10%</w:t>
      </w:r>
      <w:r>
        <w:rPr/>
        <w:t>后的利率。 </w:t>
      </w:r>
      <w:r>
        <w:rPr>
          <w:spacing w:val="-1"/>
        </w:rPr>
        <w:t>同时签订了编号为</w:t>
      </w:r>
      <w:r>
        <w:rPr>
          <w:rFonts w:ascii="Times New Roman" w:hAnsi="Times New Roman" w:cs="Times New Roman" w:eastAsia="Times New Roman" w:hint="default"/>
          <w:spacing w:val="-1"/>
        </w:rPr>
        <w:t>0287138-001</w:t>
      </w:r>
      <w:r>
        <w:rPr>
          <w:spacing w:val="-1"/>
        </w:rPr>
        <w:t>号《最高额保证合同》，北京昆仑万维科技股份有限公司作为</w:t>
      </w:r>
      <w:r>
        <w:rPr>
          <w:spacing w:val="-118"/>
        </w:rPr>
        <w:t> </w:t>
      </w:r>
      <w:r>
        <w:rPr>
          <w:spacing w:val="-118"/>
        </w:rPr>
      </w:r>
      <w:r>
        <w:rPr/>
        <w:t>保证人。</w:t>
      </w:r>
    </w:p>
    <w:p>
      <w:pPr>
        <w:pStyle w:val="BodyText"/>
        <w:spacing w:line="312" w:lineRule="exact" w:before="120"/>
        <w:ind w:right="150" w:firstLine="480"/>
        <w:jc w:val="left"/>
      </w:pPr>
      <w:r>
        <w:rPr/>
        <w:t>注</w:t>
      </w:r>
      <w:r>
        <w:rPr>
          <w:rFonts w:ascii="Times New Roman" w:hAnsi="Times New Roman" w:cs="Times New Roman" w:eastAsia="Times New Roman" w:hint="default"/>
        </w:rPr>
        <w:t>5</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12</w:t>
      </w:r>
      <w:r>
        <w:rPr/>
        <w:t>日北京昆仑乐享网络技术有限公司与江苏银行股份有限公司北京中关 </w:t>
      </w:r>
      <w:r>
        <w:rPr>
          <w:spacing w:val="-2"/>
        </w:rPr>
        <w:t>村支行基于</w:t>
      </w:r>
      <w:r>
        <w:rPr>
          <w:rFonts w:ascii="Times New Roman" w:hAnsi="Times New Roman" w:cs="Times New Roman" w:eastAsia="Times New Roman" w:hint="default"/>
          <w:spacing w:val="-2"/>
        </w:rPr>
        <w:t>323015CF005</w:t>
      </w:r>
      <w:r>
        <w:rPr>
          <w:spacing w:val="-2"/>
        </w:rPr>
        <w:t>的《最高额综合授信合同》签订了</w:t>
      </w:r>
      <w:r>
        <w:rPr>
          <w:rFonts w:ascii="Times New Roman" w:hAnsi="Times New Roman" w:cs="Times New Roman" w:eastAsia="Times New Roman" w:hint="default"/>
          <w:spacing w:val="-2"/>
        </w:rPr>
        <w:t>323015CF005-001JK</w:t>
      </w:r>
      <w:r>
        <w:rPr>
          <w:spacing w:val="-2"/>
        </w:rPr>
        <w:t>流动资金借款</w:t>
      </w:r>
      <w:r>
        <w:rPr>
          <w:spacing w:val="-72"/>
        </w:rPr>
        <w:t> </w:t>
      </w:r>
      <w:r>
        <w:rPr/>
        <w:t>合同，借款金额为</w:t>
      </w:r>
      <w:r>
        <w:rPr>
          <w:rFonts w:ascii="Times New Roman" w:hAnsi="Times New Roman" w:cs="Times New Roman" w:eastAsia="Times New Roman" w:hint="default"/>
        </w:rPr>
        <w:t>1,500.00</w:t>
      </w:r>
      <w:r>
        <w:rPr/>
        <w:t>万元，借款期限自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12</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12</w:t>
      </w:r>
      <w:r>
        <w:rPr/>
        <w:t>日，执行年利率 </w:t>
      </w:r>
      <w:r>
        <w:rPr>
          <w:rFonts w:ascii="Times New Roman" w:hAnsi="Times New Roman" w:cs="Times New Roman" w:eastAsia="Times New Roman" w:hint="default"/>
          <w:spacing w:val="-2"/>
        </w:rPr>
        <w:t>4.85%</w:t>
      </w:r>
      <w:r>
        <w:rPr>
          <w:spacing w:val="-2"/>
        </w:rPr>
        <w:t>。同时签订了</w:t>
      </w:r>
      <w:r>
        <w:rPr>
          <w:rFonts w:ascii="Times New Roman" w:hAnsi="Times New Roman" w:cs="Times New Roman" w:eastAsia="Times New Roman" w:hint="default"/>
          <w:spacing w:val="-2"/>
        </w:rPr>
        <w:t>323015CF005-001BZ</w:t>
      </w:r>
      <w:r>
        <w:rPr>
          <w:spacing w:val="-2"/>
        </w:rPr>
        <w:t>《最高额保证合同》，北京昆仑万维科技股份有限公</w:t>
      </w:r>
      <w:r>
        <w:rPr>
          <w:spacing w:val="-83"/>
        </w:rPr>
        <w:t> </w:t>
      </w:r>
      <w:r>
        <w:rPr>
          <w:spacing w:val="-83"/>
        </w:rPr>
      </w:r>
      <w:r>
        <w:rPr/>
        <w:t>司作为保证人。</w:t>
      </w:r>
    </w:p>
    <w:p>
      <w:pPr>
        <w:pStyle w:val="BodyText"/>
        <w:spacing w:line="225" w:lineRule="auto" w:before="106"/>
        <w:ind w:right="150" w:firstLine="480"/>
        <w:jc w:val="both"/>
      </w:pPr>
      <w:r>
        <w:rPr>
          <w:spacing w:val="-2"/>
        </w:rPr>
        <w:t>注</w:t>
      </w:r>
      <w:r>
        <w:rPr>
          <w:rFonts w:ascii="Times New Roman" w:hAnsi="Times New Roman" w:cs="Times New Roman" w:eastAsia="Times New Roman" w:hint="default"/>
          <w:spacing w:val="-2"/>
        </w:rPr>
        <w:t>6</w:t>
      </w:r>
      <w:r>
        <w:rPr>
          <w:spacing w:val="-2"/>
        </w:rPr>
        <w:t>：</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w:t>
      </w:r>
      <w:r>
        <w:rPr>
          <w:spacing w:val="-2"/>
        </w:rPr>
        <w:t>日北京昆仑乐享网络技术有限公司与北京银行股份有限公司阜成支行基</w:t>
      </w:r>
      <w:r>
        <w:rPr/>
        <w:t> </w:t>
      </w:r>
      <w:r>
        <w:rPr>
          <w:spacing w:val="-2"/>
        </w:rPr>
        <w:t>于</w:t>
      </w:r>
      <w:r>
        <w:rPr>
          <w:rFonts w:ascii="Times New Roman" w:hAnsi="Times New Roman" w:cs="Times New Roman" w:eastAsia="Times New Roman" w:hint="default"/>
          <w:spacing w:val="-2"/>
        </w:rPr>
        <w:t>0287138</w:t>
      </w:r>
      <w:r>
        <w:rPr>
          <w:spacing w:val="-2"/>
        </w:rPr>
        <w:t>的《综合授信合同》签订了</w:t>
      </w:r>
      <w:r>
        <w:rPr>
          <w:rFonts w:ascii="Times New Roman" w:hAnsi="Times New Roman" w:cs="Times New Roman" w:eastAsia="Times New Roman" w:hint="default"/>
          <w:spacing w:val="-2"/>
        </w:rPr>
        <w:t>0288211</w:t>
      </w:r>
      <w:r>
        <w:rPr>
          <w:spacing w:val="-2"/>
        </w:rPr>
        <w:t>号借款合同，借款金额为</w:t>
      </w:r>
      <w:r>
        <w:rPr>
          <w:rFonts w:ascii="Times New Roman" w:hAnsi="Times New Roman" w:cs="Times New Roman" w:eastAsia="Times New Roman" w:hint="default"/>
          <w:spacing w:val="-2"/>
        </w:rPr>
        <w:t>500</w:t>
      </w:r>
      <w:r>
        <w:rPr>
          <w:spacing w:val="-2"/>
        </w:rPr>
        <w:t>万元，借款期限自</w:t>
      </w:r>
      <w:r>
        <w:rPr>
          <w:spacing w:val="-106"/>
        </w:rPr>
        <w:t> </w:t>
      </w:r>
      <w:r>
        <w:rPr>
          <w:spacing w:val="-106"/>
        </w:rPr>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日，采取以提款日同期基准利率为基础上浮</w:t>
      </w:r>
      <w:r>
        <w:rPr>
          <w:rFonts w:ascii="Times New Roman" w:hAnsi="Times New Roman" w:cs="Times New Roman" w:eastAsia="Times New Roman" w:hint="default"/>
        </w:rPr>
        <w:t>10%</w:t>
      </w:r>
      <w:r>
        <w:rPr/>
        <w:t>后的利率。同时 </w:t>
      </w:r>
      <w:r>
        <w:rPr>
          <w:spacing w:val="-1"/>
        </w:rPr>
        <w:t>签订了编号为</w:t>
      </w:r>
      <w:r>
        <w:rPr>
          <w:rFonts w:ascii="Times New Roman" w:hAnsi="Times New Roman" w:cs="Times New Roman" w:eastAsia="Times New Roman" w:hint="default"/>
          <w:spacing w:val="-1"/>
        </w:rPr>
        <w:t>0287138-001</w:t>
      </w:r>
      <w:r>
        <w:rPr>
          <w:spacing w:val="-1"/>
        </w:rPr>
        <w:t>号《最高额保证合同》，北京昆仑万维科技股份有限公司作为保证</w:t>
      </w:r>
      <w:r>
        <w:rPr/>
        <w:t> 人。</w:t>
      </w:r>
    </w:p>
    <w:p>
      <w:pPr>
        <w:spacing w:after="0" w:line="225" w:lineRule="auto"/>
        <w:jc w:val="both"/>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225" w:lineRule="auto" w:before="42"/>
        <w:ind w:right="150" w:firstLine="384"/>
        <w:jc w:val="both"/>
      </w:pPr>
      <w:r>
        <w:rPr>
          <w:spacing w:val="-3"/>
        </w:rPr>
        <w:t>注</w:t>
      </w:r>
      <w:r>
        <w:rPr>
          <w:rFonts w:ascii="Times New Roman" w:hAnsi="Times New Roman" w:cs="Times New Roman" w:eastAsia="Times New Roman" w:hint="default"/>
          <w:spacing w:val="-3"/>
        </w:rPr>
        <w:t>7</w:t>
      </w:r>
      <w:r>
        <w:rPr>
          <w:spacing w:val="-3"/>
        </w:rPr>
        <w:t>：</w:t>
      </w: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29</w:t>
      </w:r>
      <w:r>
        <w:rPr>
          <w:spacing w:val="-3"/>
        </w:rPr>
        <w:t>日昆仑集团有限公司与招商银行股份有限公司深圳分行签订了</w:t>
      </w:r>
      <w:r>
        <w:rPr>
          <w:rFonts w:ascii="Times New Roman" w:hAnsi="Times New Roman" w:cs="Times New Roman" w:eastAsia="Times New Roman" w:hint="default"/>
          <w:spacing w:val="-3"/>
        </w:rPr>
        <w:t>2015</w:t>
      </w:r>
      <w:r>
        <w:rPr>
          <w:spacing w:val="-3"/>
        </w:rPr>
        <w:t>离字</w:t>
      </w:r>
      <w:r>
        <w:rPr/>
        <w:t> </w:t>
      </w:r>
      <w:r>
        <w:rPr>
          <w:spacing w:val="-2"/>
        </w:rPr>
        <w:t>第</w:t>
      </w:r>
      <w:r>
        <w:rPr>
          <w:rFonts w:ascii="Times New Roman" w:hAnsi="Times New Roman" w:cs="Times New Roman" w:eastAsia="Times New Roman" w:hint="default"/>
          <w:spacing w:val="-2"/>
        </w:rPr>
        <w:t>060902</w:t>
      </w:r>
      <w:r>
        <w:rPr>
          <w:spacing w:val="-2"/>
        </w:rPr>
        <w:t>号《离岸授信协议》，借款金额为</w:t>
      </w:r>
      <w:r>
        <w:rPr>
          <w:rFonts w:ascii="Times New Roman" w:hAnsi="Times New Roman" w:cs="Times New Roman" w:eastAsia="Times New Roman" w:hint="default"/>
          <w:spacing w:val="-2"/>
        </w:rPr>
        <w:t>3200</w:t>
      </w:r>
      <w:r>
        <w:rPr>
          <w:spacing w:val="-2"/>
        </w:rPr>
        <w:t>万美元，借款期限为</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9</w:t>
      </w:r>
      <w:r>
        <w:rPr>
          <w:spacing w:val="-2"/>
        </w:rPr>
        <w:t>日至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5</w:t>
      </w:r>
      <w:r>
        <w:rPr>
          <w:rFonts w:ascii="Times New Roman" w:hAnsi="Times New Roman" w:cs="Times New Roman" w:eastAsia="Times New Roman" w:hint="default"/>
          <w:spacing w:val="-42"/>
        </w:rPr>
        <w:t> </w:t>
      </w:r>
      <w:r>
        <w:rPr/>
        <w:t>月</w:t>
      </w:r>
      <w:r>
        <w:rPr>
          <w:rFonts w:ascii="Times New Roman" w:hAnsi="Times New Roman" w:cs="Times New Roman" w:eastAsia="Times New Roman" w:hint="default"/>
        </w:rPr>
        <w:t>23</w:t>
      </w:r>
      <w:r>
        <w:rPr/>
        <w:t>日，由北京昆仑万维科技股份有限公司向招商银行股份有限公司深圳分行存入</w:t>
      </w:r>
      <w:r>
        <w:rPr>
          <w:rFonts w:ascii="Times New Roman" w:hAnsi="Times New Roman" w:cs="Times New Roman" w:eastAsia="Times New Roman" w:hint="default"/>
        </w:rPr>
        <w:t>5300</w:t>
      </w:r>
      <w:r>
        <w:rPr/>
        <w:t>万元 的定期保证金。同时签订了编号为</w:t>
      </w:r>
      <w:r>
        <w:rPr>
          <w:rFonts w:ascii="Times New Roman" w:hAnsi="Times New Roman" w:cs="Times New Roman" w:eastAsia="Times New Roman" w:hint="default"/>
        </w:rPr>
        <w:t>5215760025</w:t>
      </w:r>
      <w:r>
        <w:rPr/>
        <w:t>号担保协议，招商银行股份有限公司深圳商务 支行作为保证人。</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）已逾期未偿还的短期借款情况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本期末已逾期未偿还的短期借款总额为元，其中重要的已逾期未偿还的短期借款情况如下：</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spacing w:line="357" w:lineRule="auto" w:before="51"/>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32</w:t>
      </w:r>
      <w:r>
        <w:rPr>
          <w:rFonts w:ascii="Microsoft JhengHei" w:hAnsi="Microsoft JhengHei" w:cs="Microsoft JhengHei" w:eastAsia="Microsoft JhengHei" w:hint="default"/>
          <w:b/>
          <w:bCs/>
          <w:sz w:val="21"/>
          <w:szCs w:val="21"/>
        </w:rPr>
        <w:t>、以公允价值计量且其变动计入当期损益的金融负债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33</w:t>
      </w:r>
      <w:r>
        <w:rPr>
          <w:rFonts w:ascii="Microsoft JhengHei" w:hAnsi="Microsoft JhengHei" w:cs="Microsoft JhengHei" w:eastAsia="Microsoft JhengHei" w:hint="default"/>
          <w:b/>
          <w:bCs/>
          <w:sz w:val="21"/>
          <w:szCs w:val="21"/>
        </w:rPr>
        <w:t>、衍生金融负债</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34</w:t>
      </w:r>
      <w:r>
        <w:rPr>
          <w:rFonts w:ascii="Microsoft JhengHei" w:hAnsi="Microsoft JhengHei" w:cs="Microsoft JhengHei" w:eastAsia="Microsoft JhengHei" w:hint="default"/>
          <w:b/>
          <w:bCs/>
          <w:sz w:val="21"/>
          <w:szCs w:val="21"/>
        </w:rPr>
        <w:t>、应付票据</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本期末已到期未支付的应付票据总额为元。</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35</w:t>
      </w:r>
      <w:r>
        <w:rPr>
          <w:rFonts w:ascii="Microsoft JhengHei" w:hAnsi="Microsoft JhengHei" w:cs="Microsoft JhengHei" w:eastAsia="Microsoft JhengHei" w:hint="default"/>
          <w:b/>
          <w:bCs/>
          <w:sz w:val="21"/>
          <w:szCs w:val="21"/>
        </w:rPr>
        <w:t>、应付账款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）应付账款列示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游戏授权金及分成款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238,937,642.55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158,074,755.07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市场推广款项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77,499,008.66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56,134,896.24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带宽、外包等款项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10,646,040.73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7,881,364.46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327,082,691.94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222,091,015.77</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）账龄超过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8"/>
          <w:sz w:val="21"/>
          <w:szCs w:val="21"/>
        </w:rPr>
        <w:t> </w:t>
      </w:r>
      <w:r>
        <w:rPr>
          <w:rFonts w:ascii="Microsoft JhengHei" w:hAnsi="Microsoft JhengHei" w:cs="Microsoft JhengHei" w:eastAsia="Microsoft JhengHei" w:hint="default"/>
          <w:b/>
          <w:bCs/>
          <w:sz w:val="21"/>
          <w:szCs w:val="21"/>
        </w:rPr>
        <w:t>年的重要应付账款</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357" w:lineRule="auto" w:before="52"/>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36</w:t>
      </w:r>
      <w:r>
        <w:rPr>
          <w:rFonts w:ascii="Microsoft JhengHei" w:hAnsi="Microsoft JhengHei" w:cs="Microsoft JhengHei" w:eastAsia="Microsoft JhengHei" w:hint="default"/>
          <w:b/>
          <w:bCs/>
          <w:sz w:val="21"/>
          <w:szCs w:val="21"/>
        </w:rPr>
        <w:t>、预收款项</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）预收款项列示</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预收游戏储值币款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153,917,562.03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168,343,394.80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点卡款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2,694,794.00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1,582,346.95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互联网产品款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244,964.74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131,201.03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房屋租金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1,332,037.19</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158,189,357.96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170,056,942.78</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）账龄超过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8"/>
          <w:sz w:val="21"/>
          <w:szCs w:val="21"/>
        </w:rPr>
        <w:t> </w:t>
      </w:r>
      <w:r>
        <w:rPr>
          <w:rFonts w:ascii="Microsoft JhengHei" w:hAnsi="Microsoft JhengHei" w:cs="Microsoft JhengHei" w:eastAsia="Microsoft JhengHei" w:hint="default"/>
          <w:b/>
          <w:bCs/>
          <w:sz w:val="21"/>
          <w:szCs w:val="21"/>
        </w:rPr>
        <w:t>年的重要预收款项</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）期末建造合同形成的已结算未完工项目情况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spacing w:line="357" w:lineRule="auto" w:before="52"/>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37</w:t>
      </w:r>
      <w:r>
        <w:rPr>
          <w:rFonts w:ascii="Microsoft JhengHei" w:hAnsi="Microsoft JhengHei" w:cs="Microsoft JhengHei" w:eastAsia="Microsoft JhengHei" w:hint="default"/>
          <w:b/>
          <w:bCs/>
          <w:sz w:val="21"/>
          <w:szCs w:val="21"/>
        </w:rPr>
        <w:t>、应付职工薪酬</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）应付职工薪酬列示</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69"/>
              <w:jc w:val="right"/>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97"/>
              <w:jc w:val="right"/>
              <w:rPr>
                <w:rFonts w:ascii="宋体" w:hAnsi="宋体" w:cs="宋体" w:eastAsia="宋体" w:hint="default"/>
                <w:sz w:val="18"/>
                <w:szCs w:val="18"/>
              </w:rPr>
            </w:pPr>
            <w:r>
              <w:rPr>
                <w:rFonts w:ascii="宋体" w:hAnsi="宋体" w:cs="宋体" w:eastAsia="宋体" w:hint="default"/>
                <w:sz w:val="18"/>
                <w:szCs w:val="18"/>
              </w:rPr>
              <w:t>一、短期薪酬</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24,218,757.44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154,965,402.23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159,234,793.25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19,949,366.42</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2,182,238.72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17,121,316.70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17,374,536.03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1,929,019.39</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691,251.89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273,058.47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418,193.42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9" w:right="0"/>
              <w:jc w:val="left"/>
              <w:rPr>
                <w:rFonts w:ascii="Times New Roman" w:hAnsi="Times New Roman" w:cs="Times New Roman" w:eastAsia="Times New Roman" w:hint="default"/>
                <w:sz w:val="18"/>
                <w:szCs w:val="18"/>
              </w:rPr>
            </w:pPr>
            <w:r>
              <w:rPr>
                <w:rFonts w:ascii="Times New Roman"/>
                <w:sz w:val="18"/>
              </w:rPr>
              <w:t>26,400,996.16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172,777,970.82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176,882,387.75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22,296,579.23</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）短期薪酬列示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23,329,476.92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137,228,648.71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141,326,493.90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19,231,631.73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8,818.31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150,063.46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147,969.15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10,912.62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847,774.82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8,974,496.09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9,141,946.15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680,324.76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754,365.53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7,966,269.16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8,109,839.69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610,795.00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38,852.21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423,646.52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433,648.03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28,850.70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54,557.08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584,580.41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598,458.43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40,679.06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32,687.39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8,612,193.97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8,618,384.05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26,497.31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24,218,757.44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154,965,402.23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159,234,793.25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19,949,366.42</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）设定提存计划列示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1,448,427.91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15,415,569.59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15,774,378.34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1,089,619.16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733,810.81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1,705,747.11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1,600,157.69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839,400.23</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2,182,238.72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17,121,316.70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17,374,536.03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1,929,019.39</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38</w:t>
      </w:r>
      <w:r>
        <w:rPr>
          <w:rFonts w:ascii="Microsoft JhengHei" w:hAnsi="Microsoft JhengHei" w:cs="Microsoft JhengHei" w:eastAsia="Microsoft JhengHei" w:hint="default"/>
          <w:b/>
          <w:bCs/>
          <w:sz w:val="21"/>
          <w:szCs w:val="21"/>
        </w:rPr>
        <w:t>、应交税费</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163,766.62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265,890.21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11,641,657.05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1,575,962.49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1,073,577.57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1,134,193.82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32,158.71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82,443.11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境外代扣代缴税金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28,922,691.70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21,515,623.70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22,970.52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58,887.95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增值税（</w:t>
            </w:r>
            <w:r>
              <w:rPr>
                <w:rFonts w:ascii="Times New Roman" w:hAnsi="Times New Roman" w:cs="Times New Roman" w:eastAsia="Times New Roman" w:hint="default"/>
                <w:spacing w:val="-6"/>
                <w:sz w:val="18"/>
                <w:szCs w:val="18"/>
              </w:rPr>
              <w:t>VAT</w:t>
            </w:r>
            <w:r>
              <w:rPr>
                <w:rFonts w:ascii="宋体" w:hAnsi="宋体" w:cs="宋体" w:eastAsia="宋体" w:hint="default"/>
                <w:spacing w:val="-6"/>
                <w:sz w:val="18"/>
                <w:szCs w:val="18"/>
              </w:rPr>
              <w:t>）</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2,638,218.08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5,155,191.64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文化建设事业费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402.90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1,383.40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64,438.73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居民税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7,864.51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14,939.00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住民税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6,184.84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381,100.90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堤防费</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11,055.30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44,509,492.50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30,261,110.25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39</w:t>
      </w:r>
      <w:r>
        <w:rPr>
          <w:rFonts w:ascii="Microsoft JhengHei" w:hAnsi="Microsoft JhengHei" w:cs="Microsoft JhengHei" w:eastAsia="Microsoft JhengHei" w:hint="default"/>
          <w:b/>
          <w:bCs/>
          <w:sz w:val="21"/>
          <w:szCs w:val="21"/>
        </w:rPr>
        <w:t>、应付利息</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199,511.24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199,511.24</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重要的已逾期未支付的利息情况：</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spacing w:line="357" w:lineRule="auto" w:before="52"/>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40</w:t>
      </w:r>
      <w:r>
        <w:rPr>
          <w:rFonts w:ascii="Microsoft JhengHei" w:hAnsi="Microsoft JhengHei" w:cs="Microsoft JhengHei" w:eastAsia="Microsoft JhengHei" w:hint="default"/>
          <w:b/>
          <w:bCs/>
          <w:sz w:val="21"/>
          <w:szCs w:val="21"/>
        </w:rPr>
        <w:t>、应付股利</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8,337,643.75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8,337,643.75</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其他说明，包括重要的超过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年未支付的应付股利，应披露未支付原因：</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41</w:t>
      </w:r>
      <w:r>
        <w:rPr>
          <w:rFonts w:ascii="Microsoft JhengHei" w:hAnsi="Microsoft JhengHei" w:cs="Microsoft JhengHei" w:eastAsia="Microsoft JhengHei" w:hint="default"/>
          <w:b/>
          <w:bCs/>
          <w:sz w:val="21"/>
          <w:szCs w:val="21"/>
        </w:rPr>
        <w:t>、其他应付款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）按款项性质列示其他应付款</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337,431.96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346,419.45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726,522.23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843,626.64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105,265,350.24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790,617.49</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快递费、保洁费、餐费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777,537.15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955,490.23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限制性股票回购义务确认负债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265,305,390.00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2,532,105.97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1,428,395.93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374,944,337.55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4,364,549.74</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）账龄超过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7"/>
          <w:sz w:val="21"/>
          <w:szCs w:val="21"/>
        </w:rPr>
        <w:t> </w:t>
      </w:r>
      <w:r>
        <w:rPr>
          <w:rFonts w:ascii="Microsoft JhengHei" w:hAnsi="Microsoft JhengHei" w:cs="Microsoft JhengHei" w:eastAsia="Microsoft JhengHei" w:hint="default"/>
          <w:b/>
          <w:bCs/>
          <w:sz w:val="21"/>
          <w:szCs w:val="21"/>
        </w:rPr>
        <w:t>年的重要其他应付款</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357" w:lineRule="auto" w:before="51"/>
        <w:ind w:left="154" w:right="905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42</w:t>
      </w:r>
      <w:r>
        <w:rPr>
          <w:rFonts w:ascii="Microsoft JhengHei" w:hAnsi="Microsoft JhengHei" w:cs="Microsoft JhengHei" w:eastAsia="Microsoft JhengHei" w:hint="default"/>
          <w:b/>
          <w:bCs/>
          <w:sz w:val="21"/>
          <w:szCs w:val="21"/>
        </w:rPr>
        <w:t>、划分为持有待售的负债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43</w:t>
      </w:r>
      <w:r>
        <w:rPr>
          <w:rFonts w:ascii="Microsoft JhengHei" w:hAnsi="Microsoft JhengHei" w:cs="Microsoft JhengHei" w:eastAsia="Microsoft JhengHei" w:hint="default"/>
          <w:b/>
          <w:bCs/>
          <w:sz w:val="21"/>
          <w:szCs w:val="21"/>
        </w:rPr>
        <w:t>、一年内到期的非流动负债</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44</w:t>
      </w:r>
      <w:r>
        <w:rPr>
          <w:rFonts w:ascii="Microsoft JhengHei" w:hAnsi="Microsoft JhengHei" w:cs="Microsoft JhengHei" w:eastAsia="Microsoft JhengHei" w:hint="default"/>
          <w:b/>
          <w:bCs/>
          <w:sz w:val="21"/>
          <w:szCs w:val="21"/>
        </w:rPr>
        <w:t>、其他流动负债</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短期应付债券的增减变动：</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债券期限</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本期发行</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3" w:right="32" w:hanging="90"/>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03" w:right="33" w:hanging="270"/>
              <w:jc w:val="left"/>
              <w:rPr>
                <w:rFonts w:ascii="宋体" w:hAnsi="宋体" w:cs="宋体" w:eastAsia="宋体" w:hint="default"/>
                <w:sz w:val="18"/>
                <w:szCs w:val="18"/>
              </w:rPr>
            </w:pPr>
            <w:r>
              <w:rPr>
                <w:rFonts w:ascii="宋体" w:hAnsi="宋体" w:cs="宋体" w:eastAsia="宋体" w:hint="default"/>
                <w:sz w:val="18"/>
                <w:szCs w:val="18"/>
              </w:rPr>
              <w:t>溢折价摊 销</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79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45</w:t>
      </w:r>
      <w:r>
        <w:rPr>
          <w:rFonts w:ascii="Microsoft JhengHei" w:hAnsi="Microsoft JhengHei" w:cs="Microsoft JhengHei" w:eastAsia="Microsoft JhengHei" w:hint="default"/>
          <w:b/>
          <w:bCs/>
          <w:sz w:val="21"/>
          <w:szCs w:val="21"/>
        </w:rPr>
        <w:t>、长期借款</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）长期借款分类</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13"/>
        <w:rPr>
          <w:rFonts w:ascii="宋体" w:hAnsi="宋体" w:cs="宋体" w:eastAsia="宋体" w:hint="default"/>
          <w:sz w:val="25"/>
          <w:szCs w:val="25"/>
        </w:rPr>
      </w:pPr>
    </w:p>
    <w:p>
      <w:pPr>
        <w:spacing w:line="357" w:lineRule="auto" w:before="44"/>
        <w:ind w:left="154" w:right="7612" w:firstLine="0"/>
        <w:jc w:val="left"/>
        <w:rPr>
          <w:rFonts w:ascii="宋体" w:hAnsi="宋体" w:cs="宋体" w:eastAsia="宋体" w:hint="default"/>
          <w:sz w:val="18"/>
          <w:szCs w:val="18"/>
        </w:rPr>
      </w:pPr>
      <w:r>
        <w:rPr>
          <w:rFonts w:ascii="宋体" w:hAnsi="宋体" w:cs="宋体" w:eastAsia="宋体" w:hint="default"/>
          <w:sz w:val="18"/>
          <w:szCs w:val="18"/>
        </w:rPr>
        <w:t>长期借款分类的说明： 其他说明，包括利率区间：</w:t>
      </w:r>
    </w:p>
    <w:p>
      <w:pPr>
        <w:spacing w:line="240" w:lineRule="auto" w:before="0"/>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46</w:t>
      </w:r>
      <w:r>
        <w:rPr>
          <w:rFonts w:ascii="Microsoft JhengHei" w:hAnsi="Microsoft JhengHei" w:cs="Microsoft JhengHei" w:eastAsia="Microsoft JhengHei" w:hint="default"/>
          <w:b/>
          <w:bCs/>
          <w:sz w:val="21"/>
          <w:szCs w:val="21"/>
        </w:rPr>
        <w:t>、应付债券</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）应付债券</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）应付债券的增减变动（不包括划分为金融负债的优先股、永续债等其他金融工具）</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2"/>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）可转换公司债券的转股条件、转股时间说明</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）划分为金融负债的其他金融工具说明</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pgSz w:w="11910" w:h="16840"/>
          <w:pgMar w:header="747" w:footer="979" w:top="1060" w:bottom="1160" w:left="980" w:right="980"/>
        </w:sectPr>
      </w:pPr>
    </w:p>
    <w:p>
      <w:pPr>
        <w:spacing w:line="360" w:lineRule="auto"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期末发行在外的优先股、永续债等其他金融工具基本情况 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655" w:space="4175"/>
            <w:col w:w="112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62"/>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6"/>
              <w:ind w:left="166" w:right="77" w:hanging="90"/>
              <w:jc w:val="left"/>
              <w:rPr>
                <w:rFonts w:ascii="宋体" w:hAnsi="宋体" w:cs="宋体" w:eastAsia="宋体" w:hint="default"/>
                <w:sz w:val="18"/>
                <w:szCs w:val="18"/>
              </w:rPr>
            </w:pPr>
            <w:r>
              <w:rPr>
                <w:rFonts w:ascii="宋体" w:hAnsi="宋体" w:cs="宋体" w:eastAsia="宋体" w:hint="default"/>
                <w:sz w:val="18"/>
                <w:szCs w:val="18"/>
              </w:rPr>
              <w:t>发行在外的 金融工具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3"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57" w:lineRule="auto" w:before="52"/>
        <w:ind w:left="154" w:right="6532" w:firstLine="0"/>
        <w:jc w:val="left"/>
        <w:rPr>
          <w:rFonts w:ascii="宋体" w:hAnsi="宋体" w:cs="宋体" w:eastAsia="宋体" w:hint="default"/>
          <w:sz w:val="18"/>
          <w:szCs w:val="18"/>
        </w:rPr>
      </w:pPr>
      <w:r>
        <w:rPr>
          <w:rFonts w:ascii="宋体" w:hAnsi="宋体" w:cs="宋体" w:eastAsia="宋体" w:hint="default"/>
          <w:sz w:val="18"/>
          <w:szCs w:val="18"/>
        </w:rPr>
        <w:t>其他金融工具划分为金融负债的依据说明 其他说明</w:t>
      </w:r>
    </w:p>
    <w:p>
      <w:pPr>
        <w:spacing w:line="240" w:lineRule="auto" w:before="13"/>
        <w:rPr>
          <w:rFonts w:ascii="宋体" w:hAnsi="宋体" w:cs="宋体" w:eastAsia="宋体" w:hint="default"/>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47</w:t>
      </w:r>
      <w:r>
        <w:rPr>
          <w:rFonts w:ascii="Microsoft JhengHei" w:hAnsi="Microsoft JhengHei" w:cs="Microsoft JhengHei" w:eastAsia="Microsoft JhengHei" w:hint="default"/>
          <w:b/>
          <w:bCs/>
          <w:sz w:val="21"/>
          <w:szCs w:val="21"/>
        </w:rPr>
        <w:t>、长期应付款</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）按款项性质列示长期应付款</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48</w:t>
      </w:r>
      <w:r>
        <w:rPr>
          <w:rFonts w:ascii="Microsoft JhengHei" w:hAnsi="Microsoft JhengHei" w:cs="Microsoft JhengHei" w:eastAsia="Microsoft JhengHei" w:hint="default"/>
          <w:b/>
          <w:bCs/>
          <w:sz w:val="21"/>
          <w:szCs w:val="21"/>
        </w:rPr>
        <w:t>、长期应付职工薪酬</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）长期应付职工薪酬表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）设定受益计划变动情况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设定受益计划义务现值：</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计划资产：</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设定受益计划净负债（净资产）</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357" w:lineRule="auto" w:before="52"/>
        <w:ind w:left="154" w:right="2572" w:firstLine="0"/>
        <w:jc w:val="left"/>
        <w:rPr>
          <w:rFonts w:ascii="宋体" w:hAnsi="宋体" w:cs="宋体" w:eastAsia="宋体" w:hint="default"/>
          <w:sz w:val="18"/>
          <w:szCs w:val="18"/>
        </w:rPr>
      </w:pPr>
      <w:r>
        <w:rPr>
          <w:rFonts w:ascii="宋体" w:hAnsi="宋体" w:cs="宋体" w:eastAsia="宋体" w:hint="default"/>
          <w:sz w:val="18"/>
          <w:szCs w:val="18"/>
        </w:rPr>
        <w:t>设定受益计划的内容及与之相关风险、对公司未来现金流量、时间和不确定性的影响说明： 设定受益计划重大精算假设及敏感性分析结果说明：</w:t>
      </w:r>
    </w:p>
    <w:p>
      <w:pPr>
        <w:spacing w:before="29"/>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49</w:t>
      </w:r>
      <w:r>
        <w:rPr>
          <w:rFonts w:ascii="Microsoft JhengHei" w:hAnsi="Microsoft JhengHei" w:cs="Microsoft JhengHei" w:eastAsia="Microsoft JhengHei" w:hint="default"/>
          <w:b/>
          <w:bCs/>
          <w:sz w:val="21"/>
          <w:szCs w:val="21"/>
        </w:rPr>
        <w:t>、专项应付款</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50</w:t>
      </w:r>
      <w:r>
        <w:rPr>
          <w:rFonts w:ascii="Microsoft JhengHei" w:hAnsi="Microsoft JhengHei" w:cs="Microsoft JhengHei" w:eastAsia="Microsoft JhengHei" w:hint="default"/>
          <w:b/>
          <w:bCs/>
          <w:sz w:val="21"/>
          <w:szCs w:val="21"/>
        </w:rPr>
        <w:t>、预计负债</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其他说明，包括重要预计负债的相关重要假设、估计说明：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51</w:t>
      </w:r>
      <w:r>
        <w:rPr>
          <w:rFonts w:ascii="Microsoft JhengHei" w:hAnsi="Microsoft JhengHei" w:cs="Microsoft JhengHei" w:eastAsia="Microsoft JhengHei" w:hint="default"/>
          <w:b/>
          <w:bCs/>
          <w:sz w:val="21"/>
          <w:szCs w:val="21"/>
        </w:rPr>
        <w:t>、递延收益</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1,496,250.00</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287,531.29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1,208,718.71</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预收游戏授权金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1,666,666.62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24,528,301.19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2,321,802.87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23,873,164.94</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3,162,916.62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24,528,301.19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2,609,334.16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25,081,883.65</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涉及政府补助的项目：</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9"/>
        <w:gridCol w:w="1367"/>
        <w:gridCol w:w="1367"/>
        <w:gridCol w:w="1368"/>
        <w:gridCol w:w="1367"/>
        <w:gridCol w:w="1367"/>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88" w:right="47" w:hanging="540"/>
              <w:jc w:val="left"/>
              <w:rPr>
                <w:rFonts w:ascii="宋体" w:hAnsi="宋体" w:cs="宋体" w:eastAsia="宋体" w:hint="default"/>
                <w:sz w:val="18"/>
                <w:szCs w:val="18"/>
              </w:rPr>
            </w:pPr>
            <w:r>
              <w:rPr>
                <w:rFonts w:ascii="宋体" w:hAnsi="宋体" w:cs="宋体" w:eastAsia="宋体" w:hint="default"/>
                <w:sz w:val="18"/>
                <w:szCs w:val="18"/>
              </w:rPr>
              <w:t>本期新增补助金 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本期计入营业外 收入金额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407" w:right="23" w:hanging="38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 益相关</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1" w:right="0"/>
              <w:jc w:val="left"/>
              <w:rPr>
                <w:rFonts w:ascii="Times New Roman" w:hAnsi="Times New Roman" w:cs="Times New Roman" w:eastAsia="Times New Roman" w:hint="default"/>
                <w:sz w:val="18"/>
                <w:szCs w:val="18"/>
              </w:rPr>
            </w:pPr>
            <w:r>
              <w:rPr>
                <w:rFonts w:ascii="Times New Roman"/>
                <w:sz w:val="18"/>
              </w:rPr>
              <w:t>1,496,250.00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4" w:right="0"/>
              <w:jc w:val="left"/>
              <w:rPr>
                <w:rFonts w:ascii="Times New Roman" w:hAnsi="Times New Roman" w:cs="Times New Roman" w:eastAsia="Times New Roman" w:hint="default"/>
                <w:sz w:val="18"/>
                <w:szCs w:val="18"/>
              </w:rPr>
            </w:pPr>
            <w:r>
              <w:rPr>
                <w:rFonts w:ascii="Times New Roman"/>
                <w:sz w:val="18"/>
              </w:rPr>
              <w:t>287,531.29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0" w:right="0"/>
              <w:jc w:val="left"/>
              <w:rPr>
                <w:rFonts w:ascii="Times New Roman" w:hAnsi="Times New Roman" w:cs="Times New Roman" w:eastAsia="Times New Roman" w:hint="default"/>
                <w:sz w:val="18"/>
                <w:szCs w:val="18"/>
              </w:rPr>
            </w:pPr>
            <w:r>
              <w:rPr>
                <w:rFonts w:ascii="Times New Roman"/>
                <w:sz w:val="18"/>
              </w:rPr>
              <w:t>1,208,718.71</w:t>
            </w: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9"/>
        <w:gridCol w:w="1367"/>
        <w:gridCol w:w="1367"/>
        <w:gridCol w:w="1368"/>
        <w:gridCol w:w="1367"/>
        <w:gridCol w:w="1367"/>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1" w:right="0"/>
              <w:jc w:val="left"/>
              <w:rPr>
                <w:rFonts w:ascii="Times New Roman" w:hAnsi="Times New Roman" w:cs="Times New Roman" w:eastAsia="Times New Roman" w:hint="default"/>
                <w:sz w:val="18"/>
                <w:szCs w:val="18"/>
              </w:rPr>
            </w:pPr>
            <w:r>
              <w:rPr>
                <w:rFonts w:ascii="Times New Roman"/>
                <w:sz w:val="18"/>
              </w:rPr>
              <w:t>1,496,250.00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4" w:right="0"/>
              <w:jc w:val="left"/>
              <w:rPr>
                <w:rFonts w:ascii="Times New Roman" w:hAnsi="Times New Roman" w:cs="Times New Roman" w:eastAsia="Times New Roman" w:hint="default"/>
                <w:sz w:val="18"/>
                <w:szCs w:val="18"/>
              </w:rPr>
            </w:pPr>
            <w:r>
              <w:rPr>
                <w:rFonts w:ascii="Times New Roman"/>
                <w:sz w:val="18"/>
              </w:rPr>
              <w:t>287,531.29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0" w:right="0"/>
              <w:jc w:val="left"/>
              <w:rPr>
                <w:rFonts w:ascii="Times New Roman" w:hAnsi="Times New Roman" w:cs="Times New Roman" w:eastAsia="Times New Roman" w:hint="default"/>
                <w:sz w:val="18"/>
                <w:szCs w:val="18"/>
              </w:rPr>
            </w:pPr>
            <w:r>
              <w:rPr>
                <w:rFonts w:ascii="Times New Roman"/>
                <w:sz w:val="18"/>
              </w:rPr>
              <w:t>1,208,718.71</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52</w:t>
      </w:r>
      <w:r>
        <w:rPr>
          <w:rFonts w:ascii="Microsoft JhengHei" w:hAnsi="Microsoft JhengHei" w:cs="Microsoft JhengHei" w:eastAsia="Microsoft JhengHei" w:hint="default"/>
          <w:b/>
          <w:bCs/>
          <w:sz w:val="21"/>
          <w:szCs w:val="21"/>
        </w:rPr>
        <w:t>、其他非流动负债</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53</w:t>
      </w:r>
      <w:r>
        <w:rPr>
          <w:rFonts w:ascii="Microsoft JhengHei" w:hAnsi="Microsoft JhengHei" w:cs="Microsoft JhengHei" w:eastAsia="Microsoft JhengHei" w:hint="default"/>
          <w:b/>
          <w:bCs/>
          <w:sz w:val="21"/>
          <w:szCs w:val="21"/>
        </w:rPr>
        <w:t>、股本</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96"/>
        <w:gridCol w:w="1196"/>
        <w:gridCol w:w="1196"/>
        <w:gridCol w:w="1197"/>
        <w:gridCol w:w="1195"/>
        <w:gridCol w:w="1197"/>
        <w:gridCol w:w="1196"/>
        <w:gridCol w:w="1195"/>
      </w:tblGrid>
      <w:tr>
        <w:trPr>
          <w:trHeight w:val="402" w:hRule="exact"/>
        </w:trPr>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 w:right="0"/>
              <w:jc w:val="left"/>
              <w:rPr>
                <w:rFonts w:ascii="Times New Roman" w:hAnsi="Times New Roman" w:cs="Times New Roman" w:eastAsia="Times New Roman" w:hint="default"/>
                <w:sz w:val="18"/>
                <w:szCs w:val="18"/>
              </w:rPr>
            </w:pPr>
            <w:r>
              <w:rPr>
                <w:rFonts w:ascii="Times New Roman"/>
                <w:sz w:val="18"/>
              </w:rPr>
              <w:t>210,000,000.00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center"/>
              <w:rPr>
                <w:rFonts w:ascii="Times New Roman" w:hAnsi="Times New Roman" w:cs="Times New Roman" w:eastAsia="Times New Roman" w:hint="default"/>
                <w:sz w:val="18"/>
                <w:szCs w:val="18"/>
              </w:rPr>
            </w:pPr>
            <w:r>
              <w:rPr>
                <w:rFonts w:ascii="Times New Roman"/>
                <w:sz w:val="18"/>
              </w:rPr>
              <w:t>70,000,000.00</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 w:right="0"/>
              <w:jc w:val="center"/>
              <w:rPr>
                <w:rFonts w:ascii="Times New Roman" w:hAnsi="Times New Roman" w:cs="Times New Roman" w:eastAsia="Times New Roman" w:hint="default"/>
                <w:sz w:val="18"/>
                <w:szCs w:val="18"/>
              </w:rPr>
            </w:pPr>
            <w:r>
              <w:rPr>
                <w:rFonts w:ascii="Times New Roman"/>
                <w:sz w:val="18"/>
              </w:rPr>
              <w:t>839,999,993.00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7,231,000.00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917,230,993.00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1,127,230,993.</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13"/>
          <w:szCs w:val="13"/>
        </w:rPr>
      </w:pPr>
    </w:p>
    <w:p>
      <w:pPr>
        <w:pStyle w:val="BodyText"/>
        <w:spacing w:line="312" w:lineRule="exact"/>
        <w:ind w:right="150" w:firstLine="480"/>
        <w:jc w:val="both"/>
      </w:pPr>
      <w:r>
        <w:rPr>
          <w:spacing w:val="-2"/>
        </w:rPr>
        <w:t>注</w:t>
      </w:r>
      <w:r>
        <w:rPr>
          <w:rFonts w:ascii="Times New Roman" w:hAnsi="Times New Roman" w:cs="Times New Roman" w:eastAsia="Times New Roman" w:hint="default"/>
          <w:spacing w:val="-2"/>
        </w:rPr>
        <w:t>1</w:t>
      </w:r>
      <w:r>
        <w:rPr>
          <w:spacing w:val="-2"/>
        </w:rPr>
        <w:t>：根据公司</w:t>
      </w:r>
      <w:r>
        <w:rPr>
          <w:rFonts w:ascii="Times New Roman" w:hAnsi="Times New Roman" w:cs="Times New Roman" w:eastAsia="Times New Roman" w:hint="default"/>
          <w:spacing w:val="-2"/>
        </w:rPr>
        <w:t>2013</w:t>
      </w:r>
      <w:r>
        <w:rPr>
          <w:spacing w:val="-2"/>
        </w:rPr>
        <w:t>年度股东大会决议，经中国证券监督管理委员会证监许可（</w:t>
      </w:r>
      <w:r>
        <w:rPr>
          <w:rFonts w:ascii="Times New Roman" w:hAnsi="Times New Roman" w:cs="Times New Roman" w:eastAsia="Times New Roman" w:hint="default"/>
          <w:spacing w:val="-2"/>
        </w:rPr>
        <w:t>2015</w:t>
      </w:r>
      <w:r>
        <w:rPr>
          <w:spacing w:val="-2"/>
        </w:rPr>
        <w:t>）</w:t>
      </w:r>
      <w:r>
        <w:rPr>
          <w:rFonts w:ascii="Times New Roman" w:hAnsi="Times New Roman" w:cs="Times New Roman" w:eastAsia="Times New Roman" w:hint="default"/>
          <w:spacing w:val="-2"/>
        </w:rPr>
        <w:t>16</w:t>
      </w:r>
      <w:r>
        <w:rPr>
          <w:rFonts w:ascii="Times New Roman" w:hAnsi="Times New Roman" w:cs="Times New Roman" w:eastAsia="Times New Roman" w:hint="default"/>
        </w:rPr>
        <w:t> </w:t>
      </w:r>
      <w:r>
        <w:rPr/>
        <w:t>号文《关于核准北京昆仑万维科技股份有限公司首次公开发行股票的批复》核准，公开发行 </w:t>
      </w:r>
      <w:r>
        <w:rPr>
          <w:rFonts w:ascii="Times New Roman" w:hAnsi="Times New Roman" w:cs="Times New Roman" w:eastAsia="Times New Roman" w:hint="default"/>
        </w:rPr>
        <w:t>7,000</w:t>
      </w:r>
      <w:r>
        <w:rPr>
          <w:rFonts w:ascii="Times New Roman" w:hAnsi="Times New Roman" w:cs="Times New Roman" w:eastAsia="Times New Roman" w:hint="default"/>
          <w:spacing w:val="45"/>
        </w:rPr>
        <w:t> </w:t>
      </w:r>
      <w:r>
        <w:rPr>
          <w:spacing w:val="-3"/>
        </w:rPr>
        <w:t>万股人民币普通股，每股面值</w:t>
      </w:r>
      <w:r>
        <w:rPr>
          <w:rFonts w:ascii="Times New Roman" w:hAnsi="Times New Roman" w:cs="Times New Roman" w:eastAsia="Times New Roman" w:hint="default"/>
          <w:spacing w:val="-3"/>
        </w:rPr>
        <w:t>1.00</w:t>
      </w:r>
      <w:r>
        <w:rPr>
          <w:spacing w:val="-3"/>
        </w:rPr>
        <w:t>元，发行价为每股人民币</w:t>
      </w:r>
      <w:r>
        <w:rPr>
          <w:rFonts w:ascii="Times New Roman" w:hAnsi="Times New Roman" w:cs="Times New Roman" w:eastAsia="Times New Roman" w:hint="default"/>
          <w:spacing w:val="-3"/>
        </w:rPr>
        <w:t>20.30</w:t>
      </w:r>
      <w:r>
        <w:rPr>
          <w:spacing w:val="-3"/>
        </w:rPr>
        <w:t>元。经深圳证券交易所</w:t>
      </w:r>
    </w:p>
    <w:p>
      <w:pPr>
        <w:pStyle w:val="BodyText"/>
        <w:spacing w:line="312" w:lineRule="exact"/>
        <w:ind w:right="0"/>
        <w:jc w:val="left"/>
      </w:pPr>
      <w:r>
        <w:rPr/>
        <w:t>《关于北京昆仑万维科技股份有限公司人民币普通股股票在创业板上市的通知》（深证上 </w:t>
      </w:r>
      <w:r>
        <w:rPr>
          <w:rFonts w:ascii="Times New Roman" w:hAnsi="Times New Roman" w:cs="Times New Roman" w:eastAsia="Times New Roman" w:hint="default"/>
        </w:rPr>
        <w:t>[2015]24</w:t>
      </w:r>
      <w:r>
        <w:rPr>
          <w:rFonts w:ascii="Times New Roman" w:hAnsi="Times New Roman" w:cs="Times New Roman" w:eastAsia="Times New Roman" w:hint="default"/>
          <w:spacing w:val="34"/>
        </w:rPr>
        <w:t> </w:t>
      </w:r>
      <w:r>
        <w:rPr/>
        <w:t>号）同意，本公司发行的人民币普通股股票在深圳证券交易所创业板上市，股票简 </w:t>
      </w:r>
      <w:r>
        <w:rPr>
          <w:spacing w:val="-2"/>
        </w:rPr>
        <w:t>称</w:t>
      </w:r>
      <w:r>
        <w:rPr>
          <w:rFonts w:ascii="Times New Roman" w:hAnsi="Times New Roman" w:cs="Times New Roman" w:eastAsia="Times New Roman" w:hint="default"/>
          <w:spacing w:val="-2"/>
        </w:rPr>
        <w:t>“</w:t>
      </w:r>
      <w:r>
        <w:rPr>
          <w:spacing w:val="-2"/>
        </w:rPr>
        <w:t>昆仑万维</w:t>
      </w:r>
      <w:r>
        <w:rPr>
          <w:rFonts w:ascii="Times New Roman" w:hAnsi="Times New Roman" w:cs="Times New Roman" w:eastAsia="Times New Roman" w:hint="default"/>
          <w:spacing w:val="-2"/>
        </w:rPr>
        <w:t>”</w:t>
      </w:r>
      <w:r>
        <w:rPr>
          <w:spacing w:val="-2"/>
        </w:rPr>
        <w:t>，股票代码</w:t>
      </w:r>
      <w:r>
        <w:rPr>
          <w:rFonts w:ascii="Times New Roman" w:hAnsi="Times New Roman" w:cs="Times New Roman" w:eastAsia="Times New Roman" w:hint="default"/>
          <w:spacing w:val="-2"/>
        </w:rPr>
        <w:t>“300418”</w:t>
      </w:r>
      <w:r>
        <w:rPr>
          <w:spacing w:val="-2"/>
        </w:rPr>
        <w:t>；本次公开发行的</w:t>
      </w:r>
      <w:r>
        <w:rPr>
          <w:rFonts w:ascii="Times New Roman" w:hAnsi="Times New Roman" w:cs="Times New Roman" w:eastAsia="Times New Roman" w:hint="default"/>
          <w:spacing w:val="-2"/>
        </w:rPr>
        <w:t>7,000</w:t>
      </w:r>
      <w:r>
        <w:rPr>
          <w:spacing w:val="-2"/>
        </w:rPr>
        <w:t>万股股票于</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21</w:t>
      </w:r>
      <w:r>
        <w:rPr>
          <w:spacing w:val="-2"/>
        </w:rPr>
        <w:t>日起在深圳</w:t>
      </w:r>
      <w:r>
        <w:rPr>
          <w:spacing w:val="-106"/>
        </w:rPr>
        <w:t> </w:t>
      </w:r>
      <w:r>
        <w:rPr/>
        <w:t>证券交易所挂牌上市。</w:t>
      </w:r>
    </w:p>
    <w:p>
      <w:pPr>
        <w:pStyle w:val="BodyText"/>
        <w:spacing w:line="322" w:lineRule="exact" w:before="89"/>
        <w:ind w:left="634" w:right="0"/>
        <w:jc w:val="left"/>
      </w:pPr>
      <w:r>
        <w:rPr>
          <w:rFonts w:ascii="Times New Roman" w:hAnsi="Times New Roman" w:cs="Times New Roman" w:eastAsia="Times New Roman" w:hint="default"/>
        </w:rPr>
        <w:t>2015</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13</w:t>
      </w:r>
      <w:r>
        <w:rPr/>
        <w:t>日，公司已完成相关工商变更登记手续并取得了北京工商行政管理局换发的</w:t>
      </w:r>
    </w:p>
    <w:p>
      <w:pPr>
        <w:pStyle w:val="BodyText"/>
        <w:spacing w:line="312" w:lineRule="exact" w:before="20"/>
        <w:ind w:right="151"/>
        <w:jc w:val="both"/>
      </w:pPr>
      <w:r>
        <w:rPr>
          <w:spacing w:val="-2"/>
        </w:rPr>
        <w:t>《企业法人营业执照》，公司注册资本由人民币</w:t>
      </w:r>
      <w:r>
        <w:rPr>
          <w:rFonts w:ascii="Times New Roman" w:hAnsi="Times New Roman" w:cs="Times New Roman" w:eastAsia="Times New Roman" w:hint="default"/>
          <w:spacing w:val="-2"/>
        </w:rPr>
        <w:t>21,000</w:t>
      </w:r>
      <w:r>
        <w:rPr>
          <w:spacing w:val="-2"/>
        </w:rPr>
        <w:t>万元变更为人民币</w:t>
      </w:r>
      <w:r>
        <w:rPr>
          <w:rFonts w:ascii="Times New Roman" w:hAnsi="Times New Roman" w:cs="Times New Roman" w:eastAsia="Times New Roman" w:hint="default"/>
          <w:spacing w:val="-2"/>
        </w:rPr>
        <w:t>28,000</w:t>
      </w:r>
      <w:r>
        <w:rPr>
          <w:spacing w:val="-2"/>
        </w:rPr>
        <w:t>万元；公司实</w:t>
      </w:r>
      <w:r>
        <w:rPr>
          <w:spacing w:val="-110"/>
        </w:rPr>
        <w:t> </w:t>
      </w:r>
      <w:r>
        <w:rPr>
          <w:spacing w:val="-110"/>
        </w:rPr>
      </w:r>
      <w:r>
        <w:rPr>
          <w:spacing w:val="-2"/>
        </w:rPr>
        <w:t>收资本由人民币</w:t>
      </w:r>
      <w:r>
        <w:rPr>
          <w:rFonts w:ascii="Times New Roman" w:hAnsi="Times New Roman" w:cs="Times New Roman" w:eastAsia="Times New Roman" w:hint="default"/>
          <w:spacing w:val="-2"/>
        </w:rPr>
        <w:t>21,000</w:t>
      </w:r>
      <w:r>
        <w:rPr>
          <w:spacing w:val="-2"/>
        </w:rPr>
        <w:t>万元变更为人民币</w:t>
      </w:r>
      <w:r>
        <w:rPr>
          <w:rFonts w:ascii="Times New Roman" w:hAnsi="Times New Roman" w:cs="Times New Roman" w:eastAsia="Times New Roman" w:hint="default"/>
          <w:spacing w:val="-2"/>
        </w:rPr>
        <w:t>28,000</w:t>
      </w:r>
      <w:r>
        <w:rPr>
          <w:spacing w:val="-2"/>
        </w:rPr>
        <w:t>万元；公司类型由股份有限公司变更为股份有</w:t>
      </w:r>
      <w:r>
        <w:rPr>
          <w:spacing w:val="-108"/>
        </w:rPr>
        <w:t> </w:t>
      </w:r>
      <w:r>
        <w:rPr>
          <w:spacing w:val="-108"/>
        </w:rPr>
      </w:r>
      <w:r>
        <w:rPr/>
        <w:t>限公司（上市）。</w:t>
      </w:r>
    </w:p>
    <w:p>
      <w:pPr>
        <w:pStyle w:val="BodyText"/>
        <w:spacing w:line="312" w:lineRule="exact" w:before="120"/>
        <w:ind w:left="163" w:right="152" w:firstLine="480"/>
        <w:jc w:val="both"/>
      </w:pPr>
      <w:r>
        <w:rPr>
          <w:spacing w:val="-3"/>
        </w:rPr>
        <w:t>注</w:t>
      </w:r>
      <w:r>
        <w:rPr>
          <w:rFonts w:ascii="Times New Roman" w:hAnsi="Times New Roman" w:cs="Times New Roman" w:eastAsia="Times New Roman" w:hint="default"/>
          <w:spacing w:val="-3"/>
        </w:rPr>
        <w:t>2</w:t>
      </w:r>
      <w:r>
        <w:rPr>
          <w:spacing w:val="-3"/>
        </w:rPr>
        <w:t>：根据昆仑万维</w:t>
      </w: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27</w:t>
      </w:r>
      <w:r>
        <w:rPr>
          <w:spacing w:val="-3"/>
        </w:rPr>
        <w:t>日召开的第二届董事会第五次会议和</w:t>
      </w: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29</w:t>
      </w:r>
      <w:r>
        <w:rPr>
          <w:spacing w:val="-3"/>
        </w:rPr>
        <w:t>日召开</w:t>
      </w:r>
      <w:r>
        <w:rPr/>
        <w:t> 的</w:t>
      </w:r>
      <w:r>
        <w:rPr>
          <w:rFonts w:ascii="Times New Roman" w:hAnsi="Times New Roman" w:cs="Times New Roman" w:eastAsia="Times New Roman" w:hint="default"/>
        </w:rPr>
        <w:t>2015</w:t>
      </w:r>
      <w:r>
        <w:rPr/>
        <w:t>年第二次临时股东大会决议审议通过了《北京昆仑万维科技股份有限公司股票期权与 限制性股票激励计划</w:t>
      </w:r>
      <w:r>
        <w:rPr>
          <w:spacing w:val="-24"/>
        </w:rPr>
        <w:t> </w:t>
      </w:r>
      <w:r>
        <w:rPr>
          <w:rFonts w:ascii="Times New Roman" w:hAnsi="Times New Roman" w:cs="Times New Roman" w:eastAsia="Times New Roman" w:hint="default"/>
        </w:rPr>
        <w:t>(</w:t>
      </w:r>
      <w:r>
        <w:rPr/>
        <w:t>草案</w:t>
      </w:r>
      <w:r>
        <w:rPr>
          <w:rFonts w:ascii="Times New Roman" w:hAnsi="Times New Roman" w:cs="Times New Roman" w:eastAsia="Times New Roman" w:hint="default"/>
        </w:rPr>
        <w:t>)</w:t>
      </w:r>
      <w:r>
        <w:rPr/>
        <w:t>》及其摘要。</w:t>
      </w:r>
    </w:p>
    <w:p>
      <w:pPr>
        <w:pStyle w:val="BodyText"/>
        <w:spacing w:line="312" w:lineRule="exact" w:before="120"/>
        <w:ind w:right="150" w:firstLine="480"/>
        <w:jc w:val="both"/>
      </w:pPr>
      <w:r>
        <w:rPr>
          <w:spacing w:val="-2"/>
        </w:rPr>
        <w:t>根据昆仑万维</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20</w:t>
      </w:r>
      <w:r>
        <w:rPr>
          <w:spacing w:val="-2"/>
        </w:rPr>
        <w:t>日第二届董事会第十六次会议审议通过的《关于调整公司股票</w:t>
      </w:r>
      <w:r>
        <w:rPr/>
        <w:t> 期权与限制性股票激励计划相关事项的议案》及《关于公司股票期权与限制性股票激励计划 首次授予相关事项的议案》，对股权激励计划激励对象人数、授予权益的数量及授予、行权 </w:t>
      </w:r>
      <w:r>
        <w:rPr>
          <w:spacing w:val="-5"/>
        </w:rPr>
        <w:t>价格进行了调整。调整后，公司首次股票期权与限制性股票激励计划授予的激励对象由 </w:t>
      </w:r>
      <w:r>
        <w:rPr>
          <w:rFonts w:ascii="Times New Roman" w:hAnsi="Times New Roman" w:cs="Times New Roman" w:eastAsia="Times New Roman" w:hint="default"/>
        </w:rPr>
        <w:t>53</w:t>
      </w:r>
      <w:r>
        <w:rPr>
          <w:rFonts w:ascii="Times New Roman" w:hAnsi="Times New Roman" w:cs="Times New Roman" w:eastAsia="Times New Roman" w:hint="default"/>
          <w:spacing w:val="54"/>
        </w:rPr>
        <w:t> </w:t>
      </w:r>
      <w:r>
        <w:rPr/>
        <w:t>人</w:t>
      </w:r>
    </w:p>
    <w:p>
      <w:pPr>
        <w:pStyle w:val="BodyText"/>
        <w:spacing w:line="292" w:lineRule="exact"/>
        <w:ind w:right="0"/>
        <w:jc w:val="left"/>
      </w:pPr>
      <w:r>
        <w:rPr/>
        <w:t>调整为 </w:t>
      </w:r>
      <w:r>
        <w:rPr>
          <w:rFonts w:ascii="Times New Roman" w:hAnsi="Times New Roman" w:cs="Times New Roman" w:eastAsia="Times New Roman" w:hint="default"/>
        </w:rPr>
        <w:t>49 </w:t>
      </w:r>
      <w:r>
        <w:rPr>
          <w:spacing w:val="-6"/>
        </w:rPr>
        <w:t>人，授予股票期权数量由 </w:t>
      </w:r>
      <w:r>
        <w:rPr>
          <w:rFonts w:ascii="Times New Roman" w:hAnsi="Times New Roman" w:cs="Times New Roman" w:eastAsia="Times New Roman" w:hint="default"/>
        </w:rPr>
        <w:t>21.376 </w:t>
      </w:r>
      <w:r>
        <w:rPr/>
        <w:t>万份调整为 </w:t>
      </w:r>
      <w:r>
        <w:rPr>
          <w:rFonts w:ascii="Times New Roman" w:hAnsi="Times New Roman" w:cs="Times New Roman" w:eastAsia="Times New Roman" w:hint="default"/>
        </w:rPr>
        <w:t>5</w:t>
      </w:r>
      <w:r>
        <w:rPr>
          <w:rFonts w:ascii="Times New Roman" w:hAnsi="Times New Roman" w:cs="Times New Roman" w:eastAsia="Times New Roman" w:hint="default"/>
          <w:spacing w:val="48"/>
        </w:rPr>
        <w:t> </w:t>
      </w:r>
      <w:r>
        <w:rPr>
          <w:spacing w:val="-4"/>
        </w:rPr>
        <w:t>万份，首次授予限制性股票数量由</w:t>
      </w:r>
    </w:p>
    <w:p>
      <w:pPr>
        <w:pStyle w:val="BodyText"/>
        <w:spacing w:line="312" w:lineRule="exact"/>
        <w:ind w:right="0"/>
        <w:jc w:val="left"/>
      </w:pPr>
      <w:r>
        <w:rPr>
          <w:rFonts w:ascii="Times New Roman" w:hAnsi="Times New Roman" w:cs="Times New Roman" w:eastAsia="Times New Roman" w:hint="default"/>
        </w:rPr>
        <w:t>875.88 </w:t>
      </w:r>
      <w:r>
        <w:rPr/>
        <w:t>万股调整为 </w:t>
      </w:r>
      <w:r>
        <w:rPr>
          <w:rFonts w:ascii="Times New Roman" w:hAnsi="Times New Roman" w:cs="Times New Roman" w:eastAsia="Times New Roman" w:hint="default"/>
        </w:rPr>
        <w:t>735.50 </w:t>
      </w:r>
      <w:r>
        <w:rPr/>
        <w:t>万股，预留部分未作调整，为 </w:t>
      </w:r>
      <w:r>
        <w:rPr>
          <w:rFonts w:ascii="Times New Roman" w:hAnsi="Times New Roman" w:cs="Times New Roman" w:eastAsia="Times New Roman" w:hint="default"/>
        </w:rPr>
        <w:t>89.7256  </w:t>
      </w:r>
      <w:r>
        <w:rPr/>
        <w:t>万股。公司激励计划涉及</w:t>
      </w:r>
    </w:p>
    <w:p>
      <w:pPr>
        <w:pStyle w:val="BodyText"/>
        <w:spacing w:line="312" w:lineRule="exact"/>
        <w:ind w:right="0"/>
        <w:jc w:val="left"/>
      </w:pPr>
      <w:r>
        <w:rPr/>
        <w:t>的标的股票种类为人民币 </w:t>
      </w:r>
      <w:r>
        <w:rPr>
          <w:rFonts w:ascii="Times New Roman" w:hAnsi="Times New Roman" w:cs="Times New Roman" w:eastAsia="Times New Roman" w:hint="default"/>
        </w:rPr>
        <w:t>A </w:t>
      </w:r>
      <w:r>
        <w:rPr/>
        <w:t>股普通股，激励计划首次授予日为 </w:t>
      </w:r>
      <w:r>
        <w:rPr>
          <w:rFonts w:ascii="Times New Roman" w:hAnsi="Times New Roman" w:cs="Times New Roman" w:eastAsia="Times New Roman" w:hint="default"/>
        </w:rPr>
        <w:t>2015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20</w:t>
      </w:r>
      <w:r>
        <w:rPr>
          <w:rFonts w:ascii="Times New Roman" w:hAnsi="Times New Roman" w:cs="Times New Roman" w:eastAsia="Times New Roman" w:hint="default"/>
          <w:spacing w:val="47"/>
        </w:rPr>
        <w:t> </w:t>
      </w:r>
      <w:r>
        <w:rPr/>
        <w:t>日。截止</w:t>
      </w:r>
    </w:p>
    <w:p>
      <w:pPr>
        <w:pStyle w:val="BodyText"/>
        <w:spacing w:line="312" w:lineRule="exact"/>
        <w:ind w:right="0"/>
        <w:jc w:val="left"/>
      </w:pPr>
      <w:r>
        <w:rPr>
          <w:rFonts w:ascii="Times New Roman" w:hAnsi="Times New Roman" w:cs="Times New Roman" w:eastAsia="Times New Roman" w:hint="default"/>
        </w:rPr>
        <w:t>2015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16 </w:t>
      </w:r>
      <w:r>
        <w:rPr/>
        <w:t>日，除 </w:t>
      </w:r>
      <w:r>
        <w:rPr>
          <w:rFonts w:ascii="Times New Roman" w:hAnsi="Times New Roman" w:cs="Times New Roman" w:eastAsia="Times New Roman" w:hint="default"/>
        </w:rPr>
        <w:t>3 </w:t>
      </w:r>
      <w:r>
        <w:rPr>
          <w:rFonts w:ascii="Times New Roman" w:hAnsi="Times New Roman" w:cs="Times New Roman" w:eastAsia="Times New Roman" w:hint="default"/>
          <w:spacing w:val="12"/>
        </w:rPr>
        <w:t> </w:t>
      </w:r>
      <w:r>
        <w:rPr/>
        <w:t>名符合条件的激励对象因未按规定日期缴纳认购款视同放弃外，</w:t>
      </w:r>
    </w:p>
    <w:p>
      <w:pPr>
        <w:pStyle w:val="BodyText"/>
        <w:spacing w:line="312" w:lineRule="exact"/>
        <w:ind w:right="0"/>
        <w:jc w:val="left"/>
      </w:pPr>
      <w:r>
        <w:rPr/>
        <w:t>其余 </w:t>
      </w:r>
      <w:r>
        <w:rPr>
          <w:rFonts w:ascii="Times New Roman" w:hAnsi="Times New Roman" w:cs="Times New Roman" w:eastAsia="Times New Roman" w:hint="default"/>
        </w:rPr>
        <w:t>46 </w:t>
      </w:r>
      <w:r>
        <w:rPr/>
        <w:t>名激励对象按每股限制性股票授予价格 </w:t>
      </w:r>
      <w:r>
        <w:rPr>
          <w:rFonts w:ascii="Times New Roman" w:hAnsi="Times New Roman" w:cs="Times New Roman" w:eastAsia="Times New Roman" w:hint="default"/>
        </w:rPr>
        <w:t>36.69 </w:t>
      </w:r>
      <w:r>
        <w:rPr/>
        <w:t>元共认购</w:t>
      </w:r>
      <w:r>
        <w:rPr>
          <w:rFonts w:ascii="Times New Roman" w:hAnsi="Times New Roman" w:cs="Times New Roman" w:eastAsia="Times New Roman" w:hint="default"/>
        </w:rPr>
        <w:t>723.10  </w:t>
      </w:r>
      <w:r>
        <w:rPr/>
        <w:t>万股限制性股票，实</w:t>
      </w:r>
    </w:p>
    <w:p>
      <w:pPr>
        <w:pStyle w:val="BodyText"/>
        <w:spacing w:line="322" w:lineRule="exact"/>
        <w:ind w:right="0"/>
        <w:jc w:val="left"/>
      </w:pPr>
      <w:r>
        <w:rPr/>
        <w:t>际认购款共计人民币 </w:t>
      </w:r>
      <w:r>
        <w:rPr>
          <w:rFonts w:ascii="Times New Roman" w:hAnsi="Times New Roman" w:cs="Times New Roman" w:eastAsia="Times New Roman" w:hint="default"/>
        </w:rPr>
        <w:t>26,530.539 </w:t>
      </w:r>
      <w:r>
        <w:rPr/>
        <w:t>万元。截至 </w:t>
      </w:r>
      <w:r>
        <w:rPr>
          <w:rFonts w:ascii="Times New Roman" w:hAnsi="Times New Roman" w:cs="Times New Roman" w:eastAsia="Times New Roman" w:hint="default"/>
        </w:rPr>
        <w:t>2015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16</w:t>
      </w:r>
      <w:r>
        <w:rPr>
          <w:rFonts w:ascii="Times New Roman" w:hAnsi="Times New Roman" w:cs="Times New Roman" w:eastAsia="Times New Roman" w:hint="default"/>
          <w:spacing w:val="48"/>
        </w:rPr>
        <w:t> </w:t>
      </w:r>
      <w:r>
        <w:rPr/>
        <w:t>日止，昆仑万维已收到限制</w:t>
      </w:r>
    </w:p>
    <w:p>
      <w:pPr>
        <w:spacing w:after="0" w:line="322" w:lineRule="exact"/>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22" w:lineRule="exact" w:before="26"/>
        <w:ind w:right="0"/>
        <w:jc w:val="left"/>
      </w:pPr>
      <w:r>
        <w:rPr/>
        <w:t>性股票激励对象以货币缴纳的出资合计人民币 </w:t>
      </w:r>
      <w:r>
        <w:rPr>
          <w:rFonts w:ascii="Times New Roman" w:hAnsi="Times New Roman" w:cs="Times New Roman" w:eastAsia="Times New Roman" w:hint="default"/>
        </w:rPr>
        <w:t>26,530.539</w:t>
      </w:r>
      <w:r>
        <w:rPr>
          <w:rFonts w:ascii="Times New Roman" w:hAnsi="Times New Roman" w:cs="Times New Roman" w:eastAsia="Times New Roman" w:hint="default"/>
          <w:spacing w:val="12"/>
        </w:rPr>
        <w:t> </w:t>
      </w:r>
      <w:r>
        <w:rPr/>
        <w:t>万元，其中：计入</w:t>
      </w:r>
      <w:r>
        <w:rPr>
          <w:rFonts w:ascii="Times New Roman" w:hAnsi="Times New Roman" w:cs="Times New Roman" w:eastAsia="Times New Roman" w:hint="default"/>
        </w:rPr>
        <w:t>“</w:t>
      </w:r>
      <w:r>
        <w:rPr/>
        <w:t>股本</w:t>
      </w:r>
      <w:r>
        <w:rPr>
          <w:rFonts w:ascii="Times New Roman" w:hAnsi="Times New Roman" w:cs="Times New Roman" w:eastAsia="Times New Roman" w:hint="default"/>
        </w:rPr>
        <w:t>”</w:t>
      </w:r>
      <w:r>
        <w:rPr/>
        <w:t>人民币</w:t>
      </w:r>
    </w:p>
    <w:p>
      <w:pPr>
        <w:pStyle w:val="BodyText"/>
        <w:spacing w:line="312" w:lineRule="exact"/>
        <w:ind w:right="0"/>
        <w:jc w:val="left"/>
      </w:pPr>
      <w:r>
        <w:rPr>
          <w:rFonts w:ascii="Times New Roman" w:hAnsi="Times New Roman" w:cs="Times New Roman" w:eastAsia="Times New Roman" w:hint="default"/>
        </w:rPr>
        <w:t>723.10 </w:t>
      </w:r>
      <w:r>
        <w:rPr>
          <w:spacing w:val="-4"/>
        </w:rPr>
        <w:t>万元，计入</w:t>
      </w:r>
      <w:r>
        <w:rPr>
          <w:rFonts w:ascii="Times New Roman" w:hAnsi="Times New Roman" w:cs="Times New Roman" w:eastAsia="Times New Roman" w:hint="default"/>
          <w:spacing w:val="-4"/>
        </w:rPr>
        <w:t>“</w:t>
      </w:r>
      <w:r>
        <w:rPr>
          <w:spacing w:val="-4"/>
        </w:rPr>
        <w:t>资本公积－股本溢价</w:t>
      </w:r>
      <w:r>
        <w:rPr>
          <w:rFonts w:ascii="Times New Roman" w:hAnsi="Times New Roman" w:cs="Times New Roman" w:eastAsia="Times New Roman" w:hint="default"/>
          <w:spacing w:val="-4"/>
        </w:rPr>
        <w:t>”</w:t>
      </w:r>
      <w:r>
        <w:rPr>
          <w:spacing w:val="-4"/>
        </w:rPr>
        <w:t>人民币 </w:t>
      </w:r>
      <w:r>
        <w:rPr>
          <w:rFonts w:ascii="Times New Roman" w:hAnsi="Times New Roman" w:cs="Times New Roman" w:eastAsia="Times New Roman" w:hint="default"/>
        </w:rPr>
        <w:t>25,807.439 </w:t>
      </w:r>
      <w:r>
        <w:rPr>
          <w:spacing w:val="-15"/>
        </w:rPr>
        <w:t>万元。截至 </w:t>
      </w:r>
      <w:r>
        <w:rPr>
          <w:rFonts w:ascii="Times New Roman" w:hAnsi="Times New Roman" w:cs="Times New Roman" w:eastAsia="Times New Roman" w:hint="default"/>
        </w:rPr>
        <w:t>2015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16 </w:t>
      </w:r>
      <w:r>
        <w:rPr>
          <w:rFonts w:ascii="Times New Roman" w:hAnsi="Times New Roman" w:cs="Times New Roman" w:eastAsia="Times New Roman" w:hint="default"/>
          <w:spacing w:val="53"/>
        </w:rPr>
        <w:t> </w:t>
      </w:r>
      <w:r>
        <w:rPr/>
        <w:t>日</w:t>
      </w:r>
    </w:p>
    <w:p>
      <w:pPr>
        <w:pStyle w:val="BodyText"/>
        <w:spacing w:line="312" w:lineRule="auto"/>
        <w:ind w:left="634" w:right="142" w:hanging="481"/>
        <w:jc w:val="left"/>
        <w:rPr>
          <w:rFonts w:ascii="Times New Roman" w:hAnsi="Times New Roman" w:cs="Times New Roman" w:eastAsia="Times New Roman" w:hint="default"/>
        </w:rPr>
      </w:pPr>
      <w:r>
        <w:rPr/>
        <w:t>止，变更后的累计注册资本为人民币 </w:t>
      </w:r>
      <w:r>
        <w:rPr>
          <w:rFonts w:ascii="Times New Roman" w:hAnsi="Times New Roman" w:cs="Times New Roman" w:eastAsia="Times New Roman" w:hint="default"/>
        </w:rPr>
        <w:t>28,723.10 </w:t>
      </w:r>
      <w:r>
        <w:rPr/>
        <w:t>万元，股本为人民币 </w:t>
      </w:r>
      <w:r>
        <w:rPr>
          <w:rFonts w:ascii="Times New Roman" w:hAnsi="Times New Roman" w:cs="Times New Roman" w:eastAsia="Times New Roman" w:hint="default"/>
        </w:rPr>
        <w:t>28,723.10</w:t>
      </w:r>
      <w:r>
        <w:rPr>
          <w:rFonts w:ascii="Times New Roman" w:hAnsi="Times New Roman" w:cs="Times New Roman" w:eastAsia="Times New Roman" w:hint="default"/>
          <w:spacing w:val="24"/>
        </w:rPr>
        <w:t> </w:t>
      </w:r>
      <w:r>
        <w:rPr/>
        <w:t>万元。 </w:t>
      </w:r>
      <w:r>
        <w:rPr>
          <w:spacing w:val="-2"/>
        </w:rPr>
        <w:t>注</w:t>
      </w:r>
      <w:r>
        <w:rPr>
          <w:rFonts w:ascii="Times New Roman" w:hAnsi="Times New Roman" w:cs="Times New Roman" w:eastAsia="Times New Roman" w:hint="default"/>
          <w:spacing w:val="-2"/>
        </w:rPr>
        <w:t>3</w:t>
      </w:r>
      <w:r>
        <w:rPr>
          <w:spacing w:val="-2"/>
        </w:rPr>
        <w:t>：根据</w:t>
      </w:r>
      <w:r>
        <w:rPr>
          <w:rFonts w:ascii="Times New Roman" w:hAnsi="Times New Roman" w:cs="Times New Roman" w:eastAsia="Times New Roman" w:hint="default"/>
          <w:spacing w:val="-2"/>
        </w:rPr>
        <w:t>2015</w:t>
      </w:r>
      <w:r>
        <w:rPr>
          <w:spacing w:val="-2"/>
        </w:rPr>
        <w:t>年第五次临时股东大会决议审议通过的</w:t>
      </w:r>
      <w:r>
        <w:rPr>
          <w:rFonts w:ascii="Times New Roman" w:hAnsi="Times New Roman" w:cs="Times New Roman" w:eastAsia="Times New Roman" w:hint="default"/>
          <w:spacing w:val="-2"/>
        </w:rPr>
        <w:t>2015</w:t>
      </w:r>
      <w:r>
        <w:rPr>
          <w:spacing w:val="-2"/>
        </w:rPr>
        <w:t>年半年度利润分配方案，</w:t>
      </w:r>
      <w:r>
        <w:rPr>
          <w:rFonts w:ascii="Times New Roman" w:hAnsi="Times New Roman" w:cs="Times New Roman" w:eastAsia="Times New Roman" w:hint="default"/>
          <w:spacing w:val="-2"/>
        </w:rPr>
        <w:t>2015</w:t>
      </w:r>
    </w:p>
    <w:p>
      <w:pPr>
        <w:pStyle w:val="BodyText"/>
        <w:spacing w:line="222" w:lineRule="exact"/>
        <w:ind w:right="0"/>
        <w:jc w:val="left"/>
      </w:pPr>
      <w:r>
        <w:rPr/>
        <w:t>年半年度以截至</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日公司总股本</w:t>
      </w:r>
      <w:r>
        <w:rPr>
          <w:rFonts w:ascii="Times New Roman" w:hAnsi="Times New Roman" w:cs="Times New Roman" w:eastAsia="Times New Roman" w:hint="default"/>
        </w:rPr>
        <w:t>280,000,000</w:t>
      </w:r>
      <w:r>
        <w:rPr/>
        <w:t>股为基数，使用资本公积金向全体股东</w:t>
      </w:r>
    </w:p>
    <w:p>
      <w:pPr>
        <w:pStyle w:val="BodyText"/>
        <w:spacing w:line="312" w:lineRule="exact" w:before="20"/>
        <w:ind w:right="147"/>
        <w:jc w:val="left"/>
      </w:pPr>
      <w:r>
        <w:rPr/>
        <w:t>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30</w:t>
      </w:r>
      <w:r>
        <w:rPr/>
        <w:t>股，共计转增</w:t>
      </w:r>
      <w:r>
        <w:rPr>
          <w:rFonts w:ascii="Times New Roman" w:hAnsi="Times New Roman" w:cs="Times New Roman" w:eastAsia="Times New Roman" w:hint="default"/>
        </w:rPr>
        <w:t>840,000,000</w:t>
      </w:r>
      <w:r>
        <w:rPr/>
        <w:t>股；根据相关规定，公司股本总额在利润分配预案公 </w:t>
      </w:r>
      <w:r>
        <w:rPr>
          <w:spacing w:val="-2"/>
        </w:rPr>
        <w:t>布后因增发新股、股权激励行权、可转债转股等事项而发行变化的，应按照</w:t>
      </w:r>
      <w:r>
        <w:rPr>
          <w:rFonts w:ascii="Times New Roman" w:hAnsi="Times New Roman" w:cs="Times New Roman" w:eastAsia="Times New Roman" w:hint="default"/>
          <w:spacing w:val="-2"/>
        </w:rPr>
        <w:t>“</w:t>
      </w:r>
      <w:r>
        <w:rPr>
          <w:spacing w:val="-2"/>
        </w:rPr>
        <w:t>公司现金分红总</w:t>
      </w:r>
      <w:r>
        <w:rPr>
          <w:spacing w:val="-106"/>
        </w:rPr>
        <w:t> </w:t>
      </w:r>
      <w:r>
        <w:rPr>
          <w:spacing w:val="-2"/>
        </w:rPr>
        <w:t>额、送红股总额、转增总额固定不变</w:t>
      </w:r>
      <w:r>
        <w:rPr>
          <w:rFonts w:ascii="Times New Roman" w:hAnsi="Times New Roman" w:cs="Times New Roman" w:eastAsia="Times New Roman" w:hint="default"/>
          <w:spacing w:val="-2"/>
        </w:rPr>
        <w:t>”</w:t>
      </w:r>
      <w:r>
        <w:rPr>
          <w:spacing w:val="-2"/>
        </w:rPr>
        <w:t>的原则，在实施公告中披露按最新股本折算的每</w:t>
      </w:r>
      <w:r>
        <w:rPr>
          <w:rFonts w:ascii="Times New Roman" w:hAnsi="Times New Roman" w:cs="Times New Roman" w:eastAsia="Times New Roman" w:hint="default"/>
          <w:spacing w:val="-2"/>
        </w:rPr>
        <w:t>10</w:t>
      </w:r>
      <w:r>
        <w:rPr>
          <w:spacing w:val="-2"/>
        </w:rPr>
        <w:t>股派</w:t>
      </w:r>
      <w:r>
        <w:rPr>
          <w:spacing w:val="-105"/>
        </w:rPr>
        <w:t> </w:t>
      </w:r>
      <w:r>
        <w:rPr/>
        <w:t>现、送股、转增的比例，因此，</w:t>
      </w:r>
      <w:r>
        <w:rPr>
          <w:rFonts w:ascii="Times New Roman" w:hAnsi="Times New Roman" w:cs="Times New Roman" w:eastAsia="Times New Roman" w:hint="default"/>
        </w:rPr>
        <w:t>2015</w:t>
      </w:r>
      <w:r>
        <w:rPr/>
        <w:t>年半年度权益分派最终以公司现有总股本</w:t>
      </w:r>
      <w:r>
        <w:rPr>
          <w:rFonts w:ascii="Times New Roman" w:hAnsi="Times New Roman" w:cs="Times New Roman" w:eastAsia="Times New Roman" w:hint="default"/>
        </w:rPr>
        <w:t>287,231,000</w:t>
      </w:r>
      <w:r>
        <w:rPr/>
        <w:t>股 </w:t>
      </w:r>
      <w:r>
        <w:rPr>
          <w:spacing w:val="-1"/>
        </w:rPr>
        <w:t>为基数，以资本公积金向全体股东每</w:t>
      </w:r>
      <w:r>
        <w:rPr>
          <w:rFonts w:ascii="Times New Roman" w:hAnsi="Times New Roman" w:cs="Times New Roman" w:eastAsia="Times New Roman" w:hint="default"/>
          <w:spacing w:val="-1"/>
        </w:rPr>
        <w:t>10</w:t>
      </w:r>
      <w:r>
        <w:rPr>
          <w:spacing w:val="-1"/>
        </w:rPr>
        <w:t>股转增</w:t>
      </w:r>
      <w:r>
        <w:rPr>
          <w:rFonts w:ascii="Times New Roman" w:hAnsi="Times New Roman" w:cs="Times New Roman" w:eastAsia="Times New Roman" w:hint="default"/>
          <w:spacing w:val="-1"/>
        </w:rPr>
        <w:t>29.244754</w:t>
      </w:r>
      <w:r>
        <w:rPr>
          <w:spacing w:val="-1"/>
        </w:rPr>
        <w:t>股，共计转增</w:t>
      </w:r>
      <w:r>
        <w:rPr>
          <w:rFonts w:ascii="Times New Roman" w:hAnsi="Times New Roman" w:cs="Times New Roman" w:eastAsia="Times New Roman" w:hint="default"/>
          <w:spacing w:val="-1"/>
        </w:rPr>
        <w:t>839,999,993</w:t>
      </w:r>
      <w:r>
        <w:rPr>
          <w:spacing w:val="-1"/>
        </w:rPr>
        <w:t>股。权益分</w:t>
      </w:r>
      <w:r>
        <w:rPr>
          <w:spacing w:val="-92"/>
        </w:rPr>
        <w:t> </w:t>
      </w:r>
      <w:r>
        <w:rPr>
          <w:spacing w:val="-92"/>
        </w:rPr>
      </w:r>
      <w:r>
        <w:rPr/>
        <w:t>派前本公司总股本为</w:t>
      </w:r>
      <w:r>
        <w:rPr>
          <w:rFonts w:ascii="Times New Roman" w:hAnsi="Times New Roman" w:cs="Times New Roman" w:eastAsia="Times New Roman" w:hint="default"/>
        </w:rPr>
        <w:t>287,231,000</w:t>
      </w:r>
      <w:r>
        <w:rPr/>
        <w:t>股，权益分派后总股本增至</w:t>
      </w:r>
      <w:r>
        <w:rPr>
          <w:rFonts w:ascii="Times New Roman" w:hAnsi="Times New Roman" w:cs="Times New Roman" w:eastAsia="Times New Roman" w:hint="default"/>
        </w:rPr>
        <w:t>1,127,230,993</w:t>
      </w:r>
      <w:r>
        <w:rPr/>
        <w:t>股。</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10 </w:t>
      </w:r>
      <w:r>
        <w:rPr/>
        <w:t>日，公司已完成相关工商变更登记手续并取得了北京工商行政管理局换发的《企业法人营业 执照》，公司注册资本由人民币</w:t>
      </w:r>
      <w:r>
        <w:rPr>
          <w:rFonts w:ascii="Times New Roman" w:hAnsi="Times New Roman" w:cs="Times New Roman" w:eastAsia="Times New Roman" w:hint="default"/>
        </w:rPr>
        <w:t>280,000,000</w:t>
      </w:r>
      <w:r>
        <w:rPr/>
        <w:t>元变更为人民币</w:t>
      </w:r>
      <w:r>
        <w:rPr>
          <w:rFonts w:ascii="Times New Roman" w:hAnsi="Times New Roman" w:cs="Times New Roman" w:eastAsia="Times New Roman" w:hint="default"/>
        </w:rPr>
        <w:t>1,127,230,993</w:t>
      </w:r>
      <w:r>
        <w:rPr/>
        <w:t>元；公司实收资本 由人民币</w:t>
      </w:r>
      <w:r>
        <w:rPr>
          <w:rFonts w:ascii="Times New Roman" w:hAnsi="Times New Roman" w:cs="Times New Roman" w:eastAsia="Times New Roman" w:hint="default"/>
        </w:rPr>
        <w:t>280,000,000</w:t>
      </w:r>
      <w:r>
        <w:rPr/>
        <w:t>元变更为人民币</w:t>
      </w:r>
      <w:r>
        <w:rPr>
          <w:rFonts w:ascii="Times New Roman" w:hAnsi="Times New Roman" w:cs="Times New Roman" w:eastAsia="Times New Roman" w:hint="default"/>
        </w:rPr>
        <w:t>1,127,230,993</w:t>
      </w:r>
      <w:r>
        <w:rPr/>
        <w:t>元。</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6"/>
          <w:szCs w:val="26"/>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54</w:t>
      </w:r>
      <w:r>
        <w:rPr>
          <w:rFonts w:ascii="Microsoft JhengHei" w:hAnsi="Microsoft JhengHei" w:cs="Microsoft JhengHei" w:eastAsia="Microsoft JhengHei" w:hint="default"/>
          <w:b/>
          <w:bCs/>
          <w:sz w:val="21"/>
          <w:szCs w:val="21"/>
        </w:rPr>
        <w:t>、其他权益工具</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）期末发行在外的优先股、永续债等其他金融工具基本情况</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）期末发行在外的优先股、永续债等金融工具变动情况表</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62"/>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5"/>
              <w:ind w:left="166" w:right="77" w:hanging="90"/>
              <w:jc w:val="left"/>
              <w:rPr>
                <w:rFonts w:ascii="宋体" w:hAnsi="宋体" w:cs="宋体" w:eastAsia="宋体" w:hint="default"/>
                <w:sz w:val="18"/>
                <w:szCs w:val="18"/>
              </w:rPr>
            </w:pPr>
            <w:r>
              <w:rPr>
                <w:rFonts w:ascii="宋体" w:hAnsi="宋体" w:cs="宋体" w:eastAsia="宋体" w:hint="default"/>
                <w:sz w:val="18"/>
                <w:szCs w:val="18"/>
              </w:rPr>
              <w:t>发行在外的 金融工具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2"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60" w:lineRule="auto" w:before="51"/>
        <w:ind w:left="154" w:right="3652" w:firstLine="0"/>
        <w:jc w:val="left"/>
        <w:rPr>
          <w:rFonts w:ascii="宋体" w:hAnsi="宋体" w:cs="宋体" w:eastAsia="宋体" w:hint="default"/>
          <w:sz w:val="18"/>
          <w:szCs w:val="18"/>
        </w:rPr>
      </w:pPr>
      <w:r>
        <w:rPr>
          <w:rFonts w:ascii="宋体" w:hAnsi="宋体" w:cs="宋体" w:eastAsia="宋体" w:hint="default"/>
          <w:sz w:val="18"/>
          <w:szCs w:val="18"/>
        </w:rPr>
        <w:t>其他权益工具本期增减变动情况、变动原因说明，以及相关会计处理的依据： 其他说明：</w:t>
      </w:r>
    </w:p>
    <w:p>
      <w:pPr>
        <w:spacing w:line="240" w:lineRule="auto" w:before="10"/>
        <w:rPr>
          <w:rFonts w:ascii="宋体" w:hAnsi="宋体" w:cs="宋体" w:eastAsia="宋体" w:hint="default"/>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55</w:t>
      </w:r>
      <w:r>
        <w:rPr>
          <w:rFonts w:ascii="Microsoft JhengHei" w:hAnsi="Microsoft JhengHei" w:cs="Microsoft JhengHei" w:eastAsia="Microsoft JhengHei" w:hint="default"/>
          <w:b/>
          <w:bCs/>
          <w:sz w:val="21"/>
          <w:szCs w:val="21"/>
        </w:rPr>
        <w:t>、资本公积</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163,376,650.19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1,518,453,990.00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839,999,993.00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841,830,647.19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31,480,813.85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31,480,813.85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163,376,650.19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1,549,934,803.85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839,999,993.00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873,311,461.04</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pStyle w:val="BodyText"/>
        <w:spacing w:line="312" w:lineRule="exact" w:before="97"/>
        <w:ind w:right="149" w:firstLine="480"/>
        <w:jc w:val="both"/>
      </w:pPr>
      <w:r>
        <w:rPr>
          <w:spacing w:val="-2"/>
        </w:rPr>
        <w:t>注</w:t>
      </w:r>
      <w:r>
        <w:rPr>
          <w:rFonts w:ascii="Times New Roman" w:hAnsi="Times New Roman" w:cs="Times New Roman" w:eastAsia="Times New Roman" w:hint="default"/>
          <w:spacing w:val="-2"/>
        </w:rPr>
        <w:t>1</w:t>
      </w:r>
      <w:r>
        <w:rPr>
          <w:spacing w:val="-2"/>
        </w:rPr>
        <w:t>：本期资本公积增加</w:t>
      </w:r>
      <w:r>
        <w:rPr>
          <w:rFonts w:ascii="Times New Roman" w:hAnsi="Times New Roman" w:cs="Times New Roman" w:eastAsia="Times New Roman" w:hint="default"/>
          <w:spacing w:val="-2"/>
        </w:rPr>
        <w:t>1,518,453,990.00</w:t>
      </w:r>
      <w:r>
        <w:rPr>
          <w:spacing w:val="-2"/>
        </w:rPr>
        <w:t>元，其中：（</w:t>
      </w:r>
      <w:r>
        <w:rPr>
          <w:rFonts w:ascii="Times New Roman" w:hAnsi="Times New Roman" w:cs="Times New Roman" w:eastAsia="Times New Roman" w:hint="default"/>
          <w:spacing w:val="-2"/>
        </w:rPr>
        <w:t>1</w:t>
      </w:r>
      <w:r>
        <w:rPr>
          <w:spacing w:val="-2"/>
        </w:rPr>
        <w:t>）截至</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16</w:t>
      </w:r>
      <w:r>
        <w:rPr>
          <w:spacing w:val="-2"/>
        </w:rPr>
        <w:t>日止，公司向</w:t>
      </w:r>
      <w:r>
        <w:rPr/>
        <w:t> 社会公众公开发行人民币普通股股票</w:t>
      </w:r>
      <w:r>
        <w:rPr>
          <w:rFonts w:ascii="Times New Roman" w:hAnsi="Times New Roman" w:cs="Times New Roman" w:eastAsia="Times New Roman" w:hint="default"/>
        </w:rPr>
        <w:t>70,000,000.00</w:t>
      </w:r>
      <w:r>
        <w:rPr/>
        <w:t>股，每股发行价格为人民币</w:t>
      </w:r>
      <w:r>
        <w:rPr>
          <w:rFonts w:ascii="Times New Roman" w:hAnsi="Times New Roman" w:cs="Times New Roman" w:eastAsia="Times New Roman" w:hint="default"/>
        </w:rPr>
        <w:t>20.30</w:t>
      </w:r>
      <w:r>
        <w:rPr/>
        <w:t>元，募集 资金总额为人民币</w:t>
      </w:r>
      <w:r>
        <w:rPr>
          <w:rFonts w:ascii="Times New Roman" w:hAnsi="Times New Roman" w:cs="Times New Roman" w:eastAsia="Times New Roman" w:hint="default"/>
        </w:rPr>
        <w:t>1,421,000,000.00</w:t>
      </w:r>
      <w:r>
        <w:rPr/>
        <w:t>元</w:t>
      </w:r>
      <w:r>
        <w:rPr>
          <w:rFonts w:ascii="Times New Roman" w:hAnsi="Times New Roman" w:cs="Times New Roman" w:eastAsia="Times New Roman" w:hint="default"/>
        </w:rPr>
        <w:t>,</w:t>
      </w:r>
      <w:r>
        <w:rPr>
          <w:rFonts w:ascii="Times New Roman" w:hAnsi="Times New Roman" w:cs="Times New Roman" w:eastAsia="Times New Roman" w:hint="default"/>
          <w:spacing w:val="-18"/>
        </w:rPr>
        <w:t> </w:t>
      </w:r>
      <w:r>
        <w:rPr/>
        <w:t>扣除承销及保荐费用人民币</w:t>
      </w:r>
      <w:r>
        <w:rPr>
          <w:rFonts w:ascii="Times New Roman" w:hAnsi="Times New Roman" w:cs="Times New Roman" w:eastAsia="Times New Roman" w:hint="default"/>
        </w:rPr>
        <w:t>80,500,000.00</w:t>
      </w:r>
      <w:r>
        <w:rPr/>
        <w:t>元后，已缴入 募集的股款为人民币</w:t>
      </w:r>
      <w:r>
        <w:rPr>
          <w:rFonts w:ascii="Times New Roman" w:hAnsi="Times New Roman" w:cs="Times New Roman" w:eastAsia="Times New Roman" w:hint="default"/>
        </w:rPr>
        <w:t>1,340,500,000.00</w:t>
      </w:r>
      <w:r>
        <w:rPr/>
        <w:t>元。募集的股款扣除公司为本次股票发行所支付的上市 </w:t>
      </w:r>
      <w:r>
        <w:rPr>
          <w:spacing w:val="-2"/>
        </w:rPr>
        <w:t>相关费用合计人民币</w:t>
      </w:r>
      <w:r>
        <w:rPr>
          <w:rFonts w:ascii="Times New Roman" w:hAnsi="Times New Roman" w:cs="Times New Roman" w:eastAsia="Times New Roman" w:hint="default"/>
          <w:spacing w:val="-2"/>
        </w:rPr>
        <w:t>10,120,400.00</w:t>
      </w:r>
      <w:r>
        <w:rPr>
          <w:spacing w:val="-2"/>
        </w:rPr>
        <w:t>元，实际募集股款为人民币</w:t>
      </w:r>
      <w:r>
        <w:rPr>
          <w:rFonts w:ascii="Times New Roman" w:hAnsi="Times New Roman" w:cs="Times New Roman" w:eastAsia="Times New Roman" w:hint="default"/>
          <w:spacing w:val="-2"/>
        </w:rPr>
        <w:t>1,330,379,600</w:t>
      </w:r>
      <w:r>
        <w:rPr>
          <w:spacing w:val="-2"/>
        </w:rPr>
        <w:t>元，其中增加股本</w:t>
      </w:r>
    </w:p>
    <w:p>
      <w:pPr>
        <w:spacing w:after="0" w:line="312" w:lineRule="exact"/>
        <w:jc w:val="both"/>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12" w:lineRule="exact" w:before="56"/>
        <w:ind w:right="0"/>
        <w:jc w:val="left"/>
      </w:pPr>
      <w:r>
        <w:rPr>
          <w:spacing w:val="-1"/>
        </w:rPr>
        <w:t>人民币</w:t>
      </w:r>
      <w:r>
        <w:rPr>
          <w:rFonts w:ascii="Times New Roman" w:hAnsi="Times New Roman" w:cs="Times New Roman" w:eastAsia="Times New Roman" w:hint="default"/>
          <w:spacing w:val="-1"/>
        </w:rPr>
        <w:t>70,000,000.00</w:t>
      </w:r>
      <w:r>
        <w:rPr>
          <w:spacing w:val="-1"/>
        </w:rPr>
        <w:t>元，增加资本公积</w:t>
      </w:r>
      <w:r>
        <w:rPr>
          <w:rFonts w:ascii="Times New Roman" w:hAnsi="Times New Roman" w:cs="Times New Roman" w:eastAsia="Times New Roman" w:hint="default"/>
          <w:spacing w:val="-1"/>
        </w:rPr>
        <w:t>1,260,379,600.00</w:t>
      </w:r>
      <w:r>
        <w:rPr>
          <w:spacing w:val="-1"/>
        </w:rPr>
        <w:t>元。（</w:t>
      </w:r>
      <w:r>
        <w:rPr>
          <w:rFonts w:ascii="Times New Roman" w:hAnsi="Times New Roman" w:cs="Times New Roman" w:eastAsia="Times New Roman" w:hint="default"/>
          <w:spacing w:val="-1"/>
        </w:rPr>
        <w:t>2</w:t>
      </w:r>
      <w:r>
        <w:rPr>
          <w:spacing w:val="-1"/>
        </w:rPr>
        <w:t>）限制性股票激励事项增加资</w:t>
      </w:r>
      <w:r>
        <w:rPr>
          <w:spacing w:val="-87"/>
        </w:rPr>
        <w:t> </w:t>
      </w:r>
      <w:r>
        <w:rPr>
          <w:spacing w:val="-87"/>
        </w:rPr>
      </w:r>
      <w:r>
        <w:rPr/>
        <w:t>本公积</w:t>
      </w:r>
      <w:r>
        <w:rPr>
          <w:rFonts w:ascii="Times New Roman" w:hAnsi="Times New Roman" w:cs="Times New Roman" w:eastAsia="Times New Roman" w:hint="default"/>
        </w:rPr>
        <w:t>258,074,390.00</w:t>
      </w:r>
      <w:r>
        <w:rPr/>
        <w:t>元，详见股本</w:t>
      </w:r>
      <w:r>
        <w:rPr>
          <w:rFonts w:ascii="Times New Roman" w:hAnsi="Times New Roman" w:cs="Times New Roman" w:eastAsia="Times New Roman" w:hint="default"/>
        </w:rPr>
        <w:t>“</w:t>
      </w:r>
      <w:r>
        <w:rPr/>
        <w:t>注</w:t>
      </w:r>
      <w:r>
        <w:rPr>
          <w:rFonts w:ascii="Times New Roman" w:hAnsi="Times New Roman" w:cs="Times New Roman" w:eastAsia="Times New Roman" w:hint="default"/>
        </w:rPr>
        <w:t>2”</w:t>
      </w:r>
      <w:r>
        <w:rPr/>
        <w:t>。。</w:t>
      </w:r>
    </w:p>
    <w:p>
      <w:pPr>
        <w:pStyle w:val="BodyText"/>
        <w:spacing w:line="312" w:lineRule="exact"/>
        <w:ind w:left="538" w:right="155" w:firstLine="96"/>
        <w:jc w:val="right"/>
      </w:pPr>
      <w:r>
        <w:rPr/>
        <w:t>注</w:t>
      </w:r>
      <w:r>
        <w:rPr>
          <w:rFonts w:ascii="Times New Roman" w:hAnsi="Times New Roman" w:cs="Times New Roman" w:eastAsia="Times New Roman" w:hint="default"/>
        </w:rPr>
        <w:t>2</w:t>
      </w:r>
      <w:r>
        <w:rPr/>
        <w:t>：本期资本公积减少</w:t>
      </w:r>
      <w:r>
        <w:rPr>
          <w:rFonts w:ascii="Times New Roman" w:hAnsi="Times New Roman" w:cs="Times New Roman" w:eastAsia="Times New Roman" w:hint="default"/>
        </w:rPr>
        <w:t>839,999,993.00</w:t>
      </w:r>
      <w:r>
        <w:rPr/>
        <w:t>元，为资本公积转增股本所致，详见股本</w:t>
      </w:r>
      <w:r>
        <w:rPr>
          <w:rFonts w:ascii="Times New Roman" w:hAnsi="Times New Roman" w:cs="Times New Roman" w:eastAsia="Times New Roman" w:hint="default"/>
        </w:rPr>
        <w:t>“</w:t>
      </w:r>
      <w:r>
        <w:rPr/>
        <w:t>注</w:t>
      </w:r>
      <w:r>
        <w:rPr>
          <w:rFonts w:ascii="Times New Roman" w:hAnsi="Times New Roman" w:cs="Times New Roman" w:eastAsia="Times New Roman" w:hint="default"/>
        </w:rPr>
        <w:t>3”</w:t>
      </w:r>
      <w:r>
        <w:rPr/>
        <w:t>。 注</w:t>
      </w:r>
      <w:r>
        <w:rPr>
          <w:rFonts w:ascii="Times New Roman" w:hAnsi="Times New Roman" w:cs="Times New Roman" w:eastAsia="Times New Roman" w:hint="default"/>
        </w:rPr>
        <w:t>3</w:t>
      </w:r>
      <w:r>
        <w:rPr/>
        <w:t>：本年增加的其他资本公积是股票期权与限制性股票激励计划费用在本期的分摊金额</w:t>
      </w:r>
    </w:p>
    <w:p>
      <w:pPr>
        <w:pStyle w:val="BodyText"/>
        <w:spacing w:line="312" w:lineRule="exact"/>
        <w:ind w:right="239"/>
        <w:jc w:val="left"/>
      </w:pPr>
      <w:r>
        <w:rPr/>
        <w:t>为</w:t>
      </w:r>
      <w:r>
        <w:rPr>
          <w:rFonts w:ascii="Times New Roman" w:hAnsi="Times New Roman" w:cs="Times New Roman" w:eastAsia="Times New Roman" w:hint="default"/>
        </w:rPr>
        <w:t>31,480,813.85</w:t>
      </w:r>
      <w:r>
        <w:rPr/>
        <w:t>元，增加其他资本公积</w:t>
      </w:r>
      <w:r>
        <w:rPr>
          <w:rFonts w:ascii="Times New Roman" w:hAnsi="Times New Roman" w:cs="Times New Roman" w:eastAsia="Times New Roman" w:hint="default"/>
        </w:rPr>
        <w:t>31,480,813.85</w:t>
      </w:r>
      <w:r>
        <w:rPr/>
        <w:t>元，同时增加</w:t>
      </w:r>
      <w:r>
        <w:rPr>
          <w:rFonts w:ascii="Times New Roman" w:hAnsi="Times New Roman" w:cs="Times New Roman" w:eastAsia="Times New Roman" w:hint="default"/>
        </w:rPr>
        <w:t>“</w:t>
      </w:r>
      <w:r>
        <w:rPr/>
        <w:t>管理费用</w:t>
      </w:r>
      <w:r>
        <w:rPr>
          <w:rFonts w:ascii="Times New Roman" w:hAnsi="Times New Roman" w:cs="Times New Roman" w:eastAsia="Times New Roman" w:hint="default"/>
        </w:rPr>
        <w:t>-</w:t>
      </w:r>
      <w:r>
        <w:rPr/>
        <w:t>股权激励费用</w:t>
      </w:r>
      <w:r>
        <w:rPr>
          <w:rFonts w:ascii="Times New Roman" w:hAnsi="Times New Roman" w:cs="Times New Roman" w:eastAsia="Times New Roman" w:hint="default"/>
        </w:rPr>
        <w:t>”</w:t>
      </w:r>
      <w:r>
        <w:rPr>
          <w:rFonts w:ascii="Times New Roman" w:hAnsi="Times New Roman" w:cs="Times New Roman" w:eastAsia="Times New Roman" w:hint="default"/>
          <w:w w:val="100"/>
        </w:rPr>
        <w:t> </w:t>
      </w:r>
      <w:r>
        <w:rPr>
          <w:rFonts w:ascii="Times New Roman" w:hAnsi="Times New Roman" w:cs="Times New Roman" w:eastAsia="Times New Roman" w:hint="default"/>
        </w:rPr>
        <w:t>31,480,813.85</w:t>
      </w:r>
      <w:r>
        <w:rPr/>
        <w:t>元。</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56</w:t>
      </w:r>
      <w:r>
        <w:rPr>
          <w:rFonts w:ascii="Microsoft JhengHei" w:hAnsi="Microsoft JhengHei" w:cs="Microsoft JhengHei" w:eastAsia="Microsoft JhengHei" w:hint="default"/>
          <w:b/>
          <w:bCs/>
          <w:sz w:val="21"/>
          <w:szCs w:val="21"/>
        </w:rPr>
        <w:t>、库存股</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限制性股票激励</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265,305,390.00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265,305,390.00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265,305,390.00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265,305,390.00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pStyle w:val="BodyText"/>
        <w:spacing w:line="312" w:lineRule="exact" w:before="96"/>
        <w:ind w:right="150" w:firstLine="384"/>
        <w:jc w:val="both"/>
      </w:pPr>
      <w:r>
        <w:rPr/>
        <w:t>截至</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日，公司限制性股票激励计划的</w:t>
      </w:r>
      <w:r>
        <w:rPr>
          <w:rFonts w:ascii="Times New Roman" w:hAnsi="Times New Roman" w:cs="Times New Roman" w:eastAsia="Times New Roman" w:hint="default"/>
        </w:rPr>
        <w:t>46</w:t>
      </w:r>
      <w:r>
        <w:rPr>
          <w:rFonts w:ascii="Times New Roman" w:hAnsi="Times New Roman" w:cs="Times New Roman" w:eastAsia="Times New Roman" w:hint="default"/>
          <w:spacing w:val="36"/>
        </w:rPr>
        <w:t> </w:t>
      </w:r>
      <w:r>
        <w:rPr/>
        <w:t>名激励对象按每股限制性股票授予 价格 </w:t>
      </w:r>
      <w:r>
        <w:rPr>
          <w:rFonts w:ascii="Times New Roman" w:hAnsi="Times New Roman" w:cs="Times New Roman" w:eastAsia="Times New Roman" w:hint="default"/>
        </w:rPr>
        <w:t>36.69 </w:t>
      </w:r>
      <w:r>
        <w:rPr/>
        <w:t>元共认购</w:t>
      </w:r>
      <w:r>
        <w:rPr>
          <w:rFonts w:ascii="Times New Roman" w:hAnsi="Times New Roman" w:cs="Times New Roman" w:eastAsia="Times New Roman" w:hint="default"/>
        </w:rPr>
        <w:t>723.10</w:t>
      </w:r>
      <w:r>
        <w:rPr>
          <w:rFonts w:ascii="Times New Roman" w:hAnsi="Times New Roman" w:cs="Times New Roman" w:eastAsia="Times New Roman" w:hint="default"/>
          <w:spacing w:val="-21"/>
        </w:rPr>
        <w:t> </w:t>
      </w:r>
      <w:r>
        <w:rPr/>
        <w:t>万股限制性股票，实际认购款共计人民币</w:t>
      </w:r>
      <w:r>
        <w:rPr>
          <w:rFonts w:ascii="Times New Roman" w:hAnsi="Times New Roman" w:cs="Times New Roman" w:eastAsia="Times New Roman" w:hint="default"/>
        </w:rPr>
        <w:t>265,305,390.00</w:t>
      </w:r>
      <w:r>
        <w:rPr/>
        <w:t>元，增加 库存股</w:t>
      </w:r>
      <w:r>
        <w:rPr>
          <w:rFonts w:ascii="Times New Roman" w:hAnsi="Times New Roman" w:cs="Times New Roman" w:eastAsia="Times New Roman" w:hint="default"/>
        </w:rPr>
        <w:t>265,305,390.00</w:t>
      </w:r>
      <w:r>
        <w:rPr/>
        <w:t>元，同时确认负债</w:t>
      </w:r>
      <w:r>
        <w:rPr>
          <w:rFonts w:ascii="Times New Roman" w:hAnsi="Times New Roman" w:cs="Times New Roman" w:eastAsia="Times New Roman" w:hint="default"/>
        </w:rPr>
        <w:t>265,305,390.00</w:t>
      </w:r>
      <w:r>
        <w:rPr/>
        <w:t>元。</w:t>
      </w:r>
    </w:p>
    <w:p>
      <w:pPr>
        <w:spacing w:line="240" w:lineRule="auto" w:before="5"/>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57</w:t>
      </w:r>
      <w:r>
        <w:rPr>
          <w:rFonts w:ascii="Microsoft JhengHei" w:hAnsi="Microsoft JhengHei" w:cs="Microsoft JhengHei" w:eastAsia="Microsoft JhengHei" w:hint="default"/>
          <w:b/>
          <w:bCs/>
          <w:sz w:val="21"/>
          <w:szCs w:val="21"/>
        </w:rPr>
        <w:t>、其他综合收益</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811"/>
        <w:gridCol w:w="1070"/>
        <w:gridCol w:w="935"/>
        <w:gridCol w:w="1152"/>
        <w:gridCol w:w="935"/>
        <w:gridCol w:w="936"/>
        <w:gridCol w:w="935"/>
        <w:gridCol w:w="796"/>
      </w:tblGrid>
      <w:tr>
        <w:trPr>
          <w:trHeight w:val="402" w:hRule="exact"/>
        </w:trPr>
        <w:tc>
          <w:tcPr>
            <w:tcW w:w="2811" w:type="dxa"/>
            <w:vMerge w:val="restart"/>
            <w:tcBorders>
              <w:top w:val="single" w:sz="4" w:space="0" w:color="000000"/>
              <w:left w:val="single" w:sz="4" w:space="0" w:color="000000"/>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8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16" w:hRule="exact"/>
        </w:trPr>
        <w:tc>
          <w:tcPr>
            <w:tcW w:w="2811" w:type="dxa"/>
            <w:vMerge/>
            <w:tcBorders>
              <w:left w:val="single" w:sz="4" w:space="0" w:color="000000"/>
              <w:bottom w:val="nil" w:sz="6" w:space="0" w:color="auto"/>
              <w:right w:val="single" w:sz="4" w:space="0" w:color="000000"/>
            </w:tcBorders>
            <w:shd w:val="clear" w:color="auto" w:fill="D2D2D2"/>
          </w:tcPr>
          <w:p>
            <w:pPr/>
          </w:p>
        </w:tc>
        <w:tc>
          <w:tcPr>
            <w:tcW w:w="1070" w:type="dxa"/>
            <w:vMerge/>
            <w:tcBorders>
              <w:left w:val="single" w:sz="4" w:space="0" w:color="000000"/>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02"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30" w:right="30"/>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82" w:right="22"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102"/>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02" w:right="101"/>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6" w:type="dxa"/>
            <w:vMerge/>
            <w:tcBorders>
              <w:left w:val="single" w:sz="4" w:space="0" w:color="000000"/>
              <w:right w:val="single" w:sz="4" w:space="0" w:color="000000"/>
            </w:tcBorders>
            <w:shd w:val="clear" w:color="auto" w:fill="D2D2D2"/>
          </w:tcPr>
          <w:p>
            <w:pPr/>
          </w:p>
        </w:tc>
      </w:tr>
      <w:tr>
        <w:trPr>
          <w:trHeight w:val="391" w:hRule="exact"/>
        </w:trPr>
        <w:tc>
          <w:tcPr>
            <w:tcW w:w="28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vMerge/>
            <w:tcBorders>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796" w:type="dxa"/>
            <w:vMerge/>
            <w:tcBorders>
              <w:left w:val="single" w:sz="4" w:space="0" w:color="000000"/>
              <w:right w:val="single" w:sz="4" w:space="0" w:color="000000"/>
            </w:tcBorders>
            <w:shd w:val="clear" w:color="auto" w:fill="D2D2D2"/>
          </w:tcPr>
          <w:p>
            <w:pPr/>
          </w:p>
        </w:tc>
      </w:tr>
      <w:tr>
        <w:trPr>
          <w:trHeight w:val="518" w:hRule="exact"/>
        </w:trPr>
        <w:tc>
          <w:tcPr>
            <w:tcW w:w="281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936"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76"/>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 合收益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 w:right="0"/>
              <w:jc w:val="left"/>
              <w:rPr>
                <w:rFonts w:ascii="Times New Roman" w:hAnsi="Times New Roman" w:cs="Times New Roman" w:eastAsia="Times New Roman" w:hint="default"/>
                <w:sz w:val="18"/>
                <w:szCs w:val="18"/>
              </w:rPr>
            </w:pPr>
            <w:r>
              <w:rPr>
                <w:rFonts w:ascii="Times New Roman"/>
                <w:sz w:val="18"/>
              </w:rPr>
              <w:t>-7,584,722.86</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-29,035,423</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-29,035,423</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-36,620,1</w:t>
            </w:r>
          </w:p>
          <w:p>
            <w:pPr>
              <w:pStyle w:val="TableParagraph"/>
              <w:spacing w:line="240" w:lineRule="auto" w:before="105"/>
              <w:ind w:left="358" w:right="0"/>
              <w:jc w:val="left"/>
              <w:rPr>
                <w:rFonts w:ascii="Times New Roman" w:hAnsi="Times New Roman" w:cs="Times New Roman" w:eastAsia="Times New Roman" w:hint="default"/>
                <w:sz w:val="18"/>
                <w:szCs w:val="18"/>
              </w:rPr>
            </w:pPr>
            <w:r>
              <w:rPr>
                <w:rFonts w:ascii="Times New Roman"/>
                <w:sz w:val="18"/>
              </w:rPr>
              <w:t>46.24</w:t>
            </w:r>
          </w:p>
        </w:tc>
      </w:tr>
      <w:tr>
        <w:trPr>
          <w:trHeight w:val="161" w:hRule="exact"/>
        </w:trPr>
        <w:tc>
          <w:tcPr>
            <w:tcW w:w="281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-7,584,722.86</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-29,035,423</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-29,035,423</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w:t>
            </w:r>
          </w:p>
        </w:tc>
        <w:tc>
          <w:tcPr>
            <w:tcW w:w="935" w:type="dxa"/>
            <w:vMerge w:val="restart"/>
            <w:tcBorders>
              <w:top w:val="single" w:sz="4" w:space="0" w:color="000000"/>
              <w:left w:val="single" w:sz="4" w:space="0" w:color="000000"/>
              <w:right w:val="single" w:sz="4" w:space="0" w:color="000000"/>
            </w:tcBorders>
          </w:tcPr>
          <w:p>
            <w:pP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-36,620,1</w:t>
            </w:r>
          </w:p>
          <w:p>
            <w:pPr>
              <w:pStyle w:val="TableParagraph"/>
              <w:spacing w:line="240" w:lineRule="auto" w:before="105"/>
              <w:ind w:left="358" w:right="0"/>
              <w:jc w:val="left"/>
              <w:rPr>
                <w:rFonts w:ascii="Times New Roman" w:hAnsi="Times New Roman" w:cs="Times New Roman" w:eastAsia="Times New Roman" w:hint="default"/>
                <w:sz w:val="18"/>
                <w:szCs w:val="18"/>
              </w:rPr>
            </w:pPr>
            <w:r>
              <w:rPr>
                <w:rFonts w:ascii="Times New Roman"/>
                <w:sz w:val="18"/>
              </w:rPr>
              <w:t>46.24</w:t>
            </w:r>
          </w:p>
        </w:tc>
      </w:tr>
      <w:tr>
        <w:trPr>
          <w:trHeight w:val="392" w:hRule="exact"/>
        </w:trPr>
        <w:tc>
          <w:tcPr>
            <w:tcW w:w="28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70"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81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r>
        <w:trPr>
          <w:trHeight w:val="161" w:hRule="exact"/>
        </w:trPr>
        <w:tc>
          <w:tcPr>
            <w:tcW w:w="281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-7,584,722.86</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-29,035,423</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-29,035,423</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w:t>
            </w:r>
          </w:p>
        </w:tc>
        <w:tc>
          <w:tcPr>
            <w:tcW w:w="935" w:type="dxa"/>
            <w:vMerge w:val="restart"/>
            <w:tcBorders>
              <w:top w:val="single" w:sz="4" w:space="0" w:color="000000"/>
              <w:left w:val="single" w:sz="4" w:space="0" w:color="000000"/>
              <w:right w:val="single" w:sz="4" w:space="0" w:color="000000"/>
            </w:tcBorders>
          </w:tcPr>
          <w:p>
            <w:pP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-36,620,1</w:t>
            </w:r>
          </w:p>
          <w:p>
            <w:pPr>
              <w:pStyle w:val="TableParagraph"/>
              <w:spacing w:line="240" w:lineRule="auto" w:before="105"/>
              <w:ind w:left="358" w:right="0"/>
              <w:jc w:val="left"/>
              <w:rPr>
                <w:rFonts w:ascii="Times New Roman" w:hAnsi="Times New Roman" w:cs="Times New Roman" w:eastAsia="Times New Roman" w:hint="default"/>
                <w:sz w:val="18"/>
                <w:szCs w:val="18"/>
              </w:rPr>
            </w:pPr>
            <w:r>
              <w:rPr>
                <w:rFonts w:ascii="Times New Roman"/>
                <w:sz w:val="18"/>
              </w:rPr>
              <w:t>46.24</w:t>
            </w:r>
          </w:p>
        </w:tc>
      </w:tr>
      <w:tr>
        <w:trPr>
          <w:trHeight w:val="392" w:hRule="exact"/>
        </w:trPr>
        <w:tc>
          <w:tcPr>
            <w:tcW w:w="28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0"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81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其他说明，包括对现金流量套期损益的有效部分转为被套期项目初始确认金额调整：</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58</w:t>
      </w:r>
      <w:r>
        <w:rPr>
          <w:rFonts w:ascii="Microsoft JhengHei" w:hAnsi="Microsoft JhengHei" w:cs="Microsoft JhengHei" w:eastAsia="Microsoft JhengHei" w:hint="default"/>
          <w:b/>
          <w:bCs/>
          <w:sz w:val="21"/>
          <w:szCs w:val="21"/>
        </w:rPr>
        <w:t>、专项储备</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59</w:t>
      </w:r>
      <w:r>
        <w:rPr>
          <w:rFonts w:ascii="Microsoft JhengHei" w:hAnsi="Microsoft JhengHei" w:cs="Microsoft JhengHei" w:eastAsia="Microsoft JhengHei" w:hint="default"/>
          <w:b/>
          <w:bCs/>
          <w:sz w:val="21"/>
          <w:szCs w:val="21"/>
        </w:rPr>
        <w:t>、盈余公积</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70,747,271.94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7,970,553.52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78,717,825.46</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70,747,271.94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7,970,553.52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78,717,825.46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60</w:t>
      </w:r>
      <w:r>
        <w:rPr>
          <w:rFonts w:ascii="Microsoft JhengHei" w:hAnsi="Microsoft JhengHei" w:cs="Microsoft JhengHei" w:eastAsia="Microsoft JhengHei" w:hint="default"/>
          <w:b/>
          <w:bCs/>
          <w:sz w:val="21"/>
          <w:szCs w:val="21"/>
        </w:rPr>
        <w:t>、未分配利润</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26"/>
        <w:gridCol w:w="2924"/>
        <w:gridCol w:w="2919"/>
      </w:tblGrid>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575,366,365.40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433,385,021.12</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575,366,365.40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433,385,021.12</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405,288,398.77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326,382,276.82</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7,970,553.52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19,400,932.54</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70,000,000.00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165,000,000.00</w:t>
            </w: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902,684,210.65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575,366,365.40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调整期初未分配利润明细：</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、由于《企业会计准则》及其相关新规定进行追溯调整，影响期初未分配利润元。</w:t>
      </w:r>
    </w:p>
    <w:p>
      <w:pPr>
        <w:spacing w:before="10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、由于会计政策变更，影响期初未分配利润元。</w:t>
      </w:r>
    </w:p>
    <w:p>
      <w:pPr>
        <w:spacing w:before="10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、由于重大会计差错更正，影响期初未分配利润元。</w:t>
      </w:r>
    </w:p>
    <w:p>
      <w:pPr>
        <w:spacing w:before="10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、由于同一控制导致的合并范围变更，影响期初未分配利润元。</w:t>
      </w:r>
    </w:p>
    <w:p>
      <w:pPr>
        <w:spacing w:before="10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、其他调整合计影响期初未分配利润元。</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61</w:t>
      </w:r>
      <w:r>
        <w:rPr>
          <w:rFonts w:ascii="Microsoft JhengHei" w:hAnsi="Microsoft JhengHei" w:cs="Microsoft JhengHei" w:eastAsia="Microsoft JhengHei" w:hint="default"/>
          <w:b/>
          <w:bCs/>
          <w:sz w:val="21"/>
          <w:szCs w:val="21"/>
        </w:rPr>
        <w:t>、营业收入和营业成本</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1" w:right="0"/>
              <w:jc w:val="left"/>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1,702,145,000.46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662,583,091.80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1,934,145,769.25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5" w:right="0"/>
              <w:jc w:val="left"/>
              <w:rPr>
                <w:rFonts w:ascii="Times New Roman" w:hAnsi="Times New Roman" w:cs="Times New Roman" w:eastAsia="Times New Roman" w:hint="default"/>
                <w:sz w:val="18"/>
                <w:szCs w:val="18"/>
              </w:rPr>
            </w:pPr>
            <w:r>
              <w:rPr>
                <w:rFonts w:ascii="Times New Roman"/>
                <w:sz w:val="18"/>
              </w:rPr>
              <w:t>598,145,060.84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86,995,564.06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36,032,249.13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1,789,140,564.52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698,615,340.93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1,934,145,769.25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5" w:right="0"/>
              <w:jc w:val="left"/>
              <w:rPr>
                <w:rFonts w:ascii="Times New Roman" w:hAnsi="Times New Roman" w:cs="Times New Roman" w:eastAsia="Times New Roman" w:hint="default"/>
                <w:sz w:val="18"/>
                <w:szCs w:val="18"/>
              </w:rPr>
            </w:pPr>
            <w:r>
              <w:rPr>
                <w:rFonts w:ascii="Times New Roman"/>
                <w:sz w:val="18"/>
              </w:rPr>
              <w:t>598,145,060.84</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62</w:t>
      </w:r>
      <w:r>
        <w:rPr>
          <w:rFonts w:ascii="Microsoft JhengHei" w:hAnsi="Microsoft JhengHei" w:cs="Microsoft JhengHei" w:eastAsia="Microsoft JhengHei" w:hint="default"/>
          <w:b/>
          <w:bCs/>
          <w:sz w:val="21"/>
          <w:szCs w:val="21"/>
        </w:rPr>
        <w:t>、营业税金及附加</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3,846,696.29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2,761,802.79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603,070.62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702,828.21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430,700.73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502,020.12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文化建设事业费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6,593.19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29,281.81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4,887,060.83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3,995,932.93</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63</w:t>
      </w:r>
      <w:r>
        <w:rPr>
          <w:rFonts w:ascii="Microsoft JhengHei" w:hAnsi="Microsoft JhengHei" w:cs="Microsoft JhengHei" w:eastAsia="Microsoft JhengHei" w:hint="default"/>
          <w:b/>
          <w:bCs/>
          <w:sz w:val="21"/>
          <w:szCs w:val="21"/>
        </w:rPr>
        <w:t>、销售费用</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53,901,347.34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53,781,827.31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市场及推广费用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262,638,463.27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262,863,327.55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充值渠道手续费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358,036,770.93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391,044,142.87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133,241.90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200,030.44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2,836,264.75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2,524,217.21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4,736,324.06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4,387,827.54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682,282,412.25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714,801,372.92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64</w:t>
      </w:r>
      <w:r>
        <w:rPr>
          <w:rFonts w:ascii="Microsoft JhengHei" w:hAnsi="Microsoft JhengHei" w:cs="Microsoft JhengHei" w:eastAsia="Microsoft JhengHei" w:hint="default"/>
          <w:b/>
          <w:bCs/>
          <w:sz w:val="21"/>
          <w:szCs w:val="21"/>
        </w:rPr>
        <w:t>、管理费用</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125,298,740.26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140,777,598.98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5,007,216.49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5,474,456.09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3,158,994.42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861,839.03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13,728,080.02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5,319,290.80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22,684,832.32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20,754,338.64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水电及维修费用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2,324,047.39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1,966,862.44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6,609,818.52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6,523,336.45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折旧及摊销费用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12,948,166.91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13,232,113.78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3,320,127.88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393,592.38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项目开发费用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1,314,261.74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66,950,719.90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股权激励费用（注）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31,480,813.85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2,908,020.14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1,979,131.12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9" w:right="0"/>
              <w:jc w:val="left"/>
              <w:rPr>
                <w:rFonts w:ascii="Times New Roman" w:hAnsi="Times New Roman" w:cs="Times New Roman" w:eastAsia="Times New Roman" w:hint="default"/>
                <w:sz w:val="18"/>
                <w:szCs w:val="18"/>
              </w:rPr>
            </w:pPr>
            <w:r>
              <w:rPr>
                <w:rFonts w:ascii="Times New Roman"/>
                <w:sz w:val="18"/>
              </w:rPr>
              <w:t>230,783,119.94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3" w:right="0"/>
              <w:jc w:val="left"/>
              <w:rPr>
                <w:rFonts w:ascii="Times New Roman" w:hAnsi="Times New Roman" w:cs="Times New Roman" w:eastAsia="Times New Roman" w:hint="default"/>
                <w:sz w:val="18"/>
                <w:szCs w:val="18"/>
              </w:rPr>
            </w:pPr>
            <w:r>
              <w:rPr>
                <w:rFonts w:ascii="Times New Roman"/>
                <w:sz w:val="18"/>
              </w:rPr>
              <w:t>264,233,279.61</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65</w:t>
      </w:r>
      <w:r>
        <w:rPr>
          <w:rFonts w:ascii="Microsoft JhengHei" w:hAnsi="Microsoft JhengHei" w:cs="Microsoft JhengHei" w:eastAsia="Microsoft JhengHei" w:hint="default"/>
          <w:b/>
          <w:bCs/>
          <w:sz w:val="21"/>
          <w:szCs w:val="21"/>
        </w:rPr>
        <w:t>、财务费用</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3,405,432.05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10,557,609.18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515,312.77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-73,220,138.12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10,841,847.97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4,967,226.58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387,434.65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-75,405,088.67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10,713,969.85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66</w:t>
      </w:r>
      <w:r>
        <w:rPr>
          <w:rFonts w:ascii="Microsoft JhengHei" w:hAnsi="Microsoft JhengHei" w:cs="Microsoft JhengHei" w:eastAsia="Microsoft JhengHei" w:hint="default"/>
          <w:b/>
          <w:bCs/>
          <w:sz w:val="21"/>
          <w:szCs w:val="21"/>
        </w:rPr>
        <w:t>、资产减值损失</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1,263,599.61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12,309,416.20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十四、其他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2,959,158.63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6,427,213.95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4,222,758.24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18,736,630.15</w:t>
            </w:r>
          </w:p>
        </w:tc>
      </w:tr>
    </w:tbl>
    <w:p>
      <w:pPr>
        <w:spacing w:line="357" w:lineRule="auto" w:before="51"/>
        <w:ind w:left="154" w:right="6372" w:firstLine="0"/>
        <w:jc w:val="left"/>
        <w:rPr>
          <w:rFonts w:ascii="宋体" w:hAnsi="宋体" w:cs="宋体" w:eastAsia="宋体" w:hint="default"/>
          <w:sz w:val="18"/>
          <w:szCs w:val="18"/>
        </w:rPr>
      </w:pPr>
      <w:r>
        <w:rPr>
          <w:rFonts w:ascii="宋体" w:hAnsi="宋体" w:cs="宋体" w:eastAsia="宋体" w:hint="default"/>
          <w:sz w:val="18"/>
          <w:szCs w:val="18"/>
        </w:rPr>
        <w:t>其他说明： 项目中的</w:t>
      </w: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r>
        <w:rPr>
          <w:rFonts w:ascii="Times New Roman" w:hAnsi="Times New Roman" w:cs="Times New Roman" w:eastAsia="Times New Roman" w:hint="default"/>
          <w:sz w:val="18"/>
          <w:szCs w:val="18"/>
        </w:rPr>
        <w:t>”</w:t>
      </w:r>
      <w:r>
        <w:rPr>
          <w:rFonts w:ascii="宋体" w:hAnsi="宋体" w:cs="宋体" w:eastAsia="宋体" w:hint="default"/>
          <w:sz w:val="18"/>
          <w:szCs w:val="18"/>
        </w:rPr>
        <w:t>为长期待摊费用减值损失。</w:t>
      </w:r>
    </w:p>
    <w:p>
      <w:pPr>
        <w:spacing w:line="240" w:lineRule="auto" w:before="4"/>
        <w:rPr>
          <w:rFonts w:ascii="宋体" w:hAnsi="宋体" w:cs="宋体" w:eastAsia="宋体" w:hint="default"/>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67</w:t>
      </w:r>
      <w:r>
        <w:rPr>
          <w:rFonts w:ascii="Microsoft JhengHei" w:hAnsi="Microsoft JhengHei" w:cs="Microsoft JhengHei" w:eastAsia="Microsoft JhengHei" w:hint="default"/>
          <w:b/>
          <w:bCs/>
          <w:sz w:val="21"/>
          <w:szCs w:val="21"/>
        </w:rPr>
        <w:t>、公允价值变动收益</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8"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68</w:t>
      </w:r>
      <w:r>
        <w:rPr>
          <w:rFonts w:ascii="Microsoft JhengHei" w:hAnsi="Microsoft JhengHei" w:cs="Microsoft JhengHei" w:eastAsia="Microsoft JhengHei" w:hint="default"/>
          <w:b/>
          <w:bCs/>
          <w:sz w:val="21"/>
          <w:szCs w:val="21"/>
        </w:rPr>
        <w:t>、投资收益</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-7,059,363.91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-13,824.04</w:t>
            </w:r>
            <w:r>
              <w:rPr>
                <w:rFonts w:ascii="Times New Roman"/>
                <w:sz w:val="18"/>
              </w:rPr>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161,346,278.88</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4,505,602.71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158,792,517.68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-13,824.04</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13"/>
        <w:rPr>
          <w:rFonts w:ascii="宋体" w:hAnsi="宋体" w:cs="宋体" w:eastAsia="宋体" w:hint="default"/>
          <w:sz w:val="25"/>
          <w:szCs w:val="25"/>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3"/>
        <w:rPr>
          <w:rFonts w:ascii="宋体" w:hAnsi="宋体" w:cs="宋体" w:eastAsia="宋体" w:hint="default"/>
          <w:sz w:val="12"/>
          <w:szCs w:val="12"/>
        </w:rPr>
      </w:pPr>
    </w:p>
    <w:p>
      <w:pPr>
        <w:spacing w:line="256" w:lineRule="auto" w:before="0"/>
        <w:ind w:left="154" w:right="151" w:firstLine="420"/>
        <w:jc w:val="both"/>
        <w:rPr>
          <w:rFonts w:ascii="宋体" w:hAnsi="宋体" w:cs="宋体" w:eastAsia="宋体"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w:t>
      </w:r>
      <w:r>
        <w:rPr>
          <w:rFonts w:ascii="宋体" w:hAnsi="宋体" w:cs="宋体" w:eastAsia="宋体" w:hint="default"/>
          <w:sz w:val="21"/>
          <w:szCs w:val="21"/>
        </w:rPr>
        <w:t>处置可供出售金融资产等取得的投资收益</w:t>
      </w:r>
      <w:r>
        <w:rPr>
          <w:rFonts w:ascii="Times New Roman" w:hAnsi="Times New Roman" w:cs="Times New Roman" w:eastAsia="Times New Roman" w:hint="default"/>
          <w:sz w:val="21"/>
          <w:szCs w:val="21"/>
        </w:rPr>
        <w:t>”</w:t>
      </w:r>
      <w:r>
        <w:rPr>
          <w:rFonts w:ascii="宋体" w:hAnsi="宋体" w:cs="宋体" w:eastAsia="宋体" w:hint="default"/>
          <w:sz w:val="21"/>
          <w:szCs w:val="21"/>
        </w:rPr>
        <w:t>金额为</w:t>
      </w:r>
      <w:r>
        <w:rPr>
          <w:rFonts w:ascii="Times New Roman" w:hAnsi="Times New Roman" w:cs="Times New Roman" w:eastAsia="Times New Roman" w:hint="default"/>
          <w:sz w:val="21"/>
          <w:szCs w:val="21"/>
        </w:rPr>
        <w:t>161,346,278.88</w:t>
      </w:r>
      <w:r>
        <w:rPr>
          <w:rFonts w:ascii="宋体" w:hAnsi="宋体" w:cs="宋体" w:eastAsia="宋体" w:hint="default"/>
          <w:sz w:val="21"/>
          <w:szCs w:val="21"/>
        </w:rPr>
        <w:t>元，其中，处置其持有 </w:t>
      </w:r>
      <w:r>
        <w:rPr>
          <w:rFonts w:ascii="宋体" w:hAnsi="宋体" w:cs="宋体" w:eastAsia="宋体" w:hint="default"/>
          <w:spacing w:val="-1"/>
          <w:sz w:val="21"/>
          <w:szCs w:val="21"/>
        </w:rPr>
        <w:t>的东方富海（上海）创业投资企业（有限合伙）中</w:t>
      </w:r>
      <w:r>
        <w:rPr>
          <w:rFonts w:ascii="Times New Roman" w:hAnsi="Times New Roman" w:cs="Times New Roman" w:eastAsia="Times New Roman" w:hint="default"/>
          <w:spacing w:val="-1"/>
          <w:sz w:val="21"/>
          <w:szCs w:val="21"/>
        </w:rPr>
        <w:t>18.98%</w:t>
      </w:r>
      <w:r>
        <w:rPr>
          <w:rFonts w:ascii="宋体" w:hAnsi="宋体" w:cs="宋体" w:eastAsia="宋体" w:hint="default"/>
          <w:spacing w:val="-1"/>
          <w:sz w:val="21"/>
          <w:szCs w:val="21"/>
        </w:rPr>
        <w:t>的财产份额及对应的财产权益而取得的投资收益</w:t>
      </w:r>
      <w:r>
        <w:rPr>
          <w:rFonts w:ascii="宋体" w:hAnsi="宋体" w:cs="宋体" w:eastAsia="宋体" w:hint="default"/>
          <w:spacing w:val="-96"/>
          <w:sz w:val="21"/>
          <w:szCs w:val="21"/>
        </w:rPr>
        <w:t> </w:t>
      </w:r>
      <w:r>
        <w:rPr>
          <w:rFonts w:ascii="Times New Roman" w:hAnsi="Times New Roman" w:cs="Times New Roman" w:eastAsia="Times New Roman" w:hint="default"/>
          <w:sz w:val="21"/>
          <w:szCs w:val="21"/>
        </w:rPr>
        <w:t>30,035,606.00</w:t>
      </w:r>
      <w:r>
        <w:rPr>
          <w:rFonts w:ascii="宋体" w:hAnsi="宋体" w:cs="宋体" w:eastAsia="宋体" w:hint="default"/>
          <w:sz w:val="21"/>
          <w:szCs w:val="21"/>
        </w:rPr>
        <w:t>元；处置其持有的和力辰光国际文化传媒（北京）有限公司</w:t>
      </w:r>
      <w:r>
        <w:rPr>
          <w:rFonts w:ascii="Times New Roman" w:hAnsi="Times New Roman" w:cs="Times New Roman" w:eastAsia="Times New Roman" w:hint="default"/>
          <w:sz w:val="21"/>
          <w:szCs w:val="21"/>
        </w:rPr>
        <w:t>3%</w:t>
      </w:r>
      <w:r>
        <w:rPr>
          <w:rFonts w:ascii="宋体" w:hAnsi="宋体" w:cs="宋体" w:eastAsia="宋体" w:hint="default"/>
          <w:sz w:val="21"/>
          <w:szCs w:val="21"/>
        </w:rPr>
        <w:t>的股权获得投资收益</w:t>
      </w:r>
    </w:p>
    <w:p>
      <w:pPr>
        <w:spacing w:line="256" w:lineRule="auto" w:before="5"/>
        <w:ind w:left="154" w:right="109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18,000,000.00</w:t>
      </w:r>
      <w:r>
        <w:rPr>
          <w:rFonts w:ascii="宋体" w:hAnsi="宋体" w:cs="宋体" w:eastAsia="宋体" w:hint="default"/>
          <w:sz w:val="21"/>
          <w:szCs w:val="21"/>
        </w:rPr>
        <w:t>元；转让持有的</w:t>
      </w:r>
      <w:r>
        <w:rPr>
          <w:rFonts w:ascii="Times New Roman" w:hAnsi="Times New Roman" w:cs="Times New Roman" w:eastAsia="Times New Roman" w:hint="default"/>
          <w:sz w:val="21"/>
          <w:szCs w:val="21"/>
        </w:rPr>
        <w:t>Source Code QFQ Linkage</w:t>
      </w:r>
      <w:r>
        <w:rPr>
          <w:rFonts w:ascii="Times New Roman" w:hAnsi="Times New Roman" w:cs="Times New Roman" w:eastAsia="Times New Roman" w:hint="default"/>
          <w:spacing w:val="-7"/>
          <w:sz w:val="21"/>
          <w:szCs w:val="21"/>
        </w:rPr>
        <w:t> </w:t>
      </w:r>
      <w:r>
        <w:rPr>
          <w:rFonts w:ascii="Times New Roman" w:hAnsi="Times New Roman" w:cs="Times New Roman" w:eastAsia="Times New Roman" w:hint="default"/>
          <w:sz w:val="21"/>
          <w:szCs w:val="21"/>
        </w:rPr>
        <w:t>L.P.</w:t>
      </w:r>
      <w:r>
        <w:rPr>
          <w:rFonts w:ascii="宋体" w:hAnsi="宋体" w:cs="宋体" w:eastAsia="宋体" w:hint="default"/>
          <w:sz w:val="21"/>
          <w:szCs w:val="21"/>
        </w:rPr>
        <w:t>股权以</w:t>
      </w:r>
      <w:r>
        <w:rPr>
          <w:rFonts w:ascii="Times New Roman" w:hAnsi="Times New Roman" w:cs="Times New Roman" w:eastAsia="Times New Roman" w:hint="default"/>
          <w:sz w:val="21"/>
          <w:szCs w:val="21"/>
        </w:rPr>
        <w:t>30,186,801.49</w:t>
      </w:r>
      <w:r>
        <w:rPr>
          <w:rFonts w:ascii="宋体" w:hAnsi="宋体" w:cs="宋体" w:eastAsia="宋体" w:hint="default"/>
          <w:sz w:val="21"/>
          <w:szCs w:val="21"/>
        </w:rPr>
        <w:t>美元价款转让给 </w:t>
      </w:r>
      <w:r>
        <w:rPr>
          <w:rFonts w:ascii="Times New Roman" w:hAnsi="Times New Roman" w:cs="Times New Roman" w:eastAsia="Times New Roman" w:hint="default"/>
          <w:sz w:val="21"/>
          <w:szCs w:val="21"/>
        </w:rPr>
        <w:t>kunlunkemilimited</w:t>
      </w:r>
      <w:r>
        <w:rPr>
          <w:rFonts w:ascii="宋体" w:hAnsi="宋体" w:cs="宋体" w:eastAsia="宋体" w:hint="default"/>
          <w:sz w:val="21"/>
          <w:szCs w:val="21"/>
        </w:rPr>
        <w:t>，取得投资收益</w:t>
      </w:r>
      <w:r>
        <w:rPr>
          <w:rFonts w:ascii="Times New Roman" w:hAnsi="Times New Roman" w:cs="Times New Roman" w:eastAsia="Times New Roman" w:hint="default"/>
          <w:sz w:val="21"/>
          <w:szCs w:val="21"/>
        </w:rPr>
        <w:t>113,310,672.88</w:t>
      </w:r>
      <w:r>
        <w:rPr>
          <w:rFonts w:ascii="宋体" w:hAnsi="宋体" w:cs="宋体" w:eastAsia="宋体" w:hint="default"/>
          <w:sz w:val="21"/>
          <w:szCs w:val="21"/>
        </w:rPr>
        <w:t>元。</w:t>
      </w:r>
    </w:p>
    <w:p>
      <w:pPr>
        <w:spacing w:before="46"/>
        <w:ind w:left="490"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2015</w:t>
      </w:r>
      <w:r>
        <w:rPr>
          <w:rFonts w:ascii="宋体" w:hAnsi="宋体" w:cs="宋体" w:eastAsia="宋体" w:hint="default"/>
          <w:sz w:val="21"/>
          <w:szCs w:val="21"/>
        </w:rPr>
        <w:t>年投资收益</w:t>
      </w:r>
      <w:r>
        <w:rPr>
          <w:rFonts w:ascii="Times New Roman" w:hAnsi="Times New Roman" w:cs="Times New Roman" w:eastAsia="Times New Roman" w:hint="default"/>
          <w:sz w:val="21"/>
          <w:szCs w:val="21"/>
        </w:rPr>
        <w:t>“</w:t>
      </w:r>
      <w:r>
        <w:rPr>
          <w:rFonts w:ascii="宋体" w:hAnsi="宋体" w:cs="宋体" w:eastAsia="宋体" w:hint="default"/>
          <w:sz w:val="21"/>
          <w:szCs w:val="21"/>
        </w:rPr>
        <w:t>其他</w:t>
      </w:r>
      <w:r>
        <w:rPr>
          <w:rFonts w:ascii="Times New Roman" w:hAnsi="Times New Roman" w:cs="Times New Roman" w:eastAsia="Times New Roman" w:hint="default"/>
          <w:sz w:val="21"/>
          <w:szCs w:val="21"/>
        </w:rPr>
        <w:t>”</w:t>
      </w:r>
      <w:r>
        <w:rPr>
          <w:rFonts w:ascii="宋体" w:hAnsi="宋体" w:cs="宋体" w:eastAsia="宋体" w:hint="default"/>
          <w:sz w:val="21"/>
          <w:szCs w:val="21"/>
        </w:rPr>
        <w:t>金额为</w:t>
      </w:r>
      <w:r>
        <w:rPr>
          <w:rFonts w:ascii="Times New Roman" w:hAnsi="Times New Roman" w:cs="Times New Roman" w:eastAsia="Times New Roman" w:hint="default"/>
          <w:sz w:val="21"/>
          <w:szCs w:val="21"/>
        </w:rPr>
        <w:t>4,505,602.71</w:t>
      </w:r>
      <w:r>
        <w:rPr>
          <w:rFonts w:ascii="宋体" w:hAnsi="宋体" w:cs="宋体" w:eastAsia="宋体" w:hint="default"/>
          <w:sz w:val="21"/>
          <w:szCs w:val="21"/>
        </w:rPr>
        <w:t>元，系公司购买银行理财产品产生的投资收益。</w:t>
      </w:r>
    </w:p>
    <w:p>
      <w:pPr>
        <w:spacing w:line="240" w:lineRule="auto" w:before="6"/>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69</w:t>
      </w:r>
      <w:r>
        <w:rPr>
          <w:rFonts w:ascii="Microsoft JhengHei" w:hAnsi="Microsoft JhengHei" w:cs="Microsoft JhengHei" w:eastAsia="Microsoft JhengHei" w:hint="default"/>
          <w:b/>
          <w:bCs/>
          <w:sz w:val="21"/>
          <w:szCs w:val="21"/>
        </w:rPr>
        <w:t>、营业外收入</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90" w:type="dxa"/>
            <w:vMerge/>
            <w:tcBorders>
              <w:left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56,165.19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16,273.11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56,165.19</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56,165.19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16,273.11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56,165.19</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11,889,531.29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4,237,636.12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11,889,531.29</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2,506,090.61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2,697,734.19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2,506,090.61</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14,451,787.09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6,951,643.42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14,451,787.09</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6"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4"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71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left"/>
              <w:rPr>
                <w:rFonts w:ascii="宋体" w:hAnsi="宋体" w:cs="宋体" w:eastAsia="宋体" w:hint="default"/>
                <w:sz w:val="18"/>
                <w:szCs w:val="18"/>
              </w:rPr>
            </w:pPr>
            <w:r>
              <w:rPr>
                <w:rFonts w:ascii="宋体" w:hAnsi="宋体" w:cs="宋体" w:eastAsia="宋体" w:hint="default"/>
                <w:sz w:val="18"/>
                <w:szCs w:val="18"/>
              </w:rPr>
              <w:t>石景山科学 技术奖</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left"/>
              <w:rPr>
                <w:rFonts w:ascii="宋体" w:hAnsi="宋体" w:cs="宋体" w:eastAsia="宋体" w:hint="default"/>
                <w:sz w:val="18"/>
                <w:szCs w:val="18"/>
              </w:rPr>
            </w:pPr>
            <w:r>
              <w:rPr>
                <w:rFonts w:ascii="宋体" w:hAnsi="宋体" w:cs="宋体" w:eastAsia="宋体" w:hint="default"/>
                <w:sz w:val="18"/>
                <w:szCs w:val="18"/>
              </w:rPr>
              <w:t>文化创新发 展专项资金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1,750,000.00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企业技术改 造和创新资 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9,652,000.00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科委专项</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287,531.29</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中关村国际 化发展专项 资金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47,636.12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left"/>
              <w:rPr>
                <w:rFonts w:ascii="宋体" w:hAnsi="宋体" w:cs="宋体" w:eastAsia="宋体" w:hint="default"/>
                <w:sz w:val="18"/>
                <w:szCs w:val="18"/>
              </w:rPr>
            </w:pPr>
            <w:r>
              <w:rPr>
                <w:rFonts w:ascii="宋体" w:hAnsi="宋体" w:cs="宋体" w:eastAsia="宋体" w:hint="default"/>
                <w:sz w:val="18"/>
                <w:szCs w:val="18"/>
              </w:rPr>
              <w:t>中介服务支 持资金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31"/>
              <w:jc w:val="both"/>
              <w:rPr>
                <w:rFonts w:ascii="宋体" w:hAnsi="宋体" w:cs="宋体" w:eastAsia="宋体" w:hint="default"/>
                <w:sz w:val="18"/>
                <w:szCs w:val="18"/>
              </w:rPr>
            </w:pPr>
            <w:r>
              <w:rPr>
                <w:rFonts w:ascii="宋体" w:hAnsi="宋体" w:cs="宋体" w:eastAsia="宋体" w:hint="default"/>
                <w:sz w:val="18"/>
                <w:szCs w:val="18"/>
              </w:rPr>
              <w:t>中央文化产 业发展专项 资金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海外开拓项</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3"/>
        <w:gridCol w:w="1063"/>
      </w:tblGrid>
      <w:tr>
        <w:trPr>
          <w:trHeight w:val="36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目文创基金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11,889,531.2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4,237,636.12</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70</w:t>
      </w:r>
      <w:r>
        <w:rPr>
          <w:rFonts w:ascii="Microsoft JhengHei" w:hAnsi="Microsoft JhengHei" w:cs="Microsoft JhengHei" w:eastAsia="Microsoft JhengHei" w:hint="default"/>
          <w:b/>
          <w:bCs/>
          <w:sz w:val="21"/>
          <w:szCs w:val="21"/>
        </w:rPr>
        <w:t>、营业外支出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90" w:type="dxa"/>
            <w:vMerge/>
            <w:tcBorders>
              <w:left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vMerge/>
            <w:tcBorders>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94,034.72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112,769.69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94,034.72</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94,034.72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112,769.69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94,034.72</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200,000.00</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746,692.10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658,475.78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746,692.10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1,040,726.82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771,245.47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1,040,726.82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71</w:t>
      </w:r>
      <w:r>
        <w:rPr>
          <w:rFonts w:ascii="Microsoft JhengHei" w:hAnsi="Microsoft JhengHei" w:cs="Microsoft JhengHei" w:eastAsia="Microsoft JhengHei" w:hint="default"/>
          <w:b/>
          <w:bCs/>
          <w:sz w:val="21"/>
          <w:szCs w:val="21"/>
        </w:rPr>
        <w:t>、所得税费用</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）所得税费用表</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10,840,906.64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2,278,000.42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-170,766.46</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1,025,819.62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10,670,140.18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3,303,820.04</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）会计利润与所得税费用调整过程</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397"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7"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pacing w:val="-1"/>
                <w:sz w:val="18"/>
              </w:rPr>
              <w:t>415,958,538.95</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62,393,780.84</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-25,328,833.53</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-2,174,804.23</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-24,220,002.90</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10,670,140.18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72</w:t>
      </w:r>
      <w:r>
        <w:rPr>
          <w:rFonts w:ascii="Microsoft JhengHei" w:hAnsi="Microsoft JhengHei" w:cs="Microsoft JhengHei" w:eastAsia="Microsoft JhengHei" w:hint="default"/>
          <w:b/>
          <w:bCs/>
          <w:sz w:val="21"/>
          <w:szCs w:val="21"/>
        </w:rPr>
        <w:t>、其他综合收益</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详见附注。</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73</w:t>
      </w:r>
      <w:r>
        <w:rPr>
          <w:rFonts w:ascii="Microsoft JhengHei" w:hAnsi="Microsoft JhengHei" w:cs="Microsoft JhengHei" w:eastAsia="Microsoft JhengHei" w:hint="default"/>
          <w:b/>
          <w:bCs/>
          <w:sz w:val="21"/>
          <w:szCs w:val="21"/>
        </w:rPr>
        <w:t>、现金流量表项目</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）收到的其他与经营活动有关的现金</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收回往来款、代垫款、预缴税费返还款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170,656,657.12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49,462,881.31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10,557,609.18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515,312.77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14,395,621.90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6,935,370.31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195,609,888.20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56,913,564.39</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）支付的其他与经营活动有关的现金</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支付往来款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105,894,612.58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45,708,496.06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销售费用支出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337,597,494.32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227,914,300.05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管理费用支出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54,178,659.06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73,161,286.17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手续费支出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4,967,226.58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387,434.65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946,692.10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658,475.78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503,584,684.64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347,829,992.71</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）收到的其他与投资活动有关的现金</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收回过桥贷款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137,473,950.35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137,473,950.35</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10"/>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）支付的其他与投资活动有关的现金</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过桥贷款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12,293,530.43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31,161,959.59</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277,345.25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171,439,304.84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12,293,530.43</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）收到的其他与筹资活动有关的现金</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357" w:lineRule="auto" w:before="51"/>
        <w:ind w:left="154" w:right="6532" w:firstLine="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）支付的其他与筹资活动有关的现金</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中介机构上市费用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6,698,552.36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1,640,010.20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股权激励服务费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152,531.00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中期分红派息股权登记服务费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533,999.99</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非公开发行中介机构费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650,000.00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借款保证金支出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53,000,000.00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61,035,083.35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1,640,010.20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74</w:t>
      </w:r>
      <w:r>
        <w:rPr>
          <w:rFonts w:ascii="Microsoft JhengHei" w:hAnsi="Microsoft JhengHei" w:cs="Microsoft JhengHei" w:eastAsia="Microsoft JhengHei" w:hint="default"/>
          <w:b/>
          <w:bCs/>
          <w:sz w:val="21"/>
          <w:szCs w:val="21"/>
        </w:rPr>
        <w:t>、现金流量表补充资料</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）现金流量表补充资料</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405,288,398.77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326,382,276.82</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4,222,758.24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18,736,630.15</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5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13,375,232.15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13,342,578.88</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5,145,563.86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5,741,983.36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r>
        <w:rPr/>
        <w:pict>
          <v:shape style="position:absolute;margin-left:190.160004pt;margin-top:168.499985pt;width:185.55pt;height:19.650pt;mso-position-horizontal-relative:page;mso-position-vertical-relative:page;z-index:-965416"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号填列）</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3328"/>
        <w:gridCol w:w="1110"/>
        <w:gridCol w:w="194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61,706,817.63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53,867,457.19</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7"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37,869.53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96,496.58</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29" w:right="0"/>
              <w:jc w:val="left"/>
              <w:rPr>
                <w:rFonts w:ascii="Times New Roman" w:hAnsi="Times New Roman" w:cs="Times New Roman" w:eastAsia="Times New Roman" w:hint="default"/>
                <w:sz w:val="18"/>
                <w:szCs w:val="18"/>
              </w:rPr>
            </w:pPr>
            <w:r>
              <w:rPr>
                <w:rFonts w:ascii="Times New Roman"/>
                <w:sz w:val="18"/>
              </w:rPr>
              <w:t>-69,814,706.07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10,841,847.97</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39" w:right="0"/>
              <w:jc w:val="left"/>
              <w:rPr>
                <w:rFonts w:ascii="Times New Roman" w:hAnsi="Times New Roman" w:cs="Times New Roman" w:eastAsia="Times New Roman" w:hint="default"/>
                <w:sz w:val="18"/>
                <w:szCs w:val="18"/>
              </w:rPr>
            </w:pPr>
            <w:r>
              <w:rPr>
                <w:rFonts w:ascii="Times New Roman"/>
                <w:sz w:val="18"/>
              </w:rPr>
              <w:t>-158,792,517.68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13,824.04</w:t>
            </w:r>
          </w:p>
        </w:tc>
      </w:tr>
      <w:tr>
        <w:trPr>
          <w:trHeight w:val="402" w:hRule="exact"/>
        </w:trPr>
        <w:tc>
          <w:tcPr>
            <w:tcW w:w="3328"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p>
        </w:tc>
        <w:tc>
          <w:tcPr>
            <w:tcW w:w="1110" w:type="dxa"/>
            <w:tcBorders>
              <w:top w:val="single" w:sz="4" w:space="0" w:color="000000"/>
              <w:left w:val="single" w:sz="9" w:space="0" w:color="FFFFFF"/>
              <w:bottom w:val="single" w:sz="4" w:space="0" w:color="000000"/>
              <w:right w:val="nil" w:sz="6" w:space="0" w:color="auto"/>
            </w:tcBorders>
          </w:tcPr>
          <w:p>
            <w:pPr/>
          </w:p>
        </w:tc>
        <w:tc>
          <w:tcPr>
            <w:tcW w:w="1947" w:type="dxa"/>
            <w:tcBorders>
              <w:top w:val="single" w:sz="4" w:space="0" w:color="000000"/>
              <w:left w:val="nil" w:sz="6" w:space="0" w:color="auto"/>
              <w:bottom w:val="single" w:sz="4" w:space="0" w:color="000000"/>
              <w:right w:val="single" w:sz="9" w:space="0" w:color="FFFFFF"/>
            </w:tcBorders>
          </w:tcPr>
          <w:p>
            <w:pPr>
              <w:pStyle w:val="TableParagraph"/>
              <w:spacing w:line="240" w:lineRule="auto" w:before="91"/>
              <w:ind w:left="1048" w:right="0"/>
              <w:jc w:val="left"/>
              <w:rPr>
                <w:rFonts w:ascii="Times New Roman" w:hAnsi="Times New Roman" w:cs="Times New Roman" w:eastAsia="Times New Roman" w:hint="default"/>
                <w:sz w:val="18"/>
                <w:szCs w:val="18"/>
              </w:rPr>
            </w:pPr>
            <w:r>
              <w:rPr>
                <w:rFonts w:ascii="Times New Roman"/>
                <w:sz w:val="18"/>
              </w:rPr>
              <w:t>-170,766.46</w:t>
            </w:r>
          </w:p>
        </w:tc>
        <w:tc>
          <w:tcPr>
            <w:tcW w:w="3184"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1,025,819.62</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3"/>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7"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27" w:right="0"/>
              <w:jc w:val="left"/>
              <w:rPr>
                <w:rFonts w:ascii="Times New Roman" w:hAnsi="Times New Roman" w:cs="Times New Roman" w:eastAsia="Times New Roman" w:hint="default"/>
                <w:sz w:val="18"/>
                <w:szCs w:val="18"/>
              </w:rPr>
            </w:pPr>
            <w:r>
              <w:rPr>
                <w:rFonts w:ascii="Times New Roman"/>
                <w:sz w:val="18"/>
              </w:rPr>
              <w:t>-175,056,021.92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-93,856,970.40</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3"/>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7"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77" w:right="0"/>
              <w:jc w:val="left"/>
              <w:rPr>
                <w:rFonts w:ascii="Times New Roman" w:hAnsi="Times New Roman" w:cs="Times New Roman" w:eastAsia="Times New Roman" w:hint="default"/>
                <w:sz w:val="18"/>
                <w:szCs w:val="18"/>
              </w:rPr>
            </w:pPr>
            <w:r>
              <w:rPr>
                <w:rFonts w:ascii="Times New Roman"/>
                <w:sz w:val="18"/>
              </w:rPr>
              <w:t>74,729,873.20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60,608,274.86</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31,480,813.85</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192,153,315.10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396,800,219.07</w:t>
            </w:r>
          </w:p>
        </w:tc>
      </w:tr>
      <w:tr>
        <w:trPr>
          <w:trHeight w:val="161" w:hRule="exact"/>
        </w:trPr>
        <w:tc>
          <w:tcPr>
            <w:tcW w:w="3328" w:type="dxa"/>
            <w:vMerge w:val="restart"/>
            <w:tcBorders>
              <w:top w:val="single" w:sz="4" w:space="0" w:color="000000"/>
              <w:left w:val="single" w:sz="4" w:space="0" w:color="000000"/>
              <w:right w:val="single" w:sz="4" w:space="0" w:color="000000"/>
            </w:tcBorders>
            <w:shd w:val="clear" w:color="auto" w:fill="D2D2D2"/>
          </w:tcPr>
          <w:p>
            <w:pPr>
              <w:pStyle w:val="TableParagraph"/>
              <w:spacing w:line="302" w:lineRule="auto" w:before="51"/>
              <w:ind w:left="22" w:right="14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57"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328" w:type="dxa"/>
            <w:vMerge/>
            <w:tcBorders>
              <w:left w:val="single" w:sz="4" w:space="0" w:color="000000"/>
              <w:right w:val="single" w:sz="4" w:space="0" w:color="000000"/>
            </w:tcBorders>
            <w:shd w:val="clear" w:color="auto" w:fill="D2D2D2"/>
          </w:tcPr>
          <w:p>
            <w:pPr/>
          </w:p>
        </w:tc>
        <w:tc>
          <w:tcPr>
            <w:tcW w:w="3057"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28" w:type="dxa"/>
            <w:vMerge/>
            <w:tcBorders>
              <w:left w:val="single" w:sz="4" w:space="0" w:color="000000"/>
              <w:bottom w:val="single" w:sz="4" w:space="0" w:color="000000"/>
              <w:right w:val="single" w:sz="4" w:space="0" w:color="000000"/>
            </w:tcBorders>
            <w:shd w:val="clear" w:color="auto" w:fill="D2D2D2"/>
          </w:tcPr>
          <w:p>
            <w:pPr/>
          </w:p>
        </w:tc>
        <w:tc>
          <w:tcPr>
            <w:tcW w:w="3057"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5" w:right="0"/>
              <w:jc w:val="left"/>
              <w:rPr>
                <w:rFonts w:ascii="Times New Roman" w:hAnsi="Times New Roman" w:cs="Times New Roman" w:eastAsia="Times New Roman" w:hint="default"/>
                <w:sz w:val="18"/>
                <w:szCs w:val="18"/>
              </w:rPr>
            </w:pPr>
            <w:r>
              <w:rPr>
                <w:rFonts w:ascii="Times New Roman"/>
                <w:sz w:val="18"/>
              </w:rPr>
              <w:t>994,811,978.64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704,825,166.03</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704,825,166.03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659,662,605.55</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289,986,812.61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45,162,560.48</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）本期支付的取得子公司的现金净额</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357" w:lineRule="auto" w:before="51"/>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）本期收到的处置子公司的现金净额</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2"/>
        <w:rPr>
          <w:rFonts w:ascii="宋体" w:hAnsi="宋体" w:cs="宋体" w:eastAsia="宋体" w:hint="default"/>
          <w:sz w:val="25"/>
          <w:szCs w:val="25"/>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）现金和现金等价物的构成</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7"/>
        <w:gridCol w:w="3184"/>
      </w:tblGrid>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994,811,978.64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704,825,166.03</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296,996.35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383,300.82</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994,514,982.29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704,441,865.21</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994,811,978.64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704,825,166.03</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line="482" w:lineRule="auto" w:before="0"/>
        <w:ind w:left="154" w:right="439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75</w:t>
      </w:r>
      <w:r>
        <w:rPr>
          <w:rFonts w:ascii="Microsoft JhengHei" w:hAnsi="Microsoft JhengHei" w:cs="Microsoft JhengHei" w:eastAsia="Microsoft JhengHei" w:hint="default"/>
          <w:b/>
          <w:bCs/>
          <w:sz w:val="21"/>
          <w:szCs w:val="21"/>
        </w:rPr>
        <w:t>、所有者权益变动表项目注释</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z w:val="18"/>
          <w:szCs w:val="18"/>
        </w:rPr>
        <w:t>说明对上年期末余额进行调整的</w:t>
      </w: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r>
        <w:rPr>
          <w:rFonts w:ascii="Times New Roman" w:hAnsi="Times New Roman" w:cs="Times New Roman" w:eastAsia="Times New Roman" w:hint="default"/>
          <w:sz w:val="18"/>
          <w:szCs w:val="18"/>
        </w:rPr>
        <w:t>”</w:t>
      </w:r>
      <w:r>
        <w:rPr>
          <w:rFonts w:ascii="宋体" w:hAnsi="宋体" w:cs="宋体" w:eastAsia="宋体" w:hint="default"/>
          <w:sz w:val="18"/>
          <w:szCs w:val="18"/>
        </w:rPr>
        <w:t>项目名称及调整金额等事项： </w:t>
      </w:r>
      <w:r>
        <w:rPr>
          <w:rFonts w:ascii="Times New Roman" w:hAnsi="Times New Roman" w:cs="Times New Roman" w:eastAsia="Times New Roman" w:hint="default"/>
          <w:b/>
          <w:bCs/>
          <w:sz w:val="21"/>
          <w:szCs w:val="21"/>
        </w:rPr>
        <w:t>76</w:t>
      </w:r>
      <w:r>
        <w:rPr>
          <w:rFonts w:ascii="Microsoft JhengHei" w:hAnsi="Microsoft JhengHei" w:cs="Microsoft JhengHei" w:eastAsia="Microsoft JhengHei" w:hint="default"/>
          <w:b/>
          <w:bCs/>
          <w:sz w:val="21"/>
          <w:szCs w:val="21"/>
        </w:rPr>
        <w:t>、所有权或使用权受到限制的资产</w:t>
      </w:r>
      <w:r>
        <w:rPr>
          <w:rFonts w:ascii="Microsoft JhengHei" w:hAnsi="Microsoft JhengHei" w:cs="Microsoft JhengHei" w:eastAsia="Microsoft JhengHei" w:hint="default"/>
          <w:sz w:val="21"/>
          <w:szCs w:val="21"/>
        </w:rPr>
      </w:r>
    </w:p>
    <w:p>
      <w:pPr>
        <w:spacing w:before="59"/>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161" w:hRule="exact"/>
        </w:trPr>
        <w:tc>
          <w:tcPr>
            <w:tcW w:w="3328" w:type="dxa"/>
            <w:tcBorders>
              <w:top w:val="single" w:sz="4" w:space="0" w:color="000000"/>
              <w:left w:val="single" w:sz="4" w:space="0" w:color="000000"/>
              <w:bottom w:val="nil" w:sz="6" w:space="0" w:color="auto"/>
              <w:right w:val="single" w:sz="4" w:space="0" w:color="000000"/>
            </w:tcBorders>
            <w:shd w:val="clear" w:color="auto" w:fill="D2D2D2"/>
          </w:tcPr>
          <w:p>
            <w:pPr/>
          </w:p>
        </w:tc>
        <w:tc>
          <w:tcPr>
            <w:tcW w:w="305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89" w:right="0"/>
              <w:jc w:val="left"/>
              <w:rPr>
                <w:rFonts w:ascii="Times New Roman" w:hAnsi="Times New Roman" w:cs="Times New Roman" w:eastAsia="Times New Roman" w:hint="default"/>
                <w:sz w:val="18"/>
                <w:szCs w:val="18"/>
              </w:rPr>
            </w:pPr>
            <w:r>
              <w:rPr>
                <w:rFonts w:ascii="Times New Roman"/>
                <w:sz w:val="18"/>
              </w:rPr>
              <w:t>53,000,000.00</w:t>
            </w:r>
          </w:p>
        </w:tc>
        <w:tc>
          <w:tcPr>
            <w:tcW w:w="3184" w:type="dxa"/>
            <w:vMerge w:val="restart"/>
            <w:tcBorders>
              <w:top w:val="single" w:sz="4" w:space="0" w:color="000000"/>
              <w:left w:val="single" w:sz="4" w:space="0" w:color="000000"/>
              <w:right w:val="single" w:sz="4" w:space="0" w:color="000000"/>
            </w:tcBorders>
          </w:tcPr>
          <w:p>
            <w:pPr>
              <w:pStyle w:val="TableParagraph"/>
              <w:spacing w:line="316" w:lineRule="auto" w:before="51"/>
              <w:ind w:left="22" w:right="89"/>
              <w:jc w:val="left"/>
              <w:rPr>
                <w:rFonts w:ascii="宋体" w:hAnsi="宋体" w:cs="宋体" w:eastAsia="宋体" w:hint="default"/>
                <w:sz w:val="18"/>
                <w:szCs w:val="18"/>
              </w:rPr>
            </w:pPr>
            <w:r>
              <w:rPr>
                <w:rFonts w:ascii="宋体" w:hAnsi="宋体" w:cs="宋体" w:eastAsia="宋体" w:hint="default"/>
                <w:sz w:val="18"/>
                <w:szCs w:val="18"/>
              </w:rPr>
              <w:t>向银行申请开具无条件、不可撤销的担 保函所存入的保证金存款</w:t>
            </w:r>
          </w:p>
        </w:tc>
      </w:tr>
      <w:tr>
        <w:trPr>
          <w:trHeight w:val="392" w:hRule="exact"/>
        </w:trPr>
        <w:tc>
          <w:tcPr>
            <w:tcW w:w="33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7" w:type="dxa"/>
            <w:vMerge/>
            <w:tcBorders>
              <w:left w:val="single" w:sz="4" w:space="0" w:color="000000"/>
              <w:right w:val="single" w:sz="4" w:space="0" w:color="000000"/>
            </w:tcBorders>
          </w:tcPr>
          <w:p>
            <w:pPr/>
          </w:p>
        </w:tc>
        <w:tc>
          <w:tcPr>
            <w:tcW w:w="3184" w:type="dxa"/>
            <w:vMerge/>
            <w:tcBorders>
              <w:left w:val="single" w:sz="4" w:space="0" w:color="000000"/>
              <w:right w:val="single" w:sz="4" w:space="0" w:color="000000"/>
            </w:tcBorders>
          </w:tcPr>
          <w:p>
            <w:pPr/>
          </w:p>
        </w:tc>
      </w:tr>
      <w:tr>
        <w:trPr>
          <w:trHeight w:val="161" w:hRule="exact"/>
        </w:trPr>
        <w:tc>
          <w:tcPr>
            <w:tcW w:w="3328" w:type="dxa"/>
            <w:tcBorders>
              <w:top w:val="nil" w:sz="6" w:space="0" w:color="auto"/>
              <w:left w:val="single" w:sz="4" w:space="0" w:color="000000"/>
              <w:bottom w:val="single" w:sz="4" w:space="0" w:color="000000"/>
              <w:right w:val="single" w:sz="4" w:space="0" w:color="000000"/>
            </w:tcBorders>
            <w:shd w:val="clear" w:color="auto" w:fill="D2D2D2"/>
          </w:tcPr>
          <w:p>
            <w:pPr/>
          </w:p>
        </w:tc>
        <w:tc>
          <w:tcPr>
            <w:tcW w:w="3057" w:type="dxa"/>
            <w:vMerge/>
            <w:tcBorders>
              <w:left w:val="single" w:sz="4" w:space="0" w:color="000000"/>
              <w:bottom w:val="single" w:sz="4" w:space="0" w:color="000000"/>
              <w:right w:val="single" w:sz="4" w:space="0" w:color="000000"/>
            </w:tcBorders>
          </w:tcPr>
          <w:p>
            <w:pPr/>
          </w:p>
        </w:tc>
        <w:tc>
          <w:tcPr>
            <w:tcW w:w="3184" w:type="dxa"/>
            <w:vMerge/>
            <w:tcBorders>
              <w:left w:val="single" w:sz="4" w:space="0" w:color="000000"/>
              <w:bottom w:val="single" w:sz="4" w:space="0" w:color="000000"/>
              <w:right w:val="single" w:sz="4" w:space="0" w:color="000000"/>
            </w:tcBorders>
          </w:tcPr>
          <w:p>
            <w:pP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53,000,000.00</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77</w:t>
      </w:r>
      <w:r>
        <w:rPr>
          <w:rFonts w:ascii="Microsoft JhengHei" w:hAnsi="Microsoft JhengHei" w:cs="Microsoft JhengHei" w:eastAsia="Microsoft JhengHei" w:hint="default"/>
          <w:b/>
          <w:bCs/>
          <w:sz w:val="21"/>
          <w:szCs w:val="21"/>
        </w:rPr>
        <w:t>、外币货币性项目</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）外币货币性项目</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1"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455,756,331.54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24,069,761.10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6.49360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156,299,400.67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110,433.33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7.09520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783,546.56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269,280,705.03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0.83778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225,598,036.62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6,537,099.77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9.61590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62,860,097.68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1,233,734,585.00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0.005513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6,743,424.73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44,148,543.00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0.053875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2,378,502.75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416,903.85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1.513982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631,184.76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2,117,462.04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0.1968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416,716.53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145,947,517.00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0.00029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42,324.78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17,199.32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0.180034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3,096.46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444,486,440.96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40,247,587.01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6.4936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261,351,731.01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41,558,211.10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0.8378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34,817,469.26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787,245,820.93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0.005603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4,410,702.16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452,972.19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1.5140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685,791.56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547,708,066.41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0.1968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107,788,947.47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卢布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63,109,656.80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0.11072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5,579,987.34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64,580,372.08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0.1796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11,598,634.83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63,108,535,304.60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0.0002892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18,253,177.33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59,828,599.84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5,622,355.00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6.4936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36,509,324.43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23,630,318.88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0.8378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19,797,481.16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604,952,000.00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0.005603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3,389,364.57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87,471.13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1.5140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132,429.68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293,831,011.77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26,630,265.52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6.4936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172,926,292.18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89,466,927.35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0.8378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74,955,391.73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27,171,332.55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1.5140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41,136,897.53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858,948,423.34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0.005603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4,812,430.33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41,177,958.69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其中：港元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49,062,344.92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0.8378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41,103,451.33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13,298,474.00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0.005603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74,507.36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5"/>
        <w:rPr>
          <w:rFonts w:ascii="宋体" w:hAnsi="宋体" w:cs="宋体" w:eastAsia="宋体" w:hint="default"/>
          <w:sz w:val="26"/>
          <w:szCs w:val="26"/>
        </w:rPr>
      </w:pPr>
    </w:p>
    <w:p>
      <w:pPr>
        <w:spacing w:line="31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）境外经营实体说明，包括对于重要的境外经营实体，应披露其境外主要经营地、记账本位币及选择</w:t>
      </w:r>
      <w:r>
        <w:rPr>
          <w:rFonts w:ascii="Microsoft JhengHei" w:hAnsi="Microsoft JhengHei" w:cs="Microsoft JhengHei" w:eastAsia="Microsoft JhengHei" w:hint="default"/>
          <w:b/>
          <w:bCs/>
          <w:spacing w:val="23"/>
          <w:sz w:val="21"/>
          <w:szCs w:val="21"/>
        </w:rPr>
        <w:t> </w:t>
      </w:r>
      <w:r>
        <w:rPr>
          <w:rFonts w:ascii="Microsoft JhengHei" w:hAnsi="Microsoft JhengHei" w:cs="Microsoft JhengHei" w:eastAsia="Microsoft JhengHei" w:hint="default"/>
          <w:b/>
          <w:bCs/>
          <w:spacing w:val="23"/>
          <w:sz w:val="21"/>
          <w:szCs w:val="21"/>
        </w:rPr>
      </w:r>
      <w:r>
        <w:rPr>
          <w:rFonts w:ascii="Microsoft JhengHei" w:hAnsi="Microsoft JhengHei" w:cs="Microsoft JhengHei" w:eastAsia="Microsoft JhengHei" w:hint="default"/>
          <w:b/>
          <w:bCs/>
          <w:sz w:val="21"/>
          <w:szCs w:val="21"/>
        </w:rPr>
        <w:t>依据，记账本位币发生变化的还应披露原因。</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856" w:type="dxa"/>
        <w:tblLayout w:type="fixed"/>
        <w:tblCellMar>
          <w:top w:w="0" w:type="dxa"/>
          <w:left w:w="0" w:type="dxa"/>
          <w:bottom w:w="0" w:type="dxa"/>
          <w:right w:w="0" w:type="dxa"/>
        </w:tblCellMar>
        <w:tblLook w:val="01E0"/>
      </w:tblPr>
      <w:tblGrid>
        <w:gridCol w:w="4112"/>
        <w:gridCol w:w="1134"/>
        <w:gridCol w:w="1134"/>
        <w:gridCol w:w="1842"/>
      </w:tblGrid>
      <w:tr>
        <w:trPr>
          <w:trHeight w:val="355" w:hRule="exact"/>
        </w:trPr>
        <w:tc>
          <w:tcPr>
            <w:tcW w:w="41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境外经营实体</w:t>
            </w:r>
          </w:p>
        </w:tc>
        <w:tc>
          <w:tcPr>
            <w:tcW w:w="11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主要经营地</w:t>
            </w:r>
          </w:p>
        </w:tc>
        <w:tc>
          <w:tcPr>
            <w:tcW w:w="11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记账本位币</w:t>
            </w:r>
          </w:p>
        </w:tc>
        <w:tc>
          <w:tcPr>
            <w:tcW w:w="1842"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6"/>
              <w:jc w:val="center"/>
              <w:rPr>
                <w:rFonts w:ascii="宋体" w:hAnsi="宋体" w:cs="宋体" w:eastAsia="宋体" w:hint="default"/>
                <w:sz w:val="18"/>
                <w:szCs w:val="18"/>
              </w:rPr>
            </w:pPr>
            <w:r>
              <w:rPr>
                <w:rFonts w:ascii="宋体" w:hAnsi="宋体" w:cs="宋体" w:eastAsia="宋体" w:hint="default"/>
                <w:sz w:val="18"/>
                <w:szCs w:val="18"/>
              </w:rPr>
              <w:t>选择依据</w:t>
            </w:r>
          </w:p>
        </w:tc>
      </w:tr>
      <w:tr>
        <w:trPr>
          <w:trHeight w:val="353" w:hRule="exact"/>
        </w:trPr>
        <w:tc>
          <w:tcPr>
            <w:tcW w:w="411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left="2"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13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113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港币</w:t>
            </w:r>
          </w:p>
        </w:tc>
        <w:tc>
          <w:tcPr>
            <w:tcW w:w="184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1"/>
              <w:ind w:right="6"/>
              <w:jc w:val="center"/>
              <w:rPr>
                <w:rFonts w:ascii="宋体" w:hAnsi="宋体" w:cs="宋体" w:eastAsia="宋体" w:hint="default"/>
                <w:sz w:val="18"/>
                <w:szCs w:val="18"/>
              </w:rPr>
            </w:pPr>
            <w:r>
              <w:rPr>
                <w:rFonts w:ascii="宋体" w:hAnsi="宋体" w:cs="宋体" w:eastAsia="宋体" w:hint="default"/>
                <w:sz w:val="18"/>
                <w:szCs w:val="18"/>
              </w:rPr>
              <w:t>所处的主要经济环境</w:t>
            </w:r>
          </w:p>
        </w:tc>
      </w:tr>
      <w:tr>
        <w:trPr>
          <w:trHeight w:val="352" w:hRule="exact"/>
        </w:trPr>
        <w:tc>
          <w:tcPr>
            <w:tcW w:w="411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left="2" w:right="0"/>
              <w:jc w:val="left"/>
              <w:rPr>
                <w:rFonts w:ascii="Times New Roman" w:hAnsi="Times New Roman" w:cs="Times New Roman" w:eastAsia="Times New Roman" w:hint="default"/>
                <w:sz w:val="18"/>
                <w:szCs w:val="18"/>
              </w:rPr>
            </w:pPr>
            <w:r>
              <w:rPr>
                <w:rFonts w:ascii="Times New Roman"/>
                <w:sz w:val="18"/>
              </w:rPr>
              <w:t>KUNLUN GLOBAL INTERNATIONAL SDN.</w:t>
            </w:r>
            <w:r>
              <w:rPr>
                <w:rFonts w:ascii="Times New Roman"/>
                <w:spacing w:val="-7"/>
                <w:sz w:val="18"/>
              </w:rPr>
              <w:t> </w:t>
            </w:r>
            <w:r>
              <w:rPr>
                <w:rFonts w:ascii="Times New Roman"/>
                <w:sz w:val="18"/>
              </w:rPr>
              <w:t>BHD.</w:t>
            </w:r>
          </w:p>
        </w:tc>
        <w:tc>
          <w:tcPr>
            <w:tcW w:w="113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马来西亚</w:t>
            </w:r>
          </w:p>
        </w:tc>
        <w:tc>
          <w:tcPr>
            <w:tcW w:w="113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林吉特</w:t>
            </w:r>
          </w:p>
        </w:tc>
        <w:tc>
          <w:tcPr>
            <w:tcW w:w="184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hAnsi="宋体" w:cs="宋体" w:eastAsia="宋体" w:hint="default"/>
                <w:sz w:val="18"/>
                <w:szCs w:val="18"/>
              </w:rPr>
              <w:t>所处的主要经济环境</w:t>
            </w:r>
          </w:p>
        </w:tc>
      </w:tr>
      <w:tr>
        <w:trPr>
          <w:trHeight w:val="352" w:hRule="exact"/>
        </w:trPr>
        <w:tc>
          <w:tcPr>
            <w:tcW w:w="411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昆仑韩国株式会社</w:t>
            </w:r>
          </w:p>
        </w:tc>
        <w:tc>
          <w:tcPr>
            <w:tcW w:w="113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韩</w:t>
            </w:r>
            <w:r>
              <w:rPr>
                <w:rFonts w:ascii="宋体" w:hAnsi="宋体" w:cs="宋体" w:eastAsia="宋体" w:hint="default"/>
                <w:spacing w:val="-17"/>
                <w:sz w:val="18"/>
                <w:szCs w:val="18"/>
              </w:rPr>
              <w:t> </w:t>
            </w:r>
            <w:r>
              <w:rPr>
                <w:rFonts w:ascii="宋体" w:hAnsi="宋体" w:cs="宋体" w:eastAsia="宋体" w:hint="default"/>
                <w:sz w:val="18"/>
                <w:szCs w:val="18"/>
              </w:rPr>
              <w:t>国</w:t>
            </w:r>
          </w:p>
        </w:tc>
        <w:tc>
          <w:tcPr>
            <w:tcW w:w="113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韩元</w:t>
            </w:r>
          </w:p>
        </w:tc>
        <w:tc>
          <w:tcPr>
            <w:tcW w:w="184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hAnsi="宋体" w:cs="宋体" w:eastAsia="宋体" w:hint="default"/>
                <w:sz w:val="18"/>
                <w:szCs w:val="18"/>
              </w:rPr>
              <w:t>所处的主要经济环境</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78</w:t>
      </w:r>
      <w:r>
        <w:rPr>
          <w:rFonts w:ascii="Microsoft JhengHei" w:hAnsi="Microsoft JhengHei" w:cs="Microsoft JhengHei" w:eastAsia="Microsoft JhengHei" w:hint="default"/>
          <w:b/>
          <w:bCs/>
          <w:sz w:val="21"/>
          <w:szCs w:val="21"/>
        </w:rPr>
        <w:t>、套期</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按照套期类别披露套期项目及相关套期工具、被套期风险的定性和定量信息：</w:t>
      </w:r>
    </w:p>
    <w:p>
      <w:pPr>
        <w:spacing w:line="240" w:lineRule="auto" w:before="9"/>
        <w:rPr>
          <w:rFonts w:ascii="宋体" w:hAnsi="宋体" w:cs="宋体" w:eastAsia="宋体" w:hint="default"/>
          <w:sz w:val="21"/>
          <w:szCs w:val="21"/>
        </w:rPr>
      </w:pPr>
    </w:p>
    <w:p>
      <w:pPr>
        <w:spacing w:line="376" w:lineRule="auto" w:before="0"/>
        <w:ind w:left="154" w:right="7357"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79</w:t>
      </w:r>
      <w:r>
        <w:rPr>
          <w:rFonts w:ascii="Microsoft JhengHei" w:hAnsi="Microsoft JhengHei" w:cs="Microsoft JhengHei" w:eastAsia="Microsoft JhengHei" w:hint="default"/>
          <w:b/>
          <w:bCs/>
          <w:sz w:val="21"/>
          <w:szCs w:val="21"/>
        </w:rPr>
        <w:t>、其他 </w:t>
      </w:r>
      <w:r>
        <w:rPr>
          <w:rFonts w:ascii="Microsoft JhengHei" w:hAnsi="Microsoft JhengHei" w:cs="Microsoft JhengHei" w:eastAsia="Microsoft JhengHei" w:hint="default"/>
          <w:b/>
          <w:bCs/>
          <w:sz w:val="24"/>
          <w:szCs w:val="24"/>
        </w:rPr>
        <w:t>八、合并范围的变更</w:t>
      </w:r>
      <w:r>
        <w:rPr>
          <w:rFonts w:ascii="Microsoft JhengHei" w:hAnsi="Microsoft JhengHei" w:cs="Microsoft JhengHei" w:eastAsia="Microsoft JhengHei" w:hint="default"/>
          <w:b/>
          <w:bCs/>
          <w:sz w:val="24"/>
          <w:szCs w:val="24"/>
        </w:rPr>
        <w:t> </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、非同一控制下企业合并</w:t>
      </w:r>
      <w:r>
        <w:rPr>
          <w:rFonts w:ascii="Microsoft JhengHei" w:hAnsi="Microsoft JhengHei" w:cs="Microsoft JhengHei" w:eastAsia="Microsoft JhengHei" w:hint="default"/>
          <w:sz w:val="21"/>
          <w:szCs w:val="21"/>
        </w:rPr>
      </w:r>
    </w:p>
    <w:p>
      <w:pPr>
        <w:spacing w:before="88"/>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）本期发生的非同一控制下企业合并</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5"/>
        <w:gridCol w:w="1064"/>
        <w:gridCol w:w="1063"/>
        <w:gridCol w:w="1062"/>
        <w:gridCol w:w="1062"/>
        <w:gridCol w:w="1062"/>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5" w:right="76" w:hanging="361"/>
              <w:jc w:val="left"/>
              <w:rPr>
                <w:rFonts w:ascii="宋体" w:hAnsi="宋体" w:cs="宋体" w:eastAsia="宋体" w:hint="default"/>
                <w:sz w:val="18"/>
                <w:szCs w:val="18"/>
              </w:rPr>
            </w:pPr>
            <w:r>
              <w:rPr>
                <w:rFonts w:ascii="宋体" w:hAnsi="宋体" w:cs="宋体" w:eastAsia="宋体" w:hint="default"/>
                <w:sz w:val="18"/>
                <w:szCs w:val="18"/>
              </w:rPr>
              <w:t>被购买方名 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股权取得时 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股权取得成 本</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6" w:hanging="360"/>
              <w:jc w:val="left"/>
              <w:rPr>
                <w:rFonts w:ascii="宋体" w:hAnsi="宋体" w:cs="宋体" w:eastAsia="宋体" w:hint="default"/>
                <w:sz w:val="18"/>
                <w:szCs w:val="18"/>
              </w:rPr>
            </w:pPr>
            <w:r>
              <w:rPr>
                <w:rFonts w:ascii="宋体" w:hAnsi="宋体" w:cs="宋体" w:eastAsia="宋体" w:hint="default"/>
                <w:sz w:val="18"/>
                <w:szCs w:val="18"/>
              </w:rPr>
              <w:t>股权取得比 例</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股权取得方 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6"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5" w:right="75" w:hanging="180"/>
              <w:jc w:val="left"/>
              <w:rPr>
                <w:rFonts w:ascii="宋体" w:hAnsi="宋体" w:cs="宋体" w:eastAsia="宋体" w:hint="default"/>
                <w:sz w:val="18"/>
                <w:szCs w:val="18"/>
              </w:rPr>
            </w:pPr>
            <w:r>
              <w:rPr>
                <w:rFonts w:ascii="宋体" w:hAnsi="宋体" w:cs="宋体" w:eastAsia="宋体" w:hint="default"/>
                <w:sz w:val="18"/>
                <w:szCs w:val="18"/>
              </w:rPr>
              <w:t>购买日的确 定依据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p>
        </w:tc>
      </w:tr>
    </w:tbl>
    <w:p>
      <w:pPr>
        <w:spacing w:line="231" w:lineRule="exact"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Heading2"/>
        <w:spacing w:line="413" w:lineRule="exact"/>
        <w:ind w:right="0"/>
        <w:jc w:val="left"/>
        <w:rPr>
          <w:rFonts w:ascii="MS Gothic" w:hAnsi="MS Gothic" w:cs="MS Gothic" w:eastAsia="MS Gothic" w:hint="default"/>
          <w:b w:val="0"/>
          <w:bCs w:val="0"/>
          <w:sz w:val="18"/>
          <w:szCs w:val="18"/>
        </w:rPr>
      </w:pPr>
      <w:r>
        <w:rPr/>
        <w:t>公司本期无发生的非同一控制下企业合并的情况</w:t>
      </w:r>
      <w:r>
        <w:rPr>
          <w:rFonts w:ascii="MS Gothic" w:hAnsi="MS Gothic" w:cs="MS Gothic" w:eastAsia="MS Gothic" w:hint="default"/>
          <w:b w:val="0"/>
          <w:bCs w:val="0"/>
          <w:sz w:val="18"/>
          <w:szCs w:val="18"/>
        </w:rPr>
        <w:t>｡</w:t>
      </w:r>
    </w:p>
    <w:p>
      <w:pPr>
        <w:spacing w:line="240" w:lineRule="auto" w:before="7"/>
        <w:rPr>
          <w:rFonts w:ascii="MS Gothic" w:hAnsi="MS Gothic" w:cs="MS Gothic" w:eastAsia="MS Gothic"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）合并成本及商誉</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4761;top:14;width:23;height:393" coordorigin="4761,14" coordsize="23,393">
              <v:shape style="position:absolute;left:4761;top:14;width:23;height:393" coordorigin="4761,14" coordsize="23,393" path="m4761,407l4784,407,4784,14,4761,14,4761,407xe" filled="true" fillcolor="#d2d2d2" stroked="false">
                <v:path arrowok="t"/>
                <v:fill type="solid"/>
              </v:shape>
            </v:group>
            <v:group style="position:absolute;left:10;top:14;width:23;height:393" coordorigin="10,14" coordsize="23,393">
              <v:shape style="position:absolute;left:10;top:14;width:23;height:393" coordorigin="10,14" coordsize="23,393" path="m10,407l32,407,32,14,10,14,10,407xe" filled="true" fillcolor="#d2d2d2" stroked="false">
                <v:path arrowok="t"/>
                <v:fill type="solid"/>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795;top:14;width:23;height:393" coordorigin="4795,14" coordsize="23,393">
              <v:shape style="position:absolute;left:4795;top:14;width:23;height:393" coordorigin="4795,14" coordsize="23,393" path="m4795,407l4818,407,4818,14,4795,14,4795,407xe" filled="true" fillcolor="#e0ffff" stroked="false">
                <v:path arrowok="t"/>
                <v:fill type="solid"/>
              </v:shape>
            </v:group>
            <v:group style="position:absolute;left:9546;top:14;width:23;height:393" coordorigin="9546,14" coordsize="23,393">
              <v:shape style="position:absolute;left:9546;top:14;width:23;height:393" coordorigin="9546,14" coordsize="23,393" path="m9546,407l9569,407,9569,14,9546,14,9546,407xe" filled="true" fillcolor="#e0ffff" stroked="false">
                <v:path arrowok="t"/>
                <v:fill type="solid"/>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1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1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001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799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001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004pt" strokecolor="#000000">
                <v:path arrowok="t"/>
              </v:shape>
              <v:shape style="position:absolute;left:5;top:10;width:4785;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spacing w:line="360" w:lineRule="auto" w:before="46"/>
        <w:ind w:left="154" w:right="5092" w:firstLine="0"/>
        <w:jc w:val="left"/>
        <w:rPr>
          <w:rFonts w:ascii="宋体" w:hAnsi="宋体" w:cs="宋体" w:eastAsia="宋体" w:hint="default"/>
          <w:sz w:val="18"/>
          <w:szCs w:val="18"/>
        </w:rPr>
      </w:pPr>
      <w:r>
        <w:rPr>
          <w:rFonts w:ascii="宋体" w:hAnsi="宋体" w:cs="宋体" w:eastAsia="宋体" w:hint="default"/>
          <w:sz w:val="18"/>
          <w:szCs w:val="18"/>
        </w:rPr>
        <w:t>合并成本公允价值的确定方法、或有对价及其变动的说明： 大额商誉形成的主要原因：</w:t>
      </w:r>
    </w:p>
    <w:p>
      <w:pPr>
        <w:spacing w:before="26"/>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）被购买方于购买日可辨认资产、负债</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E0FFFF"/>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1"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bl>
    <w:p>
      <w:pPr>
        <w:spacing w:line="360" w:lineRule="auto" w:before="51"/>
        <w:ind w:left="154" w:right="6550" w:firstLine="0"/>
        <w:jc w:val="both"/>
        <w:rPr>
          <w:rFonts w:ascii="宋体" w:hAnsi="宋体" w:cs="宋体" w:eastAsia="宋体" w:hint="default"/>
          <w:sz w:val="18"/>
          <w:szCs w:val="18"/>
        </w:rPr>
      </w:pPr>
      <w:r>
        <w:rPr>
          <w:rFonts w:ascii="宋体" w:hAnsi="宋体" w:cs="宋体" w:eastAsia="宋体" w:hint="default"/>
          <w:sz w:val="18"/>
          <w:szCs w:val="18"/>
        </w:rPr>
        <w:t>可辨认资产、负债公允价值的确定方法： 企业合并中承担的被购买方的或有负债： 其他说明：</w:t>
      </w:r>
    </w:p>
    <w:p>
      <w:pPr>
        <w:spacing w:line="240" w:lineRule="auto" w:before="11"/>
        <w:rPr>
          <w:rFonts w:ascii="宋体" w:hAnsi="宋体" w:cs="宋体" w:eastAsia="宋体" w:hint="default"/>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）购买日之前持有的股权按照公允价值重新计量产生的利得或损失</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是否存在通过多次交易分步实现企业合并且在报告期内取得控制权的交易</w:t>
      </w:r>
    </w:p>
    <w:p>
      <w:pPr>
        <w:spacing w:before="117"/>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both"/>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）购买日或合并当期期末无法合理确定合并对价或被购买方可辨认资产、负债公允价值的相关说明</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）其他说明</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、同一控制下企业合并</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）本期发生的同一控制下企业合并</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3"/>
        <w:gridCol w:w="1065"/>
        <w:gridCol w:w="1064"/>
        <w:gridCol w:w="1063"/>
        <w:gridCol w:w="1065"/>
        <w:gridCol w:w="1064"/>
        <w:gridCol w:w="1063"/>
      </w:tblGrid>
      <w:tr>
        <w:trPr>
          <w:trHeight w:val="1338"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435" w:right="75" w:hanging="361"/>
              <w:jc w:val="left"/>
              <w:rPr>
                <w:rFonts w:ascii="宋体" w:hAnsi="宋体" w:cs="宋体" w:eastAsia="宋体" w:hint="default"/>
                <w:sz w:val="18"/>
                <w:szCs w:val="18"/>
              </w:rPr>
            </w:pPr>
            <w:r>
              <w:rPr>
                <w:rFonts w:ascii="宋体" w:hAnsi="宋体" w:cs="宋体" w:eastAsia="宋体" w:hint="default"/>
                <w:sz w:val="18"/>
                <w:szCs w:val="18"/>
              </w:rPr>
              <w:t>被合并方名 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3"/>
              <w:jc w:val="center"/>
              <w:rPr>
                <w:rFonts w:ascii="宋体" w:hAnsi="宋体" w:cs="宋体" w:eastAsia="宋体" w:hint="default"/>
                <w:sz w:val="18"/>
                <w:szCs w:val="18"/>
              </w:rPr>
            </w:pPr>
            <w:r>
              <w:rPr>
                <w:rFonts w:ascii="宋体" w:hAnsi="宋体" w:cs="宋体" w:eastAsia="宋体" w:hint="default"/>
                <w:sz w:val="18"/>
                <w:szCs w:val="18"/>
              </w:rPr>
              <w:t>企业合并中 取得的权益 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4"/>
              <w:jc w:val="both"/>
              <w:rPr>
                <w:rFonts w:ascii="宋体" w:hAnsi="宋体" w:cs="宋体" w:eastAsia="宋体" w:hint="default"/>
                <w:sz w:val="18"/>
                <w:szCs w:val="18"/>
              </w:rPr>
            </w:pPr>
            <w:r>
              <w:rPr>
                <w:rFonts w:ascii="宋体" w:hAnsi="宋体" w:cs="宋体" w:eastAsia="宋体" w:hint="default"/>
                <w:sz w:val="18"/>
                <w:szCs w:val="18"/>
              </w:rPr>
              <w:t>构成同一控 制下企业合 并的依据</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6" w:right="77" w:hanging="180"/>
              <w:jc w:val="left"/>
              <w:rPr>
                <w:rFonts w:ascii="宋体" w:hAnsi="宋体" w:cs="宋体" w:eastAsia="宋体" w:hint="default"/>
                <w:sz w:val="18"/>
                <w:szCs w:val="18"/>
              </w:rPr>
            </w:pPr>
            <w:r>
              <w:rPr>
                <w:rFonts w:ascii="宋体" w:hAnsi="宋体" w:cs="宋体" w:eastAsia="宋体" w:hint="default"/>
                <w:sz w:val="18"/>
                <w:szCs w:val="18"/>
              </w:rPr>
              <w:t>合并日的确 定依据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4"/>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收入</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6"/>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7"/>
              <w:jc w:val="center"/>
              <w:rPr>
                <w:rFonts w:ascii="宋体" w:hAnsi="宋体" w:cs="宋体" w:eastAsia="宋体" w:hint="default"/>
                <w:sz w:val="18"/>
                <w:szCs w:val="18"/>
              </w:rPr>
            </w:pPr>
            <w:r>
              <w:rPr>
                <w:rFonts w:ascii="宋体" w:hAnsi="宋体" w:cs="宋体" w:eastAsia="宋体" w:hint="default"/>
                <w:sz w:val="18"/>
                <w:szCs w:val="18"/>
              </w:rPr>
              <w:t>比较期间被 合并方的收 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4"/>
              <w:jc w:val="center"/>
              <w:rPr>
                <w:rFonts w:ascii="宋体" w:hAnsi="宋体" w:cs="宋体" w:eastAsia="宋体" w:hint="default"/>
                <w:sz w:val="18"/>
                <w:szCs w:val="18"/>
              </w:rPr>
            </w:pPr>
            <w:r>
              <w:rPr>
                <w:rFonts w:ascii="宋体" w:hAnsi="宋体" w:cs="宋体" w:eastAsia="宋体" w:hint="default"/>
                <w:sz w:val="18"/>
                <w:szCs w:val="18"/>
              </w:rPr>
              <w:t>比较期间被 合并方的净 利润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66"/>
        <w:ind w:left="574" w:right="0"/>
        <w:jc w:val="left"/>
      </w:pPr>
      <w:r>
        <w:rPr/>
        <w:t>公司本期无发生的同一控制下企业合并的情况</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）合并成本</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4761;top:14;width:23;height:393" coordorigin="4761,14" coordsize="23,393">
              <v:shape style="position:absolute;left:4761;top:14;width:23;height:393" coordorigin="4761,14" coordsize="23,393" path="m4761,407l4784,407,4784,14,4761,14,4761,407xe" filled="true" fillcolor="#d2d2d2" stroked="false">
                <v:path arrowok="t"/>
                <v:fill type="solid"/>
              </v:shape>
            </v:group>
            <v:group style="position:absolute;left:10;top:14;width:23;height:393" coordorigin="10,14" coordsize="23,393">
              <v:shape style="position:absolute;left:10;top:14;width:23;height:393" coordorigin="10,14" coordsize="23,393" path="m10,407l32,407,32,14,10,14,10,407xe" filled="true" fillcolor="#d2d2d2" stroked="false">
                <v:path arrowok="t"/>
                <v:fill type="solid"/>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795;top:14;width:23;height:393" coordorigin="4795,14" coordsize="23,393">
              <v:shape style="position:absolute;left:4795;top:14;width:23;height:393" coordorigin="4795,14" coordsize="23,393" path="m4795,407l4818,407,4818,14,4795,14,4795,407xe" filled="true" fillcolor="#e0ffff" stroked="false">
                <v:path arrowok="t"/>
                <v:fill type="solid"/>
              </v:shape>
            </v:group>
            <v:group style="position:absolute;left:9546;top:14;width:23;height:393" coordorigin="9546,14" coordsize="23,393">
              <v:shape style="position:absolute;left:9546;top:14;width:23;height:393" coordorigin="9546,14" coordsize="23,393" path="m9546,407l9569,407,9569,14,9546,14,9546,407xe" filled="true" fillcolor="#e0ffff" stroked="false">
                <v:path arrowok="t"/>
                <v:fill type="solid"/>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1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1pt" strokecolor="#000000">
                <v:path arrowok="t"/>
              </v:shape>
            </v:group>
            <v:group style="position:absolute;left:5;top:5;width:2;height:412" coordorigin="5,5" coordsize="2,412">
              <v:shape style="position:absolute;left:5;top:5;width:2;height:412" coordorigin="5,5" coordsize="0,412" path="m5,5l5,417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001pt" strokecolor="#000000">
                <v:path arrowok="t"/>
              </v:shape>
            </v:group>
            <v:group style="position:absolute;left:4790;top:5;width:2;height:412" coordorigin="4790,5" coordsize="2,412">
              <v:shape style="position:absolute;left:4790;top:5;width:2;height:412" coordorigin="4790,5" coordsize="0,412" path="m4790,5l4790,417e" filled="false" stroked="true" strokeweight=".4799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001pt" strokecolor="#000000">
                <v:path arrowok="t"/>
              </v:shape>
            </v:group>
            <v:group style="position:absolute;left:9574;top:5;width:2;height:412" coordorigin="9574,5" coordsize="2,412">
              <v:shape style="position:absolute;left:9574;top:5;width:2;height:412" coordorigin="9574,5" coordsize="0,412" path="m9574,5l9574,417e" filled="false" stroked="true" strokeweight=".48004pt" strokecolor="#000000">
                <v:path arrowok="t"/>
              </v:shape>
              <v:shape style="position:absolute;left:5;top:10;width:4785;height:403"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spacing w:line="360" w:lineRule="auto" w:before="47"/>
        <w:ind w:left="154" w:right="7612" w:firstLine="0"/>
        <w:jc w:val="left"/>
        <w:rPr>
          <w:rFonts w:ascii="宋体" w:hAnsi="宋体" w:cs="宋体" w:eastAsia="宋体" w:hint="default"/>
          <w:sz w:val="18"/>
          <w:szCs w:val="18"/>
        </w:rPr>
      </w:pPr>
      <w:r>
        <w:rPr>
          <w:rFonts w:ascii="宋体" w:hAnsi="宋体" w:cs="宋体" w:eastAsia="宋体" w:hint="default"/>
          <w:sz w:val="18"/>
          <w:szCs w:val="18"/>
        </w:rPr>
        <w:t>或有对价及其变动的说明： 其他说明：</w:t>
      </w:r>
    </w:p>
    <w:p>
      <w:pPr>
        <w:spacing w:line="240" w:lineRule="auto" w:before="10"/>
        <w:rPr>
          <w:rFonts w:ascii="宋体" w:hAnsi="宋体" w:cs="宋体" w:eastAsia="宋体" w:hint="default"/>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）合并日被合并方资产、负债的账面价值</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824" w:lineRule="exact"/>
        <w:ind w:left="14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05pt;height:41.25pt;mso-position-horizontal-relative:char;mso-position-vertical-relative:line" coordorigin="0,0" coordsize="9581,825">
            <v:group style="position:absolute;left:3167;top:16;width:23;height:392" coordorigin="3167,16" coordsize="23,392">
              <v:shape style="position:absolute;left:3167;top:16;width:23;height:392" coordorigin="3167,16" coordsize="23,392" path="m3167,407l3190,407,3190,16,3167,16,3167,407xe" filled="true" fillcolor="#d2d2d2" stroked="false">
                <v:path arrowok="t"/>
                <v:fill type="solid"/>
              </v:shape>
            </v:group>
            <v:group style="position:absolute;left:10;top:16;width:23;height:392" coordorigin="10,16" coordsize="23,392">
              <v:shape style="position:absolute;left:10;top:16;width:23;height:392" coordorigin="10,16" coordsize="23,392" path="m10,407l32,407,32,16,10,16,10,407xe" filled="true" fillcolor="#d2d2d2" stroked="false">
                <v:path arrowok="t"/>
                <v:fill type="solid"/>
              </v:shape>
            </v:group>
            <v:group style="position:absolute;left:32;top:16;width:3135;height:392" coordorigin="32,16" coordsize="3135,392">
              <v:shape style="position:absolute;left:32;top:16;width:3135;height:392" coordorigin="32,16" coordsize="3135,392" path="m32,407l3167,407,3167,16,32,16,32,407xe" filled="true" fillcolor="#d2d2d2" stroked="false">
                <v:path arrowok="t"/>
                <v:fill type="solid"/>
              </v:shape>
            </v:group>
            <v:group style="position:absolute;left:3200;top:16;width:24;height:392" coordorigin="3200,16" coordsize="24,392">
              <v:shape style="position:absolute;left:3200;top:16;width:24;height:392" coordorigin="3200,16" coordsize="24,392" path="m3200,407l3224,407,3224,16,3200,16,3200,407xe" filled="true" fillcolor="#e0ffff" stroked="false">
                <v:path arrowok="t"/>
                <v:fill type="solid"/>
              </v:shape>
            </v:group>
            <v:group style="position:absolute;left:9548;top:16;width:23;height:392" coordorigin="9548,16" coordsize="23,392">
              <v:shape style="position:absolute;left:9548;top:16;width:23;height:392" coordorigin="9548,16" coordsize="23,392" path="m9548,407l9571,407,9571,16,9548,16,9548,407xe" filled="true" fillcolor="#e0ffff" stroked="false">
                <v:path arrowok="t"/>
                <v:fill type="solid"/>
              </v:shape>
            </v:group>
            <v:group style="position:absolute;left:3224;top:16;width:6325;height:392" coordorigin="3224,16" coordsize="6325,392">
              <v:shape style="position:absolute;left:3224;top:16;width:6325;height:392" coordorigin="3224,16" coordsize="6325,392" path="m3224,407l9548,407,9548,16,3224,16,3224,407xe" filled="true" fillcolor="#e0ffff" stroked="false">
                <v:path arrowok="t"/>
                <v:fill type="solid"/>
              </v:shape>
            </v:group>
            <v:group style="position:absolute;left:10;top:10;width:3181;height:2" coordorigin="10,10" coordsize="3181,2">
              <v:shape style="position:absolute;left:10;top:10;width:3181;height:2" coordorigin="10,10" coordsize="3181,0" path="m10,10l3190,10e" filled="false" stroked="true" strokeweight=".47998pt" strokecolor="#000000">
                <v:path arrowok="t"/>
              </v:shape>
            </v:group>
            <v:group style="position:absolute;left:3200;top:10;width:6372;height:2" coordorigin="3200,10" coordsize="6372,2">
              <v:shape style="position:absolute;left:3200;top:10;width:6372;height:2" coordorigin="3200,10" coordsize="6372,0" path="m3200,10l9571,10e" filled="false" stroked="true" strokeweight=".47998pt" strokecolor="#000000">
                <v:path arrowok="t"/>
              </v:shape>
            </v:group>
            <v:group style="position:absolute;left:3167;top:418;width:23;height:392" coordorigin="3167,418" coordsize="23,392">
              <v:shape style="position:absolute;left:3167;top:418;width:23;height:392" coordorigin="3167,418" coordsize="23,392" path="m3167,809l3190,809,3190,418,3167,418,3167,809xe" filled="true" fillcolor="#d2d2d2" stroked="false">
                <v:path arrowok="t"/>
                <v:fill type="solid"/>
              </v:shape>
            </v:group>
            <v:group style="position:absolute;left:10;top:418;width:23;height:392" coordorigin="10,418" coordsize="23,392">
              <v:shape style="position:absolute;left:10;top:418;width:23;height:392" coordorigin="10,418" coordsize="23,392" path="m10,809l32,809,32,418,10,418,10,809xe" filled="true" fillcolor="#d2d2d2" stroked="false">
                <v:path arrowok="t"/>
                <v:fill type="solid"/>
              </v:shape>
            </v:group>
            <v:group style="position:absolute;left:32;top:418;width:3135;height:392" coordorigin="32,418" coordsize="3135,392">
              <v:shape style="position:absolute;left:32;top:418;width:3135;height:392" coordorigin="32,418" coordsize="3135,392" path="m32,809l3167,809,3167,418,32,418,32,809xe" filled="true" fillcolor="#d2d2d2" stroked="false">
                <v:path arrowok="t"/>
                <v:fill type="solid"/>
              </v:shape>
            </v:group>
            <v:group style="position:absolute;left:6357;top:418;width:23;height:392" coordorigin="6357,418" coordsize="23,392">
              <v:shape style="position:absolute;left:6357;top:418;width:23;height:392" coordorigin="6357,418" coordsize="23,392" path="m6357,809l6380,809,6380,418,6357,418,6357,809xe" filled="true" fillcolor="#d2d2d2" stroked="false">
                <v:path arrowok="t"/>
                <v:fill type="solid"/>
              </v:shape>
            </v:group>
            <v:group style="position:absolute;left:3200;top:418;width:24;height:392" coordorigin="3200,418" coordsize="24,392">
              <v:shape style="position:absolute;left:3200;top:418;width:24;height:392" coordorigin="3200,418" coordsize="24,392" path="m3200,809l3224,809,3224,418,3200,418,3200,809xe" filled="true" fillcolor="#d2d2d2" stroked="false">
                <v:path arrowok="t"/>
                <v:fill type="solid"/>
              </v:shape>
            </v:group>
            <v:group style="position:absolute;left:3224;top:418;width:3134;height:392" coordorigin="3224,418" coordsize="3134,392">
              <v:shape style="position:absolute;left:3224;top:418;width:3134;height:392" coordorigin="3224,418" coordsize="3134,392" path="m3224,809l6357,809,6357,418,3224,418,3224,809xe" filled="true" fillcolor="#d2d2d2" stroked="false">
                <v:path arrowok="t"/>
                <v:fill type="solid"/>
              </v:shape>
            </v:group>
            <v:group style="position:absolute;left:9548;top:418;width:23;height:392" coordorigin="9548,418" coordsize="23,392">
              <v:shape style="position:absolute;left:9548;top:418;width:23;height:392" coordorigin="9548,418" coordsize="23,392" path="m9548,809l9571,809,9571,418,9548,418,9548,809xe" filled="true" fillcolor="#d2d2d2" stroked="false">
                <v:path arrowok="t"/>
                <v:fill type="solid"/>
              </v:shape>
            </v:group>
            <v:group style="position:absolute;left:6391;top:418;width:23;height:392" coordorigin="6391,418" coordsize="23,392">
              <v:shape style="position:absolute;left:6391;top:418;width:23;height:392" coordorigin="6391,418" coordsize="23,392" path="m6391,809l6414,809,6414,418,6391,418,6391,809xe" filled="true" fillcolor="#d2d2d2" stroked="false">
                <v:path arrowok="t"/>
                <v:fill type="solid"/>
              </v:shape>
            </v:group>
            <v:group style="position:absolute;left:6414;top:418;width:3135;height:392" coordorigin="6414,418" coordsize="3135,392">
              <v:shape style="position:absolute;left:6414;top:418;width:3135;height:392" coordorigin="6414,418" coordsize="3135,392" path="m6414,809l9548,809,9548,418,6414,418,6414,809xe" filled="true" fillcolor="#d2d2d2" stroked="false">
                <v:path arrowok="t"/>
                <v:fill type="solid"/>
              </v:shape>
            </v:group>
            <v:group style="position:absolute;left:10;top:412;width:3181;height:2" coordorigin="10,412" coordsize="3181,2">
              <v:shape style="position:absolute;left:10;top:412;width:3181;height:2" coordorigin="10,412" coordsize="3181,0" path="m10,412l3190,412e" filled="false" stroked="true" strokeweight=".48004pt" strokecolor="#000000">
                <v:path arrowok="t"/>
              </v:shape>
            </v:group>
            <v:group style="position:absolute;left:3200;top:412;width:3182;height:2" coordorigin="3200,412" coordsize="3182,2">
              <v:shape style="position:absolute;left:3200;top:412;width:3182;height:2" coordorigin="3200,412" coordsize="3182,0" path="m3200,412l6381,412e" filled="false" stroked="true" strokeweight=".48004pt" strokecolor="#000000">
                <v:path arrowok="t"/>
              </v:shape>
            </v:group>
            <v:group style="position:absolute;left:6391;top:412;width:3181;height:2" coordorigin="6391,412" coordsize="3181,2">
              <v:shape style="position:absolute;left:6391;top:412;width:3181;height:2" coordorigin="6391,412" coordsize="3181,0" path="m6391,412l9571,412e" filled="false" stroked="true" strokeweight=".48004pt" strokecolor="#000000">
                <v:path arrowok="t"/>
              </v:shape>
            </v:group>
            <v:group style="position:absolute;left:5;top:5;width:2;height:815" coordorigin="5,5" coordsize="2,815">
              <v:shape style="position:absolute;left:5;top:5;width:2;height:815" coordorigin="5,5" coordsize="0,815" path="m5,5l5,820e" filled="false" stroked="true" strokeweight=".48pt" strokecolor="#000000">
                <v:path arrowok="t"/>
              </v:shape>
            </v:group>
            <v:group style="position:absolute;left:10;top:815;width:3181;height:2" coordorigin="10,815" coordsize="3181,2">
              <v:shape style="position:absolute;left:10;top:815;width:3181;height:2" coordorigin="10,815" coordsize="3181,0" path="m10,815l3190,815e" filled="false" stroked="true" strokeweight=".47998pt" strokecolor="#000000">
                <v:path arrowok="t"/>
              </v:shape>
            </v:group>
            <v:group style="position:absolute;left:3195;top:5;width:2;height:815" coordorigin="3195,5" coordsize="2,815">
              <v:shape style="position:absolute;left:3195;top:5;width:2;height:815" coordorigin="3195,5" coordsize="0,815" path="m3195,5l3195,820e" filled="false" stroked="true" strokeweight=".48001pt" strokecolor="#000000">
                <v:path arrowok="t"/>
              </v:shape>
            </v:group>
            <v:group style="position:absolute;left:3200;top:815;width:3182;height:2" coordorigin="3200,815" coordsize="3182,2">
              <v:shape style="position:absolute;left:3200;top:815;width:3182;height:2" coordorigin="3200,815" coordsize="3182,0" path="m3200,815l6381,815e" filled="false" stroked="true" strokeweight=".47998pt" strokecolor="#000000">
                <v:path arrowok="t"/>
              </v:shape>
            </v:group>
            <v:group style="position:absolute;left:6386;top:407;width:2;height:413" coordorigin="6386,407" coordsize="2,413">
              <v:shape style="position:absolute;left:6386;top:407;width:2;height:413" coordorigin="6386,407" coordsize="0,413" path="m6386,407l6386,820e" filled="false" stroked="true" strokeweight=".48001pt" strokecolor="#000000">
                <v:path arrowok="t"/>
              </v:shape>
            </v:group>
            <v:group style="position:absolute;left:6391;top:815;width:3181;height:2" coordorigin="6391,815" coordsize="3181,2">
              <v:shape style="position:absolute;left:6391;top:815;width:3181;height:2" coordorigin="6391,815" coordsize="3181,0" path="m6391,815l9571,815e" filled="false" stroked="true" strokeweight=".47998pt" strokecolor="#000000">
                <v:path arrowok="t"/>
              </v:shape>
            </v:group>
            <v:group style="position:absolute;left:9576;top:5;width:2;height:815" coordorigin="9576,5" coordsize="2,815">
              <v:shape style="position:absolute;left:9576;top:5;width:2;height:815" coordorigin="9576,5" coordsize="0,815" path="m9576,5l9576,820e" filled="false" stroked="true" strokeweight=".48004pt" strokecolor="#000000">
                <v:path arrowok="t"/>
              </v:shape>
              <v:shape style="position:absolute;left:3195;top:412;width:3192;height:402" type="#_x0000_t202" filled="false" stroked="false">
                <v:textbox inset="0,0,0,0">
                  <w:txbxContent>
                    <w:p>
                      <w:pPr>
                        <w:spacing w:before="56"/>
                        <w:ind w:left="1"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6;top:412;width:3190;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5"/>
          <w:sz w:val="20"/>
          <w:szCs w:val="20"/>
        </w:rPr>
      </w:r>
    </w:p>
    <w:p>
      <w:pPr>
        <w:spacing w:line="357" w:lineRule="auto" w:before="47"/>
        <w:ind w:left="154" w:right="6532" w:firstLine="0"/>
        <w:jc w:val="left"/>
        <w:rPr>
          <w:rFonts w:ascii="宋体" w:hAnsi="宋体" w:cs="宋体" w:eastAsia="宋体" w:hint="default"/>
          <w:sz w:val="18"/>
          <w:szCs w:val="18"/>
        </w:rPr>
      </w:pPr>
      <w:r>
        <w:rPr>
          <w:rFonts w:ascii="宋体" w:hAnsi="宋体" w:cs="宋体" w:eastAsia="宋体" w:hint="default"/>
          <w:sz w:val="18"/>
          <w:szCs w:val="18"/>
        </w:rPr>
        <w:t>企业合并中承担的被合并方的或有负债： 其他说明：</w:t>
      </w:r>
    </w:p>
    <w:p>
      <w:pPr>
        <w:spacing w:line="240" w:lineRule="auto" w:before="13"/>
        <w:rPr>
          <w:rFonts w:ascii="宋体" w:hAnsi="宋体" w:cs="宋体" w:eastAsia="宋体" w:hint="default"/>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、反向购买</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19" w:lineRule="auto" w:before="0"/>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交易基本信息、交易构成反向购买的依据、上市公司保留的资产、负债是否构成业务及其依据、合并成本的确定、按照权益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性交易处理时调整权益的金额及其计算：</w:t>
      </w:r>
    </w:p>
    <w:p>
      <w:pPr>
        <w:pStyle w:val="Heading2"/>
        <w:spacing w:line="347" w:lineRule="exact"/>
        <w:ind w:right="0"/>
        <w:jc w:val="left"/>
        <w:rPr>
          <w:b w:val="0"/>
          <w:bCs w:val="0"/>
        </w:rPr>
      </w:pPr>
      <w:r>
        <w:rPr/>
        <w:t>公司本期无发生反向购买的情况</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、处置子公司</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是否存在单次处置对子公司投资即丧失控制权的情形</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3"/>
        <w:rPr>
          <w:rFonts w:ascii="宋体" w:hAnsi="宋体" w:cs="宋体" w:eastAsia="宋体" w:hint="default"/>
          <w:sz w:val="25"/>
          <w:szCs w:val="25"/>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是否存在通过多次交易分步处置对子公司投资且在本期丧失控制权的情形</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、其他原因的合并范围变动</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57" w:lineRule="auto" w:before="0"/>
        <w:ind w:left="154" w:right="2932" w:firstLine="0"/>
        <w:jc w:val="left"/>
        <w:rPr>
          <w:rFonts w:ascii="宋体" w:hAnsi="宋体" w:cs="宋体" w:eastAsia="宋体" w:hint="default"/>
          <w:sz w:val="18"/>
          <w:szCs w:val="18"/>
        </w:rPr>
      </w:pPr>
      <w:r>
        <w:rPr>
          <w:rFonts w:ascii="宋体" w:hAnsi="宋体" w:cs="宋体" w:eastAsia="宋体" w:hint="default"/>
          <w:sz w:val="18"/>
          <w:szCs w:val="18"/>
        </w:rPr>
        <w:t>说明其他原因导致的合并范围变动（如，新设子公司、清算子公司等）及其相关情况：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r>
        <w:rPr/>
        <w:t>九、在其他主体中的权益</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、在子公司中的权益</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）企业集团的构成</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昆仑日本株式会 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日本（东京）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日本（东京）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9" w:lineRule="auto"/>
              <w:ind w:left="22" w:right="77"/>
              <w:jc w:val="left"/>
              <w:rPr>
                <w:rFonts w:ascii="宋体" w:hAnsi="宋体" w:cs="宋体" w:eastAsia="宋体" w:hint="default"/>
                <w:sz w:val="18"/>
                <w:szCs w:val="18"/>
              </w:rPr>
            </w:pPr>
            <w:r>
              <w:rPr>
                <w:rFonts w:ascii="宋体" w:hAnsi="宋体" w:cs="宋体" w:eastAsia="宋体" w:hint="default"/>
                <w:sz w:val="18"/>
                <w:szCs w:val="18"/>
              </w:rPr>
              <w:t>昆仑集团有限公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研发、发行及运 营互联网游戏及 互联网软件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北京昆仑在线网 络科技有限公司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网络游戏研发和 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昆仑韩国株式会 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韩国（首尔）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韩国（首尔）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9" w:lineRule="auto"/>
              <w:ind w:left="22" w:right="77"/>
              <w:jc w:val="left"/>
              <w:rPr>
                <w:rFonts w:ascii="宋体" w:hAnsi="宋体" w:cs="宋体" w:eastAsia="宋体" w:hint="default"/>
                <w:sz w:val="18"/>
                <w:szCs w:val="18"/>
              </w:rPr>
            </w:pPr>
            <w:r>
              <w:rPr>
                <w:rFonts w:ascii="宋体" w:hAnsi="宋体" w:cs="宋体" w:eastAsia="宋体" w:hint="default"/>
                <w:sz w:val="18"/>
                <w:szCs w:val="18"/>
              </w:rPr>
              <w:t>广州昆仑在线信 息科技有限公司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计算机软件的技 术开发、技术服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338"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38"/>
              <w:jc w:val="left"/>
              <w:rPr>
                <w:rFonts w:ascii="Times New Roman" w:hAnsi="Times New Roman" w:cs="Times New Roman" w:eastAsia="Times New Roman" w:hint="default"/>
                <w:sz w:val="18"/>
                <w:szCs w:val="18"/>
              </w:rPr>
            </w:pPr>
            <w:r>
              <w:rPr>
                <w:rFonts w:ascii="Times New Roman"/>
                <w:sz w:val="18"/>
              </w:rPr>
              <w:t>KUNLUN</w:t>
            </w:r>
            <w:r>
              <w:rPr>
                <w:rFonts w:ascii="Times New Roman"/>
                <w:w w:val="99"/>
                <w:sz w:val="18"/>
              </w:rPr>
              <w:t> </w:t>
            </w:r>
            <w:r>
              <w:rPr>
                <w:rFonts w:ascii="Times New Roman"/>
                <w:sz w:val="18"/>
              </w:rPr>
              <w:t>GLOBAL</w:t>
            </w:r>
            <w:r>
              <w:rPr>
                <w:rFonts w:ascii="Times New Roman"/>
                <w:sz w:val="18"/>
              </w:rPr>
              <w:t> </w:t>
            </w:r>
            <w:r>
              <w:rPr>
                <w:rFonts w:ascii="Times New Roman"/>
                <w:spacing w:val="-2"/>
                <w:sz w:val="18"/>
              </w:rPr>
              <w:t>INTERNATION</w:t>
            </w:r>
            <w:r>
              <w:rPr>
                <w:rFonts w:ascii="Times New Roman"/>
                <w:w w:val="99"/>
                <w:sz w:val="18"/>
              </w:rPr>
              <w:t> </w:t>
            </w:r>
            <w:r>
              <w:rPr>
                <w:rFonts w:ascii="Times New Roman"/>
                <w:sz w:val="18"/>
              </w:rPr>
              <w:t>AL SDN.</w:t>
            </w:r>
            <w:r>
              <w:rPr>
                <w:rFonts w:ascii="Times New Roman"/>
                <w:spacing w:val="-10"/>
                <w:sz w:val="18"/>
              </w:rPr>
              <w:t> </w:t>
            </w:r>
            <w:r>
              <w:rPr>
                <w:rFonts w:ascii="Times New Roman"/>
                <w:sz w:val="18"/>
              </w:rPr>
              <w:t>BHD.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马来西亚（雪兰 莪）</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马来西亚（雪兰 莪）</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578"/>
              <w:jc w:val="left"/>
              <w:rPr>
                <w:rFonts w:ascii="Times New Roman" w:hAnsi="Times New Roman" w:cs="Times New Roman" w:eastAsia="Times New Roman" w:hint="default"/>
                <w:sz w:val="18"/>
                <w:szCs w:val="18"/>
              </w:rPr>
            </w:pPr>
            <w:r>
              <w:rPr>
                <w:rFonts w:ascii="Times New Roman"/>
                <w:sz w:val="18"/>
              </w:rPr>
              <w:t>KUNLUN</w:t>
            </w:r>
            <w:r>
              <w:rPr>
                <w:rFonts w:ascii="Times New Roman"/>
                <w:w w:val="99"/>
                <w:sz w:val="18"/>
              </w:rPr>
              <w:t> </w:t>
            </w:r>
            <w:r>
              <w:rPr>
                <w:rFonts w:ascii="Times New Roman"/>
                <w:sz w:val="18"/>
              </w:rPr>
              <w:t>EUROPE</w:t>
            </w:r>
            <w:r>
              <w:rPr>
                <w:rFonts w:ascii="Times New Roman"/>
                <w:sz w:val="18"/>
              </w:rPr>
              <w:t> LIMITED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英国（伦敦）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英国（伦敦）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03"/>
              <w:jc w:val="left"/>
              <w:rPr>
                <w:rFonts w:ascii="Times New Roman" w:hAnsi="Times New Roman" w:cs="Times New Roman" w:eastAsia="Times New Roman" w:hint="default"/>
                <w:sz w:val="18"/>
                <w:szCs w:val="18"/>
              </w:rPr>
            </w:pPr>
            <w:r>
              <w:rPr>
                <w:rFonts w:ascii="Times New Roman"/>
                <w:sz w:val="18"/>
              </w:rPr>
              <w:t>KUNLUN</w:t>
            </w:r>
            <w:r>
              <w:rPr>
                <w:rFonts w:ascii="Times New Roman"/>
                <w:spacing w:val="-2"/>
                <w:sz w:val="18"/>
              </w:rPr>
              <w:t> </w:t>
            </w:r>
            <w:r>
              <w:rPr>
                <w:rFonts w:ascii="Times New Roman"/>
                <w:sz w:val="18"/>
              </w:rPr>
              <w:t>US</w:t>
            </w:r>
            <w:r>
              <w:rPr>
                <w:rFonts w:ascii="Times New Roman"/>
                <w:w w:val="99"/>
                <w:sz w:val="18"/>
              </w:rPr>
              <w:t> </w:t>
            </w:r>
            <w:r>
              <w:rPr>
                <w:rFonts w:ascii="Times New Roman"/>
                <w:sz w:val="18"/>
              </w:rPr>
              <w:t>INC</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美国（加利福尼 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美国（加利福尼 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7"/>
        <w:rPr>
          <w:rFonts w:ascii="Microsoft JhengHei" w:hAnsi="Microsoft JhengHei" w:cs="Microsoft JhengHei" w:eastAsia="Microsoft JhengHei" w:hint="default"/>
          <w:b/>
          <w:bCs/>
          <w:sz w:val="21"/>
          <w:szCs w:val="21"/>
        </w:rPr>
      </w:pPr>
      <w:r>
        <w:rPr/>
        <w:pict>
          <v:shape style="position:absolute;margin-left:92.343002pt;margin-top:108.179985pt;width:101.1pt;height:50.85pt;mso-position-horizontal-relative:page;mso-position-vertical-relative:page;z-index:-965200"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网潮（香港）科 技股份有限公司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游景蓝图 科技股份有限公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p>
            <w:pPr>
              <w:pStyle w:val="TableParagraph"/>
              <w:spacing w:line="1016" w:lineRule="exact"/>
              <w:ind w:right="-5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9"/>
                <w:sz w:val="20"/>
                <w:szCs w:val="20"/>
              </w:rPr>
              <w:pict>
                <v:group style="width:67.9pt;height:50.85pt;mso-position-horizontal-relative:char;mso-position-vertical-relative:line" coordorigin="0,0" coordsize="1358,1017">
                  <v:group style="position:absolute;left:0;top:0;width:1358;height:1017" coordorigin="0,0" coordsize="1358,1017">
                    <v:shape style="position:absolute;left:0;top:0;width:1358;height:1017" coordorigin="0,0" coordsize="1358,1017" path="m0,1017l1357,1017,1357,0,0,0,0,1017xe" filled="true" fillcolor="#ffffff" stroked="false">
                      <v:path arrowok="t"/>
                      <v:fill type="solid"/>
                    </v:shape>
                  </v:group>
                  <v:group style="position:absolute;left:23;top:312;width:1311;height:393" coordorigin="23,312" coordsize="1311,393">
                    <v:shape style="position:absolute;left:23;top:312;width:1311;height:393" coordorigin="23,312" coordsize="1311,393" path="m23,705l1333,705,1333,312,23,312,23,705xe" filled="true" fillcolor="#ffffff" stroked="false">
                      <v:path arrowok="t"/>
                      <v:fill type="solid"/>
                    </v:shape>
                  </v:group>
                </v:group>
              </w:pict>
            </w:r>
            <w:r>
              <w:rPr>
                <w:rFonts w:ascii="Microsoft JhengHei" w:hAnsi="Microsoft JhengHei" w:cs="Microsoft JhengHei" w:eastAsia="Microsoft JhengHei" w:hint="default"/>
                <w:position w:val="-19"/>
                <w:sz w:val="20"/>
                <w:szCs w:val="20"/>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台湾昆仑万维有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台湾（新北）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台湾（新北）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资讯软体服务业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北京昆仑乐享网 络技术有限公司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网络游戏研发和 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香港昆仑万维股 份有限公司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line="357" w:lineRule="auto" w:before="51"/>
        <w:ind w:left="154" w:right="5992" w:firstLine="0"/>
        <w:jc w:val="left"/>
        <w:rPr>
          <w:rFonts w:ascii="宋体" w:hAnsi="宋体" w:cs="宋体" w:eastAsia="宋体" w:hint="default"/>
          <w:sz w:val="18"/>
          <w:szCs w:val="18"/>
        </w:rPr>
      </w:pPr>
      <w:r>
        <w:rPr>
          <w:rFonts w:ascii="宋体" w:hAnsi="宋体" w:cs="宋体" w:eastAsia="宋体" w:hint="default"/>
          <w:sz w:val="18"/>
          <w:szCs w:val="18"/>
        </w:rPr>
        <w:t>在子公司的持股比例不同于表决权比例的说明： 不适用。</w:t>
      </w:r>
    </w:p>
    <w:p>
      <w:pPr>
        <w:spacing w:line="357" w:lineRule="auto" w:before="29"/>
        <w:ind w:left="154" w:right="1852" w:firstLine="0"/>
        <w:jc w:val="left"/>
        <w:rPr>
          <w:rFonts w:ascii="宋体" w:hAnsi="宋体" w:cs="宋体" w:eastAsia="宋体" w:hint="default"/>
          <w:sz w:val="18"/>
          <w:szCs w:val="18"/>
        </w:rPr>
      </w:pPr>
      <w:r>
        <w:rPr>
          <w:rFonts w:ascii="宋体" w:hAnsi="宋体" w:cs="宋体" w:eastAsia="宋体" w:hint="default"/>
          <w:sz w:val="18"/>
          <w:szCs w:val="18"/>
        </w:rPr>
        <w:t>持有半数或以下表决权但仍控制被投资单位、以及持有半数以上表决权但不控制被投资单位的依据： 不适用。</w:t>
      </w:r>
    </w:p>
    <w:p>
      <w:pPr>
        <w:spacing w:line="357" w:lineRule="auto" w:before="29"/>
        <w:ind w:left="154" w:right="5452" w:firstLine="0"/>
        <w:jc w:val="left"/>
        <w:rPr>
          <w:rFonts w:ascii="宋体" w:hAnsi="宋体" w:cs="宋体" w:eastAsia="宋体" w:hint="default"/>
          <w:sz w:val="18"/>
          <w:szCs w:val="18"/>
        </w:rPr>
      </w:pPr>
      <w:r>
        <w:rPr>
          <w:rFonts w:ascii="宋体" w:hAnsi="宋体" w:cs="宋体" w:eastAsia="宋体" w:hint="default"/>
          <w:sz w:val="18"/>
          <w:szCs w:val="18"/>
        </w:rPr>
        <w:t>对于纳入合并范围的重要的结构化主体，控制的依据： 不适用。</w:t>
      </w:r>
    </w:p>
    <w:p>
      <w:pPr>
        <w:spacing w:line="357" w:lineRule="auto" w:before="29"/>
        <w:ind w:left="154" w:right="6712" w:firstLine="0"/>
        <w:jc w:val="left"/>
        <w:rPr>
          <w:rFonts w:ascii="宋体" w:hAnsi="宋体" w:cs="宋体" w:eastAsia="宋体" w:hint="default"/>
          <w:sz w:val="18"/>
          <w:szCs w:val="18"/>
        </w:rPr>
      </w:pPr>
      <w:r>
        <w:rPr>
          <w:rFonts w:ascii="宋体" w:hAnsi="宋体" w:cs="宋体" w:eastAsia="宋体" w:hint="default"/>
          <w:sz w:val="18"/>
          <w:szCs w:val="18"/>
        </w:rPr>
        <w:t>确定公司是代理人还是委托人的依据： 不适用。</w:t>
      </w:r>
    </w:p>
    <w:p>
      <w:pPr>
        <w:spacing w:line="357" w:lineRule="auto" w:before="29"/>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）重要的非全资子公司</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4"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1" w:right="0"/>
              <w:jc w:val="left"/>
              <w:rPr>
                <w:rFonts w:ascii="宋体" w:hAnsi="宋体" w:cs="宋体" w:eastAsia="宋体" w:hint="default"/>
                <w:sz w:val="18"/>
                <w:szCs w:val="18"/>
              </w:rPr>
            </w:pPr>
            <w:r>
              <w:rPr>
                <w:rFonts w:ascii="宋体" w:hAnsi="宋体" w:cs="宋体" w:eastAsia="宋体" w:hint="default"/>
                <w:sz w:val="18"/>
                <w:szCs w:val="18"/>
              </w:rPr>
              <w:t>期末少数股东权益余额</w:t>
            </w:r>
          </w:p>
        </w:tc>
      </w:tr>
    </w:tbl>
    <w:p>
      <w:pPr>
        <w:spacing w:line="357" w:lineRule="auto" w:before="51"/>
        <w:ind w:left="154" w:right="5452" w:firstLine="0"/>
        <w:jc w:val="left"/>
        <w:rPr>
          <w:rFonts w:ascii="宋体" w:hAnsi="宋体" w:cs="宋体" w:eastAsia="宋体" w:hint="default"/>
          <w:sz w:val="18"/>
          <w:szCs w:val="18"/>
        </w:rPr>
      </w:pPr>
      <w:r>
        <w:rPr>
          <w:rFonts w:ascii="宋体" w:hAnsi="宋体" w:cs="宋体" w:eastAsia="宋体" w:hint="default"/>
          <w:sz w:val="18"/>
          <w:szCs w:val="18"/>
        </w:rPr>
        <w:t>子公司少数股东的持股比例不同于表决权比例的说明： 无。</w:t>
      </w:r>
    </w:p>
    <w:p>
      <w:pPr>
        <w:spacing w:line="357" w:lineRule="auto" w:before="29"/>
        <w:ind w:left="154" w:right="887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）重要非全资子公司的主要财务信息</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4"/>
        <w:gridCol w:w="736"/>
        <w:gridCol w:w="734"/>
        <w:gridCol w:w="736"/>
        <w:gridCol w:w="735"/>
        <w:gridCol w:w="737"/>
        <w:gridCol w:w="737"/>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3"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0"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0" w:hanging="181"/>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3" w:right="91"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bl>
    <w:p>
      <w:pPr>
        <w:spacing w:before="51"/>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7"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7"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）使用企业集团资产和清偿企业集团债务的重大限制</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）向纳入合并财务报表范围的结构化主体提供的财务支持或其他支持</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、在子公司的所有者权益份额发生变化且仍控制子公司的交易</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）在子公司所有者权益份额发生变化的情况说明</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）交易对于少数股东权益及归属于母公司所有者权益的影响</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2"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5pt;mso-position-horizontal-relative:char;mso-position-vertical-relative:line" coordorigin="0,0" coordsize="9579,423">
            <v:group style="position:absolute;left:4761;top:16;width:23;height:392" coordorigin="4761,16" coordsize="23,392">
              <v:shape style="position:absolute;left:4761;top:16;width:23;height:392" coordorigin="4761,16" coordsize="23,392" path="m4761,407l4784,407,4784,16,4761,16,4761,407xe" filled="true" fillcolor="#d2d2d2" stroked="false">
                <v:path arrowok="t"/>
                <v:fill type="solid"/>
              </v:shape>
            </v:group>
            <v:group style="position:absolute;left:10;top:16;width:23;height:392" coordorigin="10,16" coordsize="23,392">
              <v:shape style="position:absolute;left:10;top:16;width:23;height:392" coordorigin="10,16" coordsize="23,392" path="m10,407l32,407,32,16,10,16,10,407xe" filled="true" fillcolor="#d2d2d2" stroked="false">
                <v:path arrowok="t"/>
                <v:fill type="solid"/>
              </v:shape>
            </v:group>
            <v:group style="position:absolute;left:32;top:16;width:4729;height:392" coordorigin="32,16" coordsize="4729,392">
              <v:shape style="position:absolute;left:32;top:16;width:4729;height:392" coordorigin="32,16" coordsize="4729,392" path="m32,407l4761,407,4761,16,32,16,32,407xe" filled="true" fillcolor="#d2d2d2" stroked="false">
                <v:path arrowok="t"/>
                <v:fill type="solid"/>
              </v:shape>
            </v:group>
            <v:group style="position:absolute;left:4795;top:16;width:23;height:392" coordorigin="4795,16" coordsize="23,392">
              <v:shape style="position:absolute;left:4795;top:16;width:23;height:392" coordorigin="4795,16" coordsize="23,392" path="m4795,407l4818,407,4818,16,4795,16,4795,407xe" filled="true" fillcolor="#e0ffff" stroked="false">
                <v:path arrowok="t"/>
                <v:fill type="solid"/>
              </v:shape>
            </v:group>
            <v:group style="position:absolute;left:9546;top:16;width:23;height:392" coordorigin="9546,16" coordsize="23,392">
              <v:shape style="position:absolute;left:9546;top:16;width:23;height:392" coordorigin="9546,16" coordsize="23,392" path="m9546,407l9569,407,9569,16,9546,16,9546,407xe" filled="true" fillcolor="#e0ffff" stroked="false">
                <v:path arrowok="t"/>
                <v:fill type="solid"/>
              </v:shape>
            </v:group>
            <v:group style="position:absolute;left:4818;top:16;width:4729;height:392" coordorigin="4818,16" coordsize="4729,392">
              <v:shape style="position:absolute;left:4818;top:16;width:4729;height:392" coordorigin="4818,16" coordsize="4729,392" path="m4818,407l9546,407,9546,16,4818,16,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1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1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5,413e" filled="false" stroked="true" strokeweight=".48001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7998pt" strokecolor="#000000">
                <v:path arrowok="t"/>
              </v:shape>
            </v:group>
            <v:group style="position:absolute;left:4795;top:413;width:4774;height:2" coordorigin="4795,413" coordsize="4774,2">
              <v:shape style="position:absolute;left:4795;top:413;width:4774;height:2" coordorigin="4795,413" coordsize="4774,0" path="m4795,413l9569,413e" filled="false" stroked="true" strokeweight=".48001pt" strokecolor="#000000">
                <v:path arrowok="t"/>
              </v:shape>
            </v:group>
            <v:group style="position:absolute;left:9574;top:5;width:2;height:413" coordorigin="9574,5" coordsize="2,413">
              <v:shape style="position:absolute;left:9574;top:5;width:2;height:413" coordorigin="9574,5" coordsize="0,413" path="m9574,5l9574,418e" filled="false" stroked="true" strokeweight=".48004pt" strokecolor="#000000">
                <v:path arrowok="t"/>
              </v:shape>
            </v:group>
          </v:group>
        </w:pict>
      </w:r>
      <w:r>
        <w:rPr>
          <w:rFonts w:ascii="宋体" w:hAnsi="宋体" w:cs="宋体" w:eastAsia="宋体" w:hint="default"/>
          <w:position w:val="-7"/>
          <w:sz w:val="20"/>
          <w:szCs w:val="20"/>
        </w:rPr>
      </w:r>
    </w:p>
    <w:p>
      <w:pPr>
        <w:spacing w:before="47"/>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、在合营安排或联营企业中的权益</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pict>
          <v:shape style="position:absolute;margin-left:324.390991pt;margin-top:86.524429pt;width:74.05pt;height:191.2pt;mso-position-horizontal-relative:page;mso-position-vertical-relative:paragraph;z-index:-965152" type="#_x0000_t202" filled="false" stroked="false">
            <v:textbox inset="0,0,0,0">
              <w:txbxContent>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0"/>
                    <w:rPr>
                      <w:rFonts w:ascii="Microsoft JhengHei" w:hAnsi="Microsoft JhengHei" w:cs="Microsoft JhengHei" w:eastAsia="Microsoft JhengHei" w:hint="default"/>
                      <w:b/>
                      <w:bCs/>
                      <w:sz w:val="18"/>
                      <w:szCs w:val="18"/>
                    </w:rPr>
                  </w:pPr>
                </w:p>
                <w:p>
                  <w:pPr>
                    <w:spacing w:line="240" w:lineRule="auto" w:before="8"/>
                    <w:rPr>
                      <w:rFonts w:ascii="Microsoft JhengHei" w:hAnsi="Microsoft JhengHei" w:cs="Microsoft JhengHei" w:eastAsia="Microsoft JhengHei" w:hint="default"/>
                      <w:b/>
                      <w:bCs/>
                      <w:sz w:val="20"/>
                      <w:szCs w:val="20"/>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330.579987pt;margin-top:86.524429pt;width:67.9pt;height:191.2pt;mso-position-horizontal-relative:page;mso-position-vertical-relative:paragraph;z-index:-965128" coordorigin="6612,1730" coordsize="1358,3824">
            <v:group style="position:absolute;left:6612;top:1730;width:1358;height:3824" coordorigin="6612,1730" coordsize="1358,3824">
              <v:shape style="position:absolute;left:6612;top:1730;width:1358;height:3824" coordorigin="6612,1730" coordsize="1358,3824" path="m6612,5554l7969,5554,7969,1730,6612,1730,6612,5554xe" filled="true" fillcolor="#ffffff" stroked="false">
                <v:path arrowok="t"/>
                <v:fill type="solid"/>
              </v:shape>
            </v:group>
            <v:group style="position:absolute;left:6634;top:3446;width:1312;height:392" coordorigin="6634,3446" coordsize="1312,392">
              <v:shape style="position:absolute;left:6634;top:3446;width:1312;height:392" coordorigin="6634,3446" coordsize="1312,392" path="m6634,3838l7946,3838,7946,3446,6634,3446,6634,3838xe" filled="true" fillcolor="#ffffff" stroked="false">
                <v:path arrowok="t"/>
                <v:fill type="solid"/>
              </v:shape>
            </v:group>
            <w10:wrap type="none"/>
          </v:group>
        </w:pict>
      </w: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）重要的合营企业或联营企业</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423"/>
        <w:gridCol w:w="944"/>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316" w:lineRule="auto"/>
              <w:ind w:left="320" w:right="51"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0"/>
                <w:szCs w:val="20"/>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3"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Microsoft JhengHei" w:hAnsi="Microsoft JhengHei" w:cs="Microsoft JhengHei" w:eastAsia="Microsoft JhengHei" w:hint="default"/>
                <w:b/>
                <w:bCs/>
                <w:sz w:val="9"/>
                <w:szCs w:val="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383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1"/>
              <w:ind w:right="0"/>
              <w:jc w:val="left"/>
              <w:rPr>
                <w:rFonts w:ascii="Microsoft JhengHei" w:hAnsi="Microsoft JhengHei" w:cs="Microsoft JhengHei" w:eastAsia="Microsoft JhengHei" w:hint="default"/>
                <w:b/>
                <w:bCs/>
                <w:sz w:val="20"/>
                <w:szCs w:val="20"/>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北京信达天下科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2"/>
              <w:jc w:val="left"/>
              <w:rPr>
                <w:rFonts w:ascii="Times New Roman" w:hAnsi="Times New Roman" w:cs="Times New Roman" w:eastAsia="Times New Roman" w:hint="default"/>
                <w:sz w:val="18"/>
                <w:szCs w:val="18"/>
              </w:rPr>
            </w:pPr>
            <w:r>
              <w:rPr>
                <w:rFonts w:ascii="宋体" w:hAnsi="宋体" w:cs="宋体" w:eastAsia="宋体" w:hint="default"/>
                <w:sz w:val="18"/>
                <w:szCs w:val="18"/>
              </w:rPr>
              <w:t>第二类增值电信 业务中的信息服 务业务（不含固 定网电话信息服 务和互联网信息 </w:t>
            </w:r>
            <w:r>
              <w:rPr>
                <w:rFonts w:ascii="宋体" w:hAnsi="宋体" w:cs="宋体" w:eastAsia="宋体" w:hint="default"/>
                <w:spacing w:val="-13"/>
                <w:sz w:val="18"/>
                <w:szCs w:val="18"/>
              </w:rPr>
              <w:t>服务）；技术开</w:t>
            </w:r>
            <w:r>
              <w:rPr>
                <w:rFonts w:ascii="宋体" w:hAnsi="宋体" w:cs="宋体" w:eastAsia="宋体" w:hint="default"/>
                <w:sz w:val="18"/>
                <w:szCs w:val="18"/>
              </w:rPr>
              <w:t> </w:t>
            </w:r>
            <w:r>
              <w:rPr>
                <w:rFonts w:ascii="宋体" w:hAnsi="宋体" w:cs="宋体" w:eastAsia="宋体" w:hint="default"/>
                <w:spacing w:val="-6"/>
                <w:sz w:val="18"/>
                <w:szCs w:val="18"/>
              </w:rPr>
              <w:t>发、服务、咨询</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转让。</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依法须经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批准的项目，经 相关部门批准后 依批准的内容开 展经营活动。</w:t>
            </w:r>
            <w:r>
              <w:rPr>
                <w:rFonts w:ascii="Times New Roman" w:hAnsi="Times New Roman" w:cs="Times New Roman" w:eastAsia="Times New Roman" w:hint="default"/>
                <w:sz w:val="18"/>
                <w:szCs w:val="18"/>
              </w:rPr>
              <w:t>)</w:t>
            </w:r>
          </w:p>
        </w:tc>
        <w:tc>
          <w:tcPr>
            <w:tcW w:w="423" w:type="dxa"/>
            <w:tcBorders>
              <w:top w:val="single" w:sz="4" w:space="0" w:color="000000"/>
              <w:left w:val="single" w:sz="4" w:space="0" w:color="000000"/>
              <w:bottom w:val="single" w:sz="4" w:space="0" w:color="000000"/>
              <w:right w:val="nil" w:sz="6" w:space="0" w:color="auto"/>
            </w:tcBorders>
          </w:tcPr>
          <w:p>
            <w:pPr/>
          </w:p>
        </w:tc>
        <w:tc>
          <w:tcPr>
            <w:tcW w:w="94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13"/>
                <w:szCs w:val="13"/>
              </w:rPr>
            </w:pPr>
          </w:p>
          <w:p>
            <w:pPr>
              <w:pStyle w:val="TableParagraph"/>
              <w:spacing w:line="240" w:lineRule="auto"/>
              <w:ind w:left="361" w:right="0"/>
              <w:jc w:val="left"/>
              <w:rPr>
                <w:rFonts w:ascii="Times New Roman" w:hAnsi="Times New Roman" w:cs="Times New Roman" w:eastAsia="Times New Roman" w:hint="default"/>
                <w:sz w:val="18"/>
                <w:szCs w:val="18"/>
              </w:rPr>
            </w:pPr>
            <w:r>
              <w:rPr>
                <w:rFonts w:ascii="Times New Roman"/>
                <w:sz w:val="18"/>
              </w:rPr>
              <w:t>15.00%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98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0"/>
                <w:szCs w:val="10"/>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深圳玩贝科技有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计算机软硬件开 发；网络软件、 游戏软件开发与</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22"/>
                <w:szCs w:val="22"/>
              </w:rPr>
            </w:pPr>
          </w:p>
          <w:p>
            <w:pPr>
              <w:pStyle w:val="TableParagraph"/>
              <w:spacing w:line="240" w:lineRule="auto"/>
              <w:ind w:left="780" w:right="0"/>
              <w:jc w:val="left"/>
              <w:rPr>
                <w:rFonts w:ascii="Times New Roman" w:hAnsi="Times New Roman" w:cs="Times New Roman" w:eastAsia="Times New Roman" w:hint="default"/>
                <w:sz w:val="18"/>
                <w:szCs w:val="18"/>
              </w:rPr>
            </w:pPr>
            <w:r>
              <w:rPr>
                <w:rFonts w:ascii="Times New Roman"/>
                <w:sz w:val="18"/>
              </w:rPr>
              <w:t>30.00%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7"/>
        <w:rPr>
          <w:rFonts w:ascii="Microsoft JhengHei" w:hAnsi="Microsoft JhengHei" w:cs="Microsoft JhengHei" w:eastAsia="Microsoft JhengHei" w:hint="default"/>
          <w:b/>
          <w:bCs/>
          <w:sz w:val="21"/>
          <w:szCs w:val="21"/>
        </w:rPr>
      </w:pPr>
      <w:r>
        <w:rPr/>
        <w:pict>
          <v:shape style="position:absolute;margin-left:324.399994pt;margin-top:184.219986pt;width:74.05pt;height:128.85pt;mso-position-horizontal-relative:page;mso-position-vertical-relative:page;z-index:-96510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330.579987pt;margin-top:184.219986pt;width:67.9pt;height:128.85pt;mso-position-horizontal-relative:page;mso-position-vertical-relative:page;z-index:-965080" coordorigin="6612,3684" coordsize="1358,2577">
            <v:group style="position:absolute;left:6612;top:3684;width:1358;height:2577" coordorigin="6612,3684" coordsize="1358,2577">
              <v:shape style="position:absolute;left:6612;top:3684;width:1358;height:2577" coordorigin="6612,3684" coordsize="1358,2577" path="m6612,6261l7969,6261,7969,3684,6612,3684,6612,6261xe" filled="true" fillcolor="#ffffff" stroked="false">
                <v:path arrowok="t"/>
                <v:fill type="solid"/>
              </v:shape>
            </v:group>
            <v:group style="position:absolute;left:6634;top:4776;width:1312;height:393" coordorigin="6634,4776" coordsize="1312,393">
              <v:shape style="position:absolute;left:6634;top:4776;width:1312;height:393" coordorigin="6634,4776" coordsize="1312,393" path="m6634,5169l7946,5169,7946,4776,6634,4776,6634,5169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423"/>
        <w:gridCol w:w="944"/>
        <w:gridCol w:w="1367"/>
        <w:gridCol w:w="1366"/>
      </w:tblGrid>
      <w:tr>
        <w:trPr>
          <w:trHeight w:val="2235" w:hRule="exact"/>
        </w:trPr>
        <w:tc>
          <w:tcPr>
            <w:tcW w:w="1372"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72"/>
              <w:jc w:val="both"/>
              <w:rPr>
                <w:rFonts w:ascii="宋体" w:hAnsi="宋体" w:cs="宋体" w:eastAsia="宋体" w:hint="default"/>
                <w:sz w:val="18"/>
                <w:szCs w:val="18"/>
              </w:rPr>
            </w:pPr>
            <w:r>
              <w:rPr>
                <w:rFonts w:ascii="宋体" w:hAnsi="宋体" w:cs="宋体" w:eastAsia="宋体" w:hint="default"/>
                <w:sz w:val="18"/>
                <w:szCs w:val="18"/>
              </w:rPr>
              <w:t>技术服务，国内 贸易（法律、行 政法规、国务院 决定禁止的项目 除外，限制的项 目须取得许可后 </w:t>
            </w:r>
            <w:r>
              <w:rPr>
                <w:rFonts w:ascii="宋体" w:hAnsi="宋体" w:cs="宋体" w:eastAsia="宋体" w:hint="default"/>
                <w:spacing w:val="-15"/>
                <w:sz w:val="18"/>
                <w:szCs w:val="18"/>
              </w:rPr>
              <w:t>方可经营）。</w:t>
            </w:r>
          </w:p>
        </w:tc>
        <w:tc>
          <w:tcPr>
            <w:tcW w:w="1367" w:type="dxa"/>
            <w:gridSpan w:val="2"/>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258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3"/>
              <w:ind w:right="0"/>
              <w:jc w:val="left"/>
              <w:rPr>
                <w:rFonts w:ascii="Microsoft JhengHei" w:hAnsi="Microsoft JhengHei" w:cs="Microsoft JhengHei" w:eastAsia="Microsoft JhengHei" w:hint="default"/>
                <w:b/>
                <w:bCs/>
                <w:sz w:val="11"/>
                <w:szCs w:val="11"/>
              </w:rPr>
            </w:pPr>
          </w:p>
          <w:p>
            <w:pPr>
              <w:pStyle w:val="TableParagraph"/>
              <w:spacing w:line="316" w:lineRule="auto"/>
              <w:ind w:left="22" w:right="77"/>
              <w:jc w:val="both"/>
              <w:rPr>
                <w:rFonts w:ascii="宋体" w:hAnsi="宋体" w:cs="宋体" w:eastAsia="宋体" w:hint="default"/>
                <w:sz w:val="18"/>
                <w:szCs w:val="18"/>
              </w:rPr>
            </w:pPr>
            <w:r>
              <w:rPr>
                <w:rFonts w:ascii="宋体" w:hAnsi="宋体" w:cs="宋体" w:eastAsia="宋体" w:hint="default"/>
                <w:sz w:val="18"/>
                <w:szCs w:val="18"/>
              </w:rPr>
              <w:t>艾普拉斯投资顾 问（北京）有限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2"/>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2"/>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投资咨询；经济 贸易咨询；投资 </w:t>
            </w:r>
            <w:r>
              <w:rPr>
                <w:rFonts w:ascii="宋体" w:hAnsi="宋体" w:cs="宋体" w:eastAsia="宋体" w:hint="default"/>
                <w:spacing w:val="-6"/>
                <w:sz w:val="18"/>
                <w:szCs w:val="18"/>
              </w:rPr>
              <w:t>管理；资产管理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企业管理咨询； 企业策划；教育 咨询（不含出国 留学咨询及中介 </w:t>
            </w:r>
            <w:r>
              <w:rPr>
                <w:rFonts w:ascii="宋体" w:hAnsi="宋体" w:cs="宋体" w:eastAsia="宋体" w:hint="default"/>
                <w:spacing w:val="-23"/>
                <w:sz w:val="18"/>
                <w:szCs w:val="18"/>
              </w:rPr>
              <w:t>服务）。</w:t>
            </w:r>
          </w:p>
        </w:tc>
        <w:tc>
          <w:tcPr>
            <w:tcW w:w="423" w:type="dxa"/>
            <w:tcBorders>
              <w:top w:val="single" w:sz="4" w:space="0" w:color="000000"/>
              <w:left w:val="single" w:sz="4" w:space="0" w:color="000000"/>
              <w:bottom w:val="single" w:sz="4" w:space="0" w:color="000000"/>
              <w:right w:val="nil" w:sz="6" w:space="0" w:color="auto"/>
            </w:tcBorders>
          </w:tcPr>
          <w:p>
            <w:pPr/>
          </w:p>
        </w:tc>
        <w:tc>
          <w:tcPr>
            <w:tcW w:w="94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7"/>
              <w:ind w:right="0"/>
              <w:jc w:val="left"/>
              <w:rPr>
                <w:rFonts w:ascii="Microsoft JhengHei" w:hAnsi="Microsoft JhengHei" w:cs="Microsoft JhengHei" w:eastAsia="Microsoft JhengHei" w:hint="default"/>
                <w:b/>
                <w:bCs/>
                <w:sz w:val="13"/>
                <w:szCs w:val="13"/>
              </w:rPr>
            </w:pPr>
          </w:p>
          <w:p>
            <w:pPr>
              <w:pStyle w:val="TableParagraph"/>
              <w:spacing w:line="240" w:lineRule="auto"/>
              <w:ind w:left="361" w:right="0"/>
              <w:jc w:val="left"/>
              <w:rPr>
                <w:rFonts w:ascii="Times New Roman" w:hAnsi="Times New Roman" w:cs="Times New Roman" w:eastAsia="Times New Roman" w:hint="default"/>
                <w:sz w:val="18"/>
                <w:szCs w:val="18"/>
              </w:rPr>
            </w:pPr>
            <w:r>
              <w:rPr>
                <w:rFonts w:ascii="Times New Roman"/>
                <w:sz w:val="18"/>
              </w:rPr>
              <w:t>10.00%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2"/>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YinkerInc</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P2P</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互联网金融</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80" w:right="0"/>
              <w:jc w:val="left"/>
              <w:rPr>
                <w:rFonts w:ascii="Times New Roman" w:hAnsi="Times New Roman" w:cs="Times New Roman" w:eastAsia="Times New Roman" w:hint="default"/>
                <w:sz w:val="18"/>
                <w:szCs w:val="18"/>
              </w:rPr>
            </w:pPr>
            <w:r>
              <w:rPr>
                <w:rFonts w:ascii="Times New Roman"/>
                <w:sz w:val="18"/>
              </w:rPr>
              <w:t>20.00%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7"/>
              <w:jc w:val="left"/>
              <w:rPr>
                <w:rFonts w:ascii="Times New Roman" w:hAnsi="Times New Roman" w:cs="Times New Roman" w:eastAsia="Times New Roman" w:hint="default"/>
                <w:sz w:val="18"/>
                <w:szCs w:val="18"/>
              </w:rPr>
            </w:pPr>
            <w:r>
              <w:rPr>
                <w:rFonts w:ascii="Times New Roman"/>
                <w:sz w:val="18"/>
              </w:rPr>
              <w:t>MitouHongkongL</w:t>
            </w:r>
            <w:r>
              <w:rPr>
                <w:rFonts w:ascii="Times New Roman"/>
                <w:w w:val="99"/>
                <w:sz w:val="18"/>
              </w:rPr>
              <w:t> </w:t>
            </w:r>
            <w:r>
              <w:rPr>
                <w:rFonts w:ascii="Times New Roman"/>
                <w:sz w:val="18"/>
              </w:rPr>
              <w:t>imited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资产配资平台</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left="780" w:right="0"/>
              <w:jc w:val="left"/>
              <w:rPr>
                <w:rFonts w:ascii="Times New Roman" w:hAnsi="Times New Roman" w:cs="Times New Roman" w:eastAsia="Times New Roman" w:hint="default"/>
                <w:sz w:val="18"/>
                <w:szCs w:val="18"/>
              </w:rPr>
            </w:pPr>
            <w:r>
              <w:rPr>
                <w:rFonts w:ascii="Times New Roman"/>
                <w:sz w:val="18"/>
              </w:rPr>
              <w:t>20.00%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7"/>
              <w:jc w:val="left"/>
              <w:rPr>
                <w:rFonts w:ascii="Times New Roman" w:hAnsi="Times New Roman" w:cs="Times New Roman" w:eastAsia="Times New Roman" w:hint="default"/>
                <w:sz w:val="18"/>
                <w:szCs w:val="18"/>
              </w:rPr>
            </w:pPr>
            <w:r>
              <w:rPr>
                <w:rFonts w:ascii="Times New Roman"/>
                <w:sz w:val="18"/>
              </w:rPr>
              <w:t>FreeCharmInvest</w:t>
            </w:r>
            <w:r>
              <w:rPr>
                <w:rFonts w:ascii="Times New Roman"/>
                <w:w w:val="99"/>
                <w:sz w:val="18"/>
              </w:rPr>
              <w:t> </w:t>
            </w:r>
            <w:r>
              <w:rPr>
                <w:rFonts w:ascii="Times New Roman"/>
                <w:sz w:val="18"/>
              </w:rPr>
              <w:t>mentHoldingCo.,I</w:t>
            </w:r>
            <w:r>
              <w:rPr>
                <w:rFonts w:ascii="Times New Roman"/>
                <w:w w:val="99"/>
                <w:sz w:val="18"/>
              </w:rPr>
              <w:t> </w:t>
            </w:r>
            <w:r>
              <w:rPr>
                <w:rFonts w:ascii="Times New Roman"/>
                <w:sz w:val="18"/>
              </w:rPr>
              <w:t>nc</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00" w:lineRule="auto"/>
              <w:ind w:left="22" w:right="2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e </w:t>
            </w:r>
            <w:r>
              <w:rPr>
                <w:rFonts w:ascii="宋体" w:hAnsi="宋体" w:cs="宋体" w:eastAsia="宋体" w:hint="default"/>
                <w:spacing w:val="-11"/>
                <w:sz w:val="18"/>
                <w:szCs w:val="18"/>
              </w:rPr>
              <w:t>保养、汽车上门</w:t>
            </w:r>
            <w:r>
              <w:rPr>
                <w:rFonts w:ascii="宋体" w:hAnsi="宋体" w:cs="宋体" w:eastAsia="宋体" w:hint="default"/>
                <w:sz w:val="18"/>
                <w:szCs w:val="18"/>
              </w:rPr>
              <w:t> 服务</w:t>
            </w:r>
            <w:r>
              <w:rPr>
                <w:rFonts w:ascii="Times New Roman" w:hAnsi="Times New Roman" w:cs="Times New Roman" w:eastAsia="Times New Roman" w:hint="default"/>
                <w:sz w:val="18"/>
                <w:szCs w:val="18"/>
              </w:rPr>
              <w:t>.</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23"/>
                <w:szCs w:val="23"/>
              </w:rPr>
            </w:pPr>
          </w:p>
          <w:p>
            <w:pPr>
              <w:pStyle w:val="TableParagraph"/>
              <w:spacing w:line="240" w:lineRule="auto"/>
              <w:ind w:left="780" w:right="0"/>
              <w:jc w:val="left"/>
              <w:rPr>
                <w:rFonts w:ascii="Times New Roman" w:hAnsi="Times New Roman" w:cs="Times New Roman" w:eastAsia="Times New Roman" w:hint="default"/>
                <w:sz w:val="18"/>
                <w:szCs w:val="18"/>
              </w:rPr>
            </w:pPr>
            <w:r>
              <w:rPr>
                <w:rFonts w:ascii="Times New Roman"/>
                <w:sz w:val="18"/>
              </w:rPr>
              <w:t>22.00%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58"/>
              <w:jc w:val="left"/>
              <w:rPr>
                <w:rFonts w:ascii="Times New Roman" w:hAnsi="Times New Roman" w:cs="Times New Roman" w:eastAsia="Times New Roman" w:hint="default"/>
                <w:sz w:val="18"/>
                <w:szCs w:val="18"/>
              </w:rPr>
            </w:pPr>
            <w:r>
              <w:rPr>
                <w:rFonts w:ascii="Times New Roman"/>
                <w:sz w:val="18"/>
              </w:rPr>
              <w:t>LendinvestLimite 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英国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英国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互联网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P2P</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left="780" w:right="0"/>
              <w:jc w:val="left"/>
              <w:rPr>
                <w:rFonts w:ascii="Times New Roman" w:hAnsi="Times New Roman" w:cs="Times New Roman" w:eastAsia="Times New Roman" w:hint="default"/>
                <w:sz w:val="18"/>
                <w:szCs w:val="18"/>
              </w:rPr>
            </w:pPr>
            <w:r>
              <w:rPr>
                <w:rFonts w:ascii="Times New Roman"/>
                <w:sz w:val="18"/>
              </w:rPr>
              <w:t>20.00%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在合营企业或联营企业的持股比例不同于表决权比例的说明：</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pStyle w:val="BodyText"/>
        <w:spacing w:line="312" w:lineRule="exact" w:before="82"/>
        <w:ind w:right="172" w:firstLine="480"/>
        <w:jc w:val="left"/>
      </w:pPr>
      <w:r>
        <w:rPr/>
        <w:t>注</w:t>
      </w:r>
      <w:r>
        <w:rPr>
          <w:rFonts w:ascii="Times New Roman" w:hAnsi="Times New Roman" w:cs="Times New Roman" w:eastAsia="Times New Roman" w:hint="default"/>
        </w:rPr>
        <w:t>1</w:t>
      </w:r>
      <w:r>
        <w:rPr/>
        <w:t>：被投资单位北京信达天下科技有限公司</w:t>
      </w:r>
      <w:r>
        <w:rPr>
          <w:rFonts w:ascii="Times New Roman" w:hAnsi="Times New Roman" w:cs="Times New Roman" w:eastAsia="Times New Roman" w:hint="default"/>
        </w:rPr>
        <w:t>5</w:t>
      </w:r>
      <w:r>
        <w:rPr/>
        <w:t>名董事会成员中有一位为本公司派出，对 其财务和经营决策具有重大影响；</w:t>
      </w:r>
    </w:p>
    <w:p>
      <w:pPr>
        <w:pStyle w:val="BodyText"/>
        <w:spacing w:line="312" w:lineRule="exact"/>
        <w:ind w:right="148" w:firstLine="384"/>
        <w:jc w:val="left"/>
      </w:pPr>
      <w:r>
        <w:rPr>
          <w:spacing w:val="-3"/>
        </w:rPr>
        <w:t>注</w:t>
      </w:r>
      <w:r>
        <w:rPr>
          <w:rFonts w:ascii="Times New Roman" w:hAnsi="Times New Roman" w:cs="Times New Roman" w:eastAsia="Times New Roman" w:hint="default"/>
          <w:spacing w:val="-3"/>
        </w:rPr>
        <w:t>2</w:t>
      </w:r>
      <w:r>
        <w:rPr>
          <w:spacing w:val="-3"/>
        </w:rPr>
        <w:t>：被投资单位艾普拉斯投资顾问（北京）有限公司</w:t>
      </w:r>
      <w:r>
        <w:rPr>
          <w:rFonts w:ascii="Times New Roman" w:hAnsi="Times New Roman" w:cs="Times New Roman" w:eastAsia="Times New Roman" w:hint="default"/>
          <w:spacing w:val="-3"/>
        </w:rPr>
        <w:t>5</w:t>
      </w:r>
      <w:r>
        <w:rPr>
          <w:spacing w:val="-3"/>
        </w:rPr>
        <w:t>名董事会成员中有一位为本公司派</w:t>
      </w:r>
      <w:r>
        <w:rPr/>
        <w:t> 出，对其财务和经营决策具有重大影响。</w:t>
      </w:r>
    </w:p>
    <w:p>
      <w:pPr>
        <w:spacing w:line="240" w:lineRule="auto" w:before="5"/>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）重要合营企业的主要财务信息</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r>
        <w:rPr/>
        <w:pict>
          <v:group style="position:absolute;margin-left:588.5pt;margin-top:279.799988pt;width:6.85pt;height:.1pt;mso-position-horizontal-relative:page;mso-position-vertical-relative:page;z-index:-964984" coordorigin="11770,5596" coordsize="137,2">
            <v:shape style="position:absolute;left:11770;top:5596;width:137;height:2" coordorigin="11770,5596" coordsize="137,0" path="m11770,5596l11906,5596e" filled="false" stroked="true" strokeweight=".72pt" strokecolor="#000000">
              <v:path arrowok="t"/>
            </v:shape>
            <w10:wrap type="none"/>
          </v:group>
        </w:pict>
      </w:r>
      <w:r>
        <w:rPr/>
        <w:pict>
          <v:group style="position:absolute;margin-left:588.5pt;margin-top:297.139984pt;width:6.85pt;height:.1pt;mso-position-horizontal-relative:page;mso-position-vertical-relative:page;z-index:-964960" coordorigin="11770,5943" coordsize="137,2">
            <v:shape style="position:absolute;left:11770;top:5943;width:137;height:2" coordorigin="11770,5943" coordsize="137,0" path="m11770,5943l11906,5943e" filled="false" stroked="true" strokeweight=".72pt" strokecolor="#000000">
              <v:path arrowok="t"/>
            </v:shape>
            <w10:wrap type="none"/>
          </v:group>
        </w:pict>
      </w:r>
      <w:r>
        <w:rPr/>
        <w:pict>
          <v:group style="position:absolute;margin-left:588.5pt;margin-top:314.47998pt;width:6.85pt;height:.1pt;mso-position-horizontal-relative:page;mso-position-vertical-relative:page;z-index:-964936" coordorigin="11770,6290" coordsize="137,2">
            <v:shape style="position:absolute;left:11770;top:6290;width:137;height:2" coordorigin="11770,6290" coordsize="137,0" path="m11770,6290l11906,6290e" filled="false" stroked="true" strokeweight=".72pt" strokecolor="#000000">
              <v:path arrowok="t"/>
            </v:shape>
            <w10:wrap type="none"/>
          </v:group>
        </w:pict>
      </w:r>
      <w:r>
        <w:rPr/>
        <w:pict>
          <v:group style="position:absolute;margin-left:588.5pt;margin-top:331.819977pt;width:6.85pt;height:.1pt;mso-position-horizontal-relative:page;mso-position-vertical-relative:page;z-index:-964912" coordorigin="11770,6636" coordsize="137,2">
            <v:shape style="position:absolute;left:11770;top:6636;width:137;height:2" coordorigin="11770,6636" coordsize="137,0" path="m11770,6636l11906,6636e" filled="false" stroked="true" strokeweight=".72pt" strokecolor="#000000">
              <v:path arrowok="t"/>
            </v:shape>
            <w10:wrap type="none"/>
          </v:group>
        </w:pict>
      </w:r>
      <w:r>
        <w:rPr/>
        <w:pict>
          <v:group style="position:absolute;margin-left:588.5pt;margin-top:349.219971pt;width:6.85pt;height:.1pt;mso-position-horizontal-relative:page;mso-position-vertical-relative:page;z-index:-964888" coordorigin="11770,6984" coordsize="137,2">
            <v:shape style="position:absolute;left:11770;top:6984;width:137;height:2" coordorigin="11770,6984" coordsize="137,0" path="m11770,6984l11906,6984e" filled="false" stroked="true" strokeweight=".72pt" strokecolor="#000000">
              <v:path arrowok="t"/>
            </v:shape>
            <w10:wrap type="none"/>
          </v:group>
        </w:pict>
      </w:r>
      <w:r>
        <w:rPr/>
        <w:pict>
          <v:group style="position:absolute;margin-left:588.5pt;margin-top:366.559998pt;width:6.85pt;height:.1pt;mso-position-horizontal-relative:page;mso-position-vertical-relative:page;z-index:-964864" coordorigin="11770,7331" coordsize="137,2">
            <v:shape style="position:absolute;left:11770;top:7331;width:137;height:2" coordorigin="11770,7331" coordsize="137,0" path="m11770,7331l11906,7331e" filled="false" stroked="true" strokeweight=".72pt" strokecolor="#000000">
              <v:path arrowok="t"/>
            </v:shape>
            <w10:wrap type="none"/>
          </v:group>
        </w:pict>
      </w:r>
      <w:r>
        <w:rPr/>
        <w:pict>
          <v:group style="position:absolute;margin-left:588.5pt;margin-top:383.899994pt;width:6.85pt;height:.1pt;mso-position-horizontal-relative:page;mso-position-vertical-relative:page;z-index:-964840" coordorigin="11770,7678" coordsize="137,2">
            <v:shape style="position:absolute;left:11770;top:7678;width:137;height:2" coordorigin="11770,7678" coordsize="137,0" path="m11770,7678l11906,7678e" filled="false" stroked="true" strokeweight=".72pt" strokecolor="#000000">
              <v:path arrowok="t"/>
            </v:shape>
            <w10:wrap type="none"/>
          </v:group>
        </w:pict>
      </w:r>
      <w:r>
        <w:rPr/>
        <w:pict>
          <v:group style="position:absolute;margin-left:588.5pt;margin-top:401.23999pt;width:6.85pt;height:.1pt;mso-position-horizontal-relative:page;mso-position-vertical-relative:page;z-index:-964816" coordorigin="11770,8025" coordsize="137,2">
            <v:shape style="position:absolute;left:11770;top:8025;width:137;height:2" coordorigin="11770,8025" coordsize="137,0" path="m11770,8025l11906,8025e" filled="false" stroked="true" strokeweight=".72pt" strokecolor="#000000">
              <v:path arrowok="t"/>
            </v:shape>
            <w10:wrap type="none"/>
          </v:group>
        </w:pict>
      </w:r>
      <w:r>
        <w:rPr/>
        <w:pict>
          <v:group style="position:absolute;margin-left:588.5pt;margin-top:434.199982pt;width:6.85pt;height:.1pt;mso-position-horizontal-relative:page;mso-position-vertical-relative:page;z-index:-964792" coordorigin="11770,8684" coordsize="137,2">
            <v:shape style="position:absolute;left:11770;top:8684;width:137;height:2" coordorigin="11770,8684" coordsize="137,0" path="m11770,8684l11906,8684e" filled="false" stroked="true" strokeweight=".72pt" strokecolor="#000000">
              <v:path arrowok="t"/>
            </v:shape>
            <w10:wrap type="none"/>
          </v:group>
        </w:pict>
      </w:r>
      <w:r>
        <w:rPr/>
        <w:pict>
          <v:group style="position:absolute;margin-left:588.5pt;margin-top:451.539978pt;width:6.85pt;height:.1pt;mso-position-horizontal-relative:page;mso-position-vertical-relative:page;z-index:-964768" coordorigin="11770,9031" coordsize="137,2">
            <v:shape style="position:absolute;left:11770;top:9031;width:137;height:2" coordorigin="11770,9031" coordsize="137,0" path="m11770,9031l11906,9031e" filled="false" stroked="true" strokeweight=".72pt" strokecolor="#000000">
              <v:path arrowok="t"/>
            </v:shape>
            <w10:wrap type="none"/>
          </v:group>
        </w:pict>
      </w:r>
      <w:r>
        <w:rPr/>
        <w:pict>
          <v:group style="position:absolute;margin-left:588.5pt;margin-top:468.939972pt;width:6.85pt;height:.1pt;mso-position-horizontal-relative:page;mso-position-vertical-relative:page;z-index:-964744" coordorigin="11770,9379" coordsize="137,2">
            <v:shape style="position:absolute;left:11770;top:9379;width:137;height:2" coordorigin="11770,9379" coordsize="137,0" path="m11770,9379l11906,9379e" filled="false" stroked="true" strokeweight=".72pt" strokecolor="#000000">
              <v:path arrowok="t"/>
            </v:shape>
            <w10:wrap type="none"/>
          </v:group>
        </w:pict>
      </w:r>
      <w:r>
        <w:rPr/>
        <w:pict>
          <v:group style="position:absolute;margin-left:588.5pt;margin-top:486.279968pt;width:6.85pt;height:.1pt;mso-position-horizontal-relative:page;mso-position-vertical-relative:page;z-index:-964720" coordorigin="11770,9726" coordsize="137,2">
            <v:shape style="position:absolute;left:11770;top:9726;width:137;height:2" coordorigin="11770,9726" coordsize="137,0" path="m11770,9726l11906,9726e" filled="false" stroked="true" strokeweight=".72pt" strokecolor="#000000">
              <v:path arrowok="t"/>
            </v:shape>
            <w10:wrap type="none"/>
          </v:group>
        </w:pict>
      </w:r>
      <w:r>
        <w:rPr/>
        <w:pict>
          <v:group style="position:absolute;margin-left:588.5pt;margin-top:503.619995pt;width:6.85pt;height:.1pt;mso-position-horizontal-relative:page;mso-position-vertical-relative:page;z-index:-964696" coordorigin="11770,10072" coordsize="137,2">
            <v:shape style="position:absolute;left:11770;top:10072;width:137;height:2" coordorigin="11770,10072" coordsize="137,0" path="m11770,10072l11906,10072e" filled="false" stroked="true" strokeweight=".72pt" strokecolor="#000000">
              <v:path arrowok="t"/>
            </v:shape>
            <w10:wrap type="none"/>
          </v:group>
        </w:pict>
      </w:r>
      <w:r>
        <w:rPr/>
        <w:pict>
          <v:group style="position:absolute;margin-left:588.5pt;margin-top:536.559998pt;width:6.85pt;height:.1pt;mso-position-horizontal-relative:page;mso-position-vertical-relative:page;z-index:-964672" coordorigin="11770,10731" coordsize="137,2">
            <v:shape style="position:absolute;left:11770;top:10731;width:137;height:2" coordorigin="11770,10731" coordsize="137,0" path="m11770,10731l11906,10731e" filled="false" stroked="true" strokeweight=".71997pt" strokecolor="#000000">
              <v:path arrowok="t"/>
            </v:shape>
            <w10:wrap type="none"/>
          </v:group>
        </w:pict>
      </w:r>
      <w:r>
        <w:rPr/>
        <w:pict>
          <v:group style="position:absolute;margin-left:588.5pt;margin-top:569.5pt;width:6.85pt;height:.1pt;mso-position-horizontal-relative:page;mso-position-vertical-relative:page;z-index:-964648" coordorigin="11770,11390" coordsize="137,2">
            <v:shape style="position:absolute;left:11770;top:11390;width:137;height:2" coordorigin="11770,11390" coordsize="137,0" path="m11770,11390l11906,11390e" filled="false" stroked="true" strokeweight=".71997pt" strokecolor="#000000">
              <v:path arrowok="t"/>
            </v:shape>
            <w10:wrap type="none"/>
          </v:group>
        </w:pict>
      </w:r>
      <w:r>
        <w:rPr/>
        <w:pict>
          <v:group style="position:absolute;margin-left:588.5pt;margin-top:586.839966pt;width:6.85pt;height:.1pt;mso-position-horizontal-relative:page;mso-position-vertical-relative:page;z-index:-964624" coordorigin="11770,11737" coordsize="137,2">
            <v:shape style="position:absolute;left:11770;top:11737;width:137;height:2" coordorigin="11770,11737" coordsize="137,0" path="m11770,11737l11906,11737e" filled="false" stroked="true" strokeweight=".72003pt" strokecolor="#000000">
              <v:path arrowok="t"/>
            </v:shape>
            <w10:wrap type="none"/>
          </v:group>
        </w:pict>
      </w:r>
      <w:r>
        <w:rPr/>
        <w:pict>
          <v:group style="position:absolute;margin-left:588.5pt;margin-top:604.23999pt;width:6.85pt;height:.1pt;mso-position-horizontal-relative:page;mso-position-vertical-relative:page;z-index:-964600" coordorigin="11770,12085" coordsize="137,2">
            <v:shape style="position:absolute;left:11770;top:12085;width:137;height:2" coordorigin="11770,12085" coordsize="137,0" path="m11770,12085l11906,12085e" filled="false" stroked="true" strokeweight=".71997pt" strokecolor="#000000">
              <v:path arrowok="t"/>
            </v:shape>
            <w10:wrap type="none"/>
          </v:group>
        </w:pict>
      </w: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）重要联营企业的主要财务信息</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spacing w:before="52"/>
        <w:ind w:left="154" w:right="0" w:firstLine="0"/>
        <w:jc w:val="left"/>
        <w:rPr>
          <w:rFonts w:ascii="宋体" w:hAnsi="宋体" w:cs="宋体" w:eastAsia="宋体" w:hint="default"/>
          <w:sz w:val="18"/>
          <w:szCs w:val="18"/>
        </w:rPr>
      </w:pPr>
      <w:r>
        <w:rPr/>
        <w:pict>
          <v:group style="position:absolute;margin-left:588.5pt;margin-top:19.951746pt;width:6.85pt;height:.1pt;mso-position-horizontal-relative:page;mso-position-vertical-relative:paragraph;z-index:-965056" coordorigin="11770,399" coordsize="137,2">
            <v:shape style="position:absolute;left:11770;top:399;width:137;height:2" coordorigin="11770,399" coordsize="137,0" path="m11770,399l11906,399e" filled="false" stroked="true" strokeweight=".72pt" strokecolor="#000000">
              <v:path arrowok="t"/>
            </v:shape>
            <w10:wrap type="none"/>
          </v:group>
        </w:pict>
      </w:r>
      <w:r>
        <w:rPr/>
        <w:pict>
          <v:group style="position:absolute;margin-left:588.5pt;margin-top:52.951744pt;width:6.85pt;height:.1pt;mso-position-horizontal-relative:page;mso-position-vertical-relative:paragraph;z-index:-965032" coordorigin="11770,1059" coordsize="137,2">
            <v:shape style="position:absolute;left:11770;top:1059;width:137;height:2" coordorigin="11770,1059" coordsize="137,0" path="m11770,1059l11906,1059e" filled="false" stroked="true" strokeweight=".72pt" strokecolor="#000000">
              <v:path arrowok="t"/>
            </v:shape>
            <w10:wrap type="none"/>
          </v:group>
        </w:pict>
      </w:r>
      <w:r>
        <w:rPr/>
        <w:pict>
          <v:group style="position:absolute;margin-left:588.5pt;margin-top:101.491745pt;width:6.85pt;height:.1pt;mso-position-horizontal-relative:page;mso-position-vertical-relative:paragraph;z-index:-965008" coordorigin="11770,2030" coordsize="137,2">
            <v:shape style="position:absolute;left:11770;top:2030;width:137;height:2" coordorigin="11770,2030" coordsize="137,0" path="m11770,2030l11906,2030e" filled="false" stroked="true" strokeweight=".72pt" strokecolor="#000000">
              <v:path arrowok="t"/>
            </v:shape>
            <w10:wrap type="none"/>
          </v:group>
        </w:pict>
      </w:r>
      <w:r>
        <w:rPr>
          <w:rFonts w:ascii="宋体" w:hAnsi="宋体" w:cs="宋体" w:eastAsia="宋体" w:hint="default"/>
          <w:sz w:val="18"/>
          <w:szCs w:val="18"/>
        </w:rPr>
        <w:t>其他说明</w:t>
      </w:r>
    </w:p>
    <w:p>
      <w:pPr>
        <w:spacing w:line="240" w:lineRule="auto" w:before="13"/>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1980"/>
        <w:gridCol w:w="1134"/>
        <w:gridCol w:w="1134"/>
        <w:gridCol w:w="1134"/>
        <w:gridCol w:w="1276"/>
        <w:gridCol w:w="1276"/>
        <w:gridCol w:w="1276"/>
        <w:gridCol w:w="1419"/>
      </w:tblGrid>
      <w:tr>
        <w:trPr>
          <w:trHeight w:val="660" w:hRule="exact"/>
        </w:trPr>
        <w:tc>
          <w:tcPr>
            <w:tcW w:w="1980" w:type="dxa"/>
            <w:vMerge w:val="restart"/>
            <w:tcBorders>
              <w:top w:val="single" w:sz="6" w:space="0" w:color="000000"/>
              <w:left w:val="single" w:sz="6" w:space="0" w:color="000000"/>
              <w:right w:val="single" w:sz="6" w:space="0" w:color="000000"/>
            </w:tcBorders>
          </w:tcPr>
          <w:p>
            <w:pPr/>
          </w:p>
        </w:tc>
        <w:tc>
          <w:tcPr>
            <w:tcW w:w="8648"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本期发生额（单位：元）</w:t>
            </w:r>
          </w:p>
        </w:tc>
      </w:tr>
      <w:tr>
        <w:trPr>
          <w:trHeight w:val="971" w:hRule="exact"/>
        </w:trPr>
        <w:tc>
          <w:tcPr>
            <w:tcW w:w="1980" w:type="dxa"/>
            <w:vMerge/>
            <w:tcBorders>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199" w:right="18" w:hanging="180"/>
              <w:jc w:val="left"/>
              <w:rPr>
                <w:rFonts w:ascii="宋体" w:hAnsi="宋体" w:cs="宋体" w:eastAsia="宋体" w:hint="default"/>
                <w:sz w:val="18"/>
                <w:szCs w:val="18"/>
              </w:rPr>
            </w:pPr>
            <w:r>
              <w:rPr>
                <w:rFonts w:ascii="宋体" w:hAnsi="宋体" w:cs="宋体" w:eastAsia="宋体" w:hint="default"/>
                <w:sz w:val="18"/>
                <w:szCs w:val="18"/>
              </w:rPr>
              <w:t>深圳玩贝科技 有限公司</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19" w:right="18"/>
              <w:jc w:val="left"/>
              <w:rPr>
                <w:rFonts w:ascii="宋体" w:hAnsi="宋体" w:cs="宋体" w:eastAsia="宋体" w:hint="default"/>
                <w:sz w:val="18"/>
                <w:szCs w:val="18"/>
              </w:rPr>
            </w:pPr>
            <w:r>
              <w:rPr>
                <w:rFonts w:ascii="宋体" w:hAnsi="宋体" w:cs="宋体" w:eastAsia="宋体" w:hint="default"/>
                <w:sz w:val="18"/>
                <w:szCs w:val="18"/>
              </w:rPr>
              <w:t>北京信达天下 科技有限公司</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19" w:right="18"/>
              <w:jc w:val="center"/>
              <w:rPr>
                <w:rFonts w:ascii="宋体" w:hAnsi="宋体" w:cs="宋体" w:eastAsia="宋体" w:hint="default"/>
                <w:sz w:val="18"/>
                <w:szCs w:val="18"/>
              </w:rPr>
            </w:pPr>
            <w:r>
              <w:rPr>
                <w:rFonts w:ascii="宋体" w:hAnsi="宋体" w:cs="宋体" w:eastAsia="宋体" w:hint="default"/>
                <w:sz w:val="18"/>
                <w:szCs w:val="18"/>
              </w:rPr>
              <w:t>艾普拉斯投资 顾问（北京） 有限公司</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65" w:right="0"/>
              <w:jc w:val="left"/>
              <w:rPr>
                <w:rFonts w:ascii="Times New Roman" w:hAnsi="Times New Roman" w:cs="Times New Roman" w:eastAsia="Times New Roman" w:hint="default"/>
                <w:sz w:val="18"/>
                <w:szCs w:val="18"/>
              </w:rPr>
            </w:pPr>
            <w:r>
              <w:rPr>
                <w:rFonts w:ascii="Times New Roman"/>
                <w:sz w:val="18"/>
              </w:rPr>
              <w:t>YinkerInc</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362" w:lineRule="auto" w:before="60"/>
              <w:ind w:left="345" w:right="28" w:hanging="315"/>
              <w:jc w:val="left"/>
              <w:rPr>
                <w:rFonts w:ascii="Times New Roman" w:hAnsi="Times New Roman" w:cs="Times New Roman" w:eastAsia="Times New Roman" w:hint="default"/>
                <w:sz w:val="18"/>
                <w:szCs w:val="18"/>
              </w:rPr>
            </w:pPr>
            <w:r>
              <w:rPr>
                <w:rFonts w:ascii="Times New Roman"/>
                <w:sz w:val="18"/>
              </w:rPr>
              <w:t>MitouHongkong</w:t>
            </w:r>
            <w:r>
              <w:rPr>
                <w:rFonts w:ascii="Times New Roman"/>
                <w:w w:val="99"/>
                <w:sz w:val="18"/>
              </w:rPr>
              <w:t> </w:t>
            </w:r>
            <w:r>
              <w:rPr>
                <w:rFonts w:ascii="Times New Roman"/>
                <w:sz w:val="18"/>
              </w:rPr>
              <w:t>Limited</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362" w:lineRule="auto" w:before="60"/>
              <w:ind w:left="4" w:right="3" w:hanging="2"/>
              <w:jc w:val="center"/>
              <w:rPr>
                <w:rFonts w:ascii="Times New Roman" w:hAnsi="Times New Roman" w:cs="Times New Roman" w:eastAsia="Times New Roman" w:hint="default"/>
                <w:sz w:val="18"/>
                <w:szCs w:val="18"/>
              </w:rPr>
            </w:pPr>
            <w:r>
              <w:rPr>
                <w:rFonts w:ascii="Times New Roman"/>
                <w:sz w:val="18"/>
              </w:rPr>
              <w:t>FreeCharmInvest</w:t>
            </w:r>
            <w:r>
              <w:rPr>
                <w:rFonts w:ascii="Times New Roman"/>
                <w:w w:val="99"/>
                <w:sz w:val="18"/>
              </w:rPr>
              <w:t> </w:t>
            </w:r>
            <w:r>
              <w:rPr>
                <w:rFonts w:ascii="Times New Roman"/>
                <w:sz w:val="18"/>
              </w:rPr>
              <w:t>mentHoldingCo.,</w:t>
            </w:r>
            <w:r>
              <w:rPr>
                <w:rFonts w:ascii="Times New Roman"/>
                <w:w w:val="99"/>
                <w:sz w:val="18"/>
              </w:rPr>
              <w:t> </w:t>
            </w:r>
            <w:r>
              <w:rPr>
                <w:rFonts w:ascii="Times New Roman"/>
                <w:sz w:val="18"/>
              </w:rPr>
              <w:t>Inc</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7"/>
              <w:jc w:val="right"/>
              <w:rPr>
                <w:rFonts w:ascii="Times New Roman" w:hAnsi="Times New Roman" w:cs="Times New Roman" w:eastAsia="Times New Roman" w:hint="default"/>
                <w:sz w:val="18"/>
                <w:szCs w:val="18"/>
              </w:rPr>
            </w:pPr>
            <w:r>
              <w:rPr>
                <w:rFonts w:ascii="Times New Roman"/>
                <w:spacing w:val="-1"/>
                <w:sz w:val="18"/>
              </w:rPr>
              <w:t>LendinvestLimited</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608,898.00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26,088,651.87</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91,145,666.84</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168,129,244.82</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22,334,763.17</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36,040,051.17</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2,163,676,197.60</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198,204.04</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776,679.10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2,972,539.79</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10,648,895.96</w:t>
            </w: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26,212,106.16</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8,012,217.89</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807,102.04</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26,865,330.97</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94,118,206.63</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178,778,140.78</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22,334,763.17</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62,252,157.33</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2,171,688,415.49</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885,397.46</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10,510,953.39</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13,998,673.42</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71,191,056.95</w:t>
            </w: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6,877,014.70</w:t>
            </w: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17,089,444.38</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1,916,451,927.86</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z w:val="18"/>
              </w:rPr>
              <w:t>885,397.46</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10,510,953.39</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13,998,673.42</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71,191,056.95</w:t>
            </w: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23,966,459.08</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1,916,451,927.86</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-78,295.42</w:t>
            </w:r>
            <w:r>
              <w:rPr>
                <w:rFonts w:ascii="Times New Roman"/>
                <w:sz w:val="18"/>
              </w:rPr>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16,354,377.58</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80,119,533.21</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110,320,705.18</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22,334,763.17</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38,285,698.25</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255,236,487.63</w:t>
            </w:r>
          </w:p>
        </w:tc>
      </w:tr>
      <w:tr>
        <w:trPr>
          <w:trHeight w:val="659"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61"/>
              <w:jc w:val="left"/>
              <w:rPr>
                <w:rFonts w:ascii="宋体" w:hAnsi="宋体" w:cs="宋体" w:eastAsia="宋体" w:hint="default"/>
                <w:sz w:val="18"/>
                <w:szCs w:val="18"/>
              </w:rPr>
            </w:pPr>
            <w:r>
              <w:rPr>
                <w:rFonts w:ascii="宋体" w:hAnsi="宋体" w:cs="宋体" w:eastAsia="宋体" w:hint="default"/>
                <w:sz w:val="18"/>
                <w:szCs w:val="18"/>
              </w:rPr>
              <w:t>按持股比例计算的净资 产份额</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-23,488.63</w:t>
            </w:r>
            <w:r>
              <w:rPr>
                <w:rFonts w:ascii="Times New Roman"/>
                <w:sz w:val="18"/>
              </w:rPr>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2,453,156.64</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8,011,953.32</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22,064,141.04</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4,466,952.63</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8,422,853.62</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51,047,297.53</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调整事项</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内部交易未实现利润</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659"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61"/>
              <w:jc w:val="left"/>
              <w:rPr>
                <w:rFonts w:ascii="宋体" w:hAnsi="宋体" w:cs="宋体" w:eastAsia="宋体" w:hint="default"/>
                <w:sz w:val="18"/>
                <w:szCs w:val="18"/>
              </w:rPr>
            </w:pPr>
            <w:r>
              <w:rPr>
                <w:rFonts w:ascii="宋体" w:hAnsi="宋体" w:cs="宋体" w:eastAsia="宋体" w:hint="default"/>
                <w:sz w:val="18"/>
                <w:szCs w:val="18"/>
              </w:rPr>
              <w:t>对联营企业权益投资的 账面价值</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1,370,578.54</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12,838,995.43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74,911,346.63</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129,891,346.39</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93,788,314.50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69,741,221.81</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199,013,177.80</w:t>
            </w:r>
          </w:p>
        </w:tc>
      </w:tr>
      <w:tr>
        <w:trPr>
          <w:trHeight w:val="659"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61"/>
              <w:jc w:val="left"/>
              <w:rPr>
                <w:rFonts w:ascii="宋体" w:hAnsi="宋体" w:cs="宋体" w:eastAsia="宋体" w:hint="default"/>
                <w:sz w:val="18"/>
                <w:szCs w:val="18"/>
              </w:rPr>
            </w:pPr>
            <w:r>
              <w:rPr>
                <w:rFonts w:ascii="宋体" w:hAnsi="宋体" w:cs="宋体" w:eastAsia="宋体" w:hint="default"/>
                <w:sz w:val="18"/>
                <w:szCs w:val="18"/>
              </w:rPr>
              <w:t>存在公开报价的联营企 业权益投资的公允价值</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640,464.93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4,697,633.66</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24,446,078.88</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50,975,396.62</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948.07</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41,728,886.78</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185,434,159.89</w:t>
            </w:r>
          </w:p>
        </w:tc>
      </w:tr>
      <w:tr>
        <w:trPr>
          <w:trHeight w:val="348"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-1,241,022.80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-19,796,607.55</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2,107.40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-47,977,659.46</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-10,143,288.92</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-67,416,591.93</w:t>
            </w: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27,952,728.96</w:t>
            </w: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r>
        <w:trPr>
          <w:trHeight w:val="660" w:hRule="exact"/>
        </w:trPr>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61"/>
              <w:jc w:val="left"/>
              <w:rPr>
                <w:rFonts w:ascii="宋体" w:hAnsi="宋体" w:cs="宋体" w:eastAsia="宋体" w:hint="default"/>
                <w:sz w:val="18"/>
                <w:szCs w:val="18"/>
              </w:rPr>
            </w:pPr>
            <w:r>
              <w:rPr>
                <w:rFonts w:ascii="宋体" w:hAnsi="宋体" w:cs="宋体" w:eastAsia="宋体" w:hint="default"/>
                <w:sz w:val="18"/>
                <w:szCs w:val="18"/>
              </w:rPr>
              <w:t>本年度收到的来自联营 企业的股利</w:t>
            </w: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134"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pict>
          <v:group style="position:absolute;margin-left:588.5pt;margin-top:-96.216576pt;width:6.85pt;height:.1pt;mso-position-horizontal-relative:page;mso-position-vertical-relative:paragraph;z-index:-964576" coordorigin="11770,-1924" coordsize="137,2">
            <v:shape style="position:absolute;left:11770;top:-1924;width:137;height:2" coordorigin="11770,-1924" coordsize="137,0" path="m11770,-1924l11906,-1924e" filled="false" stroked="true" strokeweight=".72003pt" strokecolor="#000000">
              <v:path arrowok="t"/>
            </v:shape>
            <w10:wrap type="none"/>
          </v:group>
        </w:pict>
      </w:r>
      <w:r>
        <w:rPr/>
        <w:pict>
          <v:group style="position:absolute;margin-left:588.5pt;margin-top:-78.876549pt;width:6.85pt;height:.1pt;mso-position-horizontal-relative:page;mso-position-vertical-relative:paragraph;z-index:-964552" coordorigin="11770,-1578" coordsize="137,2">
            <v:shape style="position:absolute;left:11770;top:-1578;width:137;height:2" coordorigin="11770,-1578" coordsize="137,0" path="m11770,-1578l11906,-1578e" filled="false" stroked="true" strokeweight=".71997pt" strokecolor="#000000">
              <v:path arrowok="t"/>
            </v:shape>
            <w10:wrap type="none"/>
          </v:group>
        </w:pict>
      </w:r>
      <w:r>
        <w:rPr/>
        <w:pict>
          <v:group style="position:absolute;margin-left:588.5pt;margin-top:-61.536579pt;width:6.85pt;height:.1pt;mso-position-horizontal-relative:page;mso-position-vertical-relative:paragraph;z-index:-964528" coordorigin="11770,-1231" coordsize="137,2">
            <v:shape style="position:absolute;left:11770;top:-1231;width:137;height:2" coordorigin="11770,-1231" coordsize="137,0" path="m11770,-1231l11906,-1231e" filled="false" stroked="true" strokeweight=".72003pt" strokecolor="#000000">
              <v:path arrowok="t"/>
            </v:shape>
            <w10:wrap type="none"/>
          </v:group>
        </w:pict>
      </w:r>
      <w:r>
        <w:rPr/>
        <w:pict>
          <v:group style="position:absolute;margin-left:588.5pt;margin-top:-28.536577pt;width:6.85pt;height:.1pt;mso-position-horizontal-relative:page;mso-position-vertical-relative:paragraph;z-index:-964504" coordorigin="11770,-571" coordsize="137,2">
            <v:shape style="position:absolute;left:11770;top:-571;width:137;height:2" coordorigin="11770,-571" coordsize="137,0" path="m11770,-571l11906,-571e" filled="false" stroked="true" strokeweight=".72003pt" strokecolor="#000000">
              <v:path arrowok="t"/>
            </v:shape>
            <w10:wrap type="none"/>
          </v:group>
        </w:pict>
      </w: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）不重要的合营企业和联营企业的汇总财务信息</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）合营企业或联营企业向本公司转移资金的能力存在重大限制的说明</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）合营企业或联营企业发生的超额亏损</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1"/>
        <w:gridCol w:w="2392"/>
        <w:gridCol w:w="2392"/>
        <w:gridCol w:w="2394"/>
      </w:tblGrid>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00" w:right="111" w:hanging="990"/>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50" w:right="21" w:hanging="628"/>
              <w:jc w:val="left"/>
              <w:rPr>
                <w:rFonts w:ascii="宋体" w:hAnsi="宋体" w:cs="宋体" w:eastAsia="宋体" w:hint="default"/>
                <w:sz w:val="18"/>
                <w:szCs w:val="18"/>
              </w:rPr>
            </w:pPr>
            <w:r>
              <w:rPr>
                <w:rFonts w:ascii="宋体" w:hAnsi="宋体" w:cs="宋体" w:eastAsia="宋体" w:hint="default"/>
                <w:sz w:val="18"/>
                <w:szCs w:val="18"/>
              </w:rPr>
              <w:t>本期未确认的损失（或本期分 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）与合营企业投资相关的未确认承诺</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）与合营企业或联营企业投资相关的或有负债</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、重要的共同经营</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1598"/>
        <w:gridCol w:w="1594"/>
        <w:gridCol w:w="1595"/>
        <w:gridCol w:w="1594"/>
        <w:gridCol w:w="1594"/>
        <w:gridCol w:w="1594"/>
      </w:tblGrid>
      <w:tr>
        <w:trPr>
          <w:trHeight w:val="402" w:hRule="exact"/>
        </w:trPr>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Microsoft JhengHei" w:hAnsi="Microsoft JhengHei" w:cs="Microsoft JhengHei" w:eastAsia="Microsoft JhengHei" w:hint="default"/>
                <w:b/>
                <w:bCs/>
                <w:sz w:val="14"/>
                <w:szCs w:val="14"/>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2"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spacing w:line="360" w:lineRule="auto" w:before="51"/>
        <w:ind w:left="154" w:right="4552" w:firstLine="0"/>
        <w:jc w:val="left"/>
        <w:rPr>
          <w:rFonts w:ascii="宋体" w:hAnsi="宋体" w:cs="宋体" w:eastAsia="宋体" w:hint="default"/>
          <w:sz w:val="18"/>
          <w:szCs w:val="18"/>
        </w:rPr>
      </w:pPr>
      <w:r>
        <w:rPr>
          <w:rFonts w:ascii="宋体" w:hAnsi="宋体" w:cs="宋体" w:eastAsia="宋体" w:hint="default"/>
          <w:sz w:val="18"/>
          <w:szCs w:val="18"/>
        </w:rPr>
        <w:t>在共同经营中的持股比例或享有的份额不同于表决权比例的说明： 共同经营为单独主体的，分类为共同经营的依据：</w:t>
      </w:r>
    </w:p>
    <w:p>
      <w:pPr>
        <w:spacing w:before="26"/>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、在未纳入合并财务报表范围的结构化主体中的权益</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357" w:lineRule="auto" w:before="0"/>
        <w:ind w:left="154" w:right="5632" w:firstLine="0"/>
        <w:jc w:val="left"/>
        <w:rPr>
          <w:rFonts w:ascii="宋体" w:hAnsi="宋体" w:cs="宋体" w:eastAsia="宋体" w:hint="default"/>
          <w:sz w:val="18"/>
          <w:szCs w:val="18"/>
        </w:rPr>
      </w:pPr>
      <w:r>
        <w:rPr>
          <w:rFonts w:ascii="宋体" w:hAnsi="宋体" w:cs="宋体" w:eastAsia="宋体" w:hint="default"/>
          <w:sz w:val="18"/>
          <w:szCs w:val="18"/>
        </w:rPr>
        <w:t>未纳入合并财务报表范围的结构化主体的相关说明：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580" w:lineRule="atLeast" w:before="91"/>
        <w:ind w:left="634" w:right="172" w:hanging="481"/>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十、与金融工具相关的风险 </w:t>
      </w:r>
      <w:r>
        <w:rPr>
          <w:rFonts w:ascii="宋体" w:hAnsi="宋体" w:cs="宋体" w:eastAsia="宋体" w:hint="default"/>
          <w:sz w:val="24"/>
          <w:szCs w:val="24"/>
        </w:rPr>
        <w:t>本公司的主要金融工具包括应收账款、预付账款、其他应收款、可供出售金融资产、应</w:t>
      </w:r>
    </w:p>
    <w:p>
      <w:pPr>
        <w:pStyle w:val="BodyText"/>
        <w:spacing w:line="312" w:lineRule="exact"/>
        <w:ind w:right="0"/>
        <w:jc w:val="left"/>
      </w:pPr>
      <w:r>
        <w:rPr/>
        <w:t>付账款、其他应付款等，各项金融工具的详细情况说明见本附注五相关项目，以及本公司为</w:t>
      </w:r>
    </w:p>
    <w:p>
      <w:pPr>
        <w:spacing w:after="0" w:line="312" w:lineRule="exact"/>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312" w:lineRule="exact" w:before="56"/>
        <w:ind w:right="270"/>
        <w:jc w:val="both"/>
      </w:pPr>
      <w:r>
        <w:rPr/>
        <w:t>降低这些风险所采取的风险管理政策如下所述。本公司管理层对这些风险敞口进行管理和监 控以确保将上述风险控制在限定的范围内。</w:t>
      </w:r>
    </w:p>
    <w:p>
      <w:pPr>
        <w:pStyle w:val="BodyText"/>
        <w:spacing w:line="312" w:lineRule="exact"/>
        <w:ind w:right="271" w:firstLine="480"/>
        <w:jc w:val="both"/>
      </w:pPr>
      <w:r>
        <w:rPr/>
        <w:t>本公司在经营过程中面临各种金融风险：信用风险、市场风险和流动性风险。公司董事 会全面负责风险管理目标和政策的确定，并对风险管理目标和政策承担最终责任。本公司风</w:t>
      </w:r>
    </w:p>
    <w:p>
      <w:pPr>
        <w:pStyle w:val="BodyText"/>
        <w:spacing w:line="312" w:lineRule="exact"/>
        <w:ind w:right="270"/>
        <w:jc w:val="both"/>
      </w:pPr>
      <w:r>
        <w:rPr/>
        <w:t>险管理的总体目标是在不过度影响公司竞争力和应变力的情况下，制定尽可能降低风险的风 险管理政策。</w:t>
      </w:r>
    </w:p>
    <w:p>
      <w:pPr>
        <w:pStyle w:val="BodyText"/>
        <w:tabs>
          <w:tab w:pos="1414" w:val="left" w:leader="none"/>
        </w:tabs>
        <w:spacing w:line="292" w:lineRule="auto" w:before="13"/>
        <w:ind w:left="634" w:right="269" w:hanging="23"/>
        <w:jc w:val="left"/>
        <w:rPr>
          <w:rFonts w:ascii="Times New Roman" w:hAnsi="Times New Roman" w:cs="Times New Roman" w:eastAsia="Times New Roman" w:hint="default"/>
        </w:rPr>
      </w:pPr>
      <w:r>
        <w:rPr>
          <w:rFonts w:ascii="Times New Roman" w:hAnsi="Times New Roman" w:cs="Times New Roman" w:eastAsia="Times New Roman" w:hint="default"/>
          <w:b/>
          <w:bCs/>
        </w:rPr>
        <w:t>(</w:t>
      </w:r>
      <w:r>
        <w:rPr>
          <w:rFonts w:ascii="Microsoft JhengHei" w:hAnsi="Microsoft JhengHei" w:cs="Microsoft JhengHei" w:eastAsia="Microsoft JhengHei" w:hint="default"/>
          <w:b/>
          <w:bCs/>
        </w:rPr>
        <w:t>一</w:t>
      </w:r>
      <w:r>
        <w:rPr>
          <w:rFonts w:ascii="Times New Roman" w:hAnsi="Times New Roman" w:cs="Times New Roman" w:eastAsia="Times New Roman" w:hint="default"/>
          <w:b/>
          <w:bCs/>
        </w:rPr>
        <w:t>)</w:t>
        <w:tab/>
      </w:r>
      <w:r>
        <w:rPr>
          <w:rFonts w:ascii="Microsoft JhengHei" w:hAnsi="Microsoft JhengHei" w:cs="Microsoft JhengHei" w:eastAsia="Microsoft JhengHei" w:hint="default"/>
          <w:b/>
          <w:bCs/>
        </w:rPr>
        <w:t>信用风险</w:t>
      </w:r>
      <w:r>
        <w:rPr>
          <w:rFonts w:ascii="Microsoft JhengHei" w:hAnsi="Microsoft JhengHei" w:cs="Microsoft JhengHei" w:eastAsia="Microsoft JhengHei" w:hint="default"/>
          <w:b/>
          <w:bCs/>
          <w:spacing w:val="-57"/>
        </w:rPr>
        <w:t> </w:t>
      </w:r>
      <w:r>
        <w:rPr/>
        <w:t>信用风险是指金融工具的一方不履行义务，造成另一方发生财务损失的风险。</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p>
    <w:p>
      <w:pPr>
        <w:pStyle w:val="BodyText"/>
        <w:spacing w:line="243" w:lineRule="exact"/>
        <w:ind w:right="0"/>
        <w:jc w:val="both"/>
      </w:pPr>
      <w:r>
        <w:rPr/>
        <w:t>月</w:t>
      </w:r>
      <w:r>
        <w:rPr>
          <w:rFonts w:ascii="Times New Roman" w:hAnsi="Times New Roman" w:cs="Times New Roman" w:eastAsia="Times New Roman" w:hint="default"/>
        </w:rPr>
        <w:t>31</w:t>
      </w:r>
      <w:r>
        <w:rPr/>
        <w:t>日，可能引起本公司财务损失的最大信用风险敞口主要来自于合同另一方未能履行义务</w:t>
      </w:r>
    </w:p>
    <w:p>
      <w:pPr>
        <w:pStyle w:val="BodyText"/>
        <w:spacing w:line="312" w:lineRule="exact" w:before="20"/>
        <w:ind w:left="634" w:right="252" w:hanging="481"/>
        <w:jc w:val="left"/>
      </w:pPr>
      <w:r>
        <w:rPr/>
        <w:t>而导致本公司金融资产产生的损失。 为了降低信用风险，本公司于每个资产负债表日审核每一单位应收款的回收情况，以确</w:t>
      </w:r>
    </w:p>
    <w:p>
      <w:pPr>
        <w:pStyle w:val="BodyText"/>
        <w:spacing w:line="312" w:lineRule="exact"/>
        <w:ind w:right="270"/>
        <w:jc w:val="both"/>
      </w:pPr>
      <w:r>
        <w:rPr/>
        <w:t>保就无法回收的应收款项计提充分的坏账准备。因此，本公司管理层认为本公司所承担的信 用风险已大幅降低。</w:t>
      </w:r>
    </w:p>
    <w:p>
      <w:pPr>
        <w:pStyle w:val="BodyText"/>
        <w:spacing w:line="283" w:lineRule="exact"/>
        <w:ind w:left="634" w:right="0"/>
        <w:jc w:val="left"/>
      </w:pPr>
      <w:r>
        <w:rPr/>
        <w:t>本公司的流动资金存放在信用评级较高的银行，故流动资金的信用风险较低。</w:t>
      </w:r>
    </w:p>
    <w:p>
      <w:pPr>
        <w:pStyle w:val="BodyText"/>
        <w:tabs>
          <w:tab w:pos="1414" w:val="left" w:leader="none"/>
        </w:tabs>
        <w:spacing w:line="292" w:lineRule="auto" w:before="41"/>
        <w:ind w:left="634" w:right="271" w:hanging="23"/>
        <w:jc w:val="left"/>
      </w:pPr>
      <w:r>
        <w:rPr>
          <w:rFonts w:ascii="Times New Roman" w:hAnsi="Times New Roman" w:cs="Times New Roman" w:eastAsia="Times New Roman" w:hint="default"/>
          <w:b/>
          <w:bCs/>
        </w:rPr>
        <w:t>(</w:t>
      </w:r>
      <w:r>
        <w:rPr>
          <w:rFonts w:ascii="Microsoft JhengHei" w:hAnsi="Microsoft JhengHei" w:cs="Microsoft JhengHei" w:eastAsia="Microsoft JhengHei" w:hint="default"/>
          <w:b/>
          <w:bCs/>
        </w:rPr>
        <w:t>二</w:t>
      </w:r>
      <w:r>
        <w:rPr>
          <w:rFonts w:ascii="Times New Roman" w:hAnsi="Times New Roman" w:cs="Times New Roman" w:eastAsia="Times New Roman" w:hint="default"/>
          <w:b/>
          <w:bCs/>
        </w:rPr>
        <w:t>)</w:t>
        <w:tab/>
      </w:r>
      <w:r>
        <w:rPr>
          <w:rFonts w:ascii="Microsoft JhengHei" w:hAnsi="Microsoft JhengHei" w:cs="Microsoft JhengHei" w:eastAsia="Microsoft JhengHei" w:hint="default"/>
          <w:b/>
          <w:bCs/>
        </w:rPr>
        <w:t>市场风险</w:t>
      </w:r>
      <w:r>
        <w:rPr>
          <w:rFonts w:ascii="Microsoft JhengHei" w:hAnsi="Microsoft JhengHei" w:cs="Microsoft JhengHei" w:eastAsia="Microsoft JhengHei" w:hint="default"/>
          <w:b/>
          <w:bCs/>
          <w:spacing w:val="-57"/>
        </w:rPr>
        <w:t> </w:t>
      </w:r>
      <w:r>
        <w:rPr/>
        <w:t>金融工具的市场风险，是指金融工具的公允价值或未来现金流量因市场价格变动而发生</w:t>
      </w:r>
    </w:p>
    <w:p>
      <w:pPr>
        <w:pStyle w:val="BodyText"/>
        <w:spacing w:line="258" w:lineRule="exact"/>
        <w:ind w:right="0"/>
        <w:jc w:val="both"/>
      </w:pPr>
      <w:r>
        <w:rPr/>
        <w:t>波动的风险，包括汇率风险、利率风险和其他价格风险。</w:t>
      </w:r>
    </w:p>
    <w:p>
      <w:pPr>
        <w:pStyle w:val="BodyText"/>
        <w:spacing w:line="312" w:lineRule="exact" w:before="29"/>
        <w:ind w:left="634" w:right="0"/>
        <w:jc w:val="left"/>
      </w:pPr>
      <w:r>
        <w:rPr/>
        <w:t>（</w:t>
      </w:r>
      <w:r>
        <w:rPr>
          <w:rFonts w:ascii="Times New Roman" w:hAnsi="Times New Roman" w:cs="Times New Roman" w:eastAsia="Times New Roman" w:hint="default"/>
        </w:rPr>
        <w:t>1</w:t>
      </w:r>
      <w:r>
        <w:rPr/>
        <w:t>）利率风险 </w:t>
      </w:r>
      <w:r>
        <w:rPr>
          <w:spacing w:val="-3"/>
        </w:rPr>
        <w:t>利率风险，是指金融工具的公允价值或未来现金流量因市场利率变动而发生波动的风险。</w:t>
      </w:r>
    </w:p>
    <w:p>
      <w:pPr>
        <w:pStyle w:val="BodyText"/>
        <w:spacing w:line="283" w:lineRule="exact"/>
        <w:ind w:right="0"/>
        <w:jc w:val="both"/>
      </w:pPr>
      <w:r>
        <w:rPr/>
        <w:t>本公司面临的利率风险主要来源于理财产品以及短期借款。</w:t>
      </w:r>
    </w:p>
    <w:p>
      <w:pPr>
        <w:pStyle w:val="BodyText"/>
        <w:spacing w:line="312" w:lineRule="exact" w:before="30"/>
        <w:ind w:right="271" w:firstLine="480"/>
        <w:jc w:val="both"/>
      </w:pPr>
      <w:r>
        <w:rPr/>
        <w:t>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日，在其他变量保持不变的情况下，如果以浮动利率计算的借款利率上 升或下降</w:t>
      </w:r>
      <w:r>
        <w:rPr>
          <w:rFonts w:ascii="Times New Roman" w:hAnsi="Times New Roman" w:cs="Times New Roman" w:eastAsia="Times New Roman" w:hint="default"/>
        </w:rPr>
        <w:t>100</w:t>
      </w:r>
      <w:r>
        <w:rPr/>
        <w:t>个基点，则本公司的净利润将减少或增加</w:t>
      </w:r>
      <w:r>
        <w:rPr>
          <w:rFonts w:ascii="Times New Roman" w:hAnsi="Times New Roman" w:cs="Times New Roman" w:eastAsia="Times New Roman" w:hint="default"/>
        </w:rPr>
        <w:t>11,610,253.95</w:t>
      </w:r>
      <w:r>
        <w:rPr/>
        <w:t>元。管理层认为</w:t>
      </w:r>
      <w:r>
        <w:rPr>
          <w:rFonts w:ascii="Times New Roman" w:hAnsi="Times New Roman" w:cs="Times New Roman" w:eastAsia="Times New Roman" w:hint="default"/>
        </w:rPr>
        <w:t>100</w:t>
      </w:r>
      <w:r>
        <w:rPr/>
        <w:t>个基 点合理反映了下一年度利率可能发生变动的合理范围。</w:t>
      </w:r>
    </w:p>
    <w:p>
      <w:pPr>
        <w:pStyle w:val="BodyText"/>
        <w:spacing w:line="312" w:lineRule="auto" w:before="89"/>
        <w:ind w:left="634" w:right="0"/>
        <w:jc w:val="left"/>
      </w:pPr>
      <w:r>
        <w:rPr/>
        <w:t>（</w:t>
      </w:r>
      <w:r>
        <w:rPr>
          <w:rFonts w:ascii="Times New Roman" w:hAnsi="Times New Roman" w:cs="Times New Roman" w:eastAsia="Times New Roman" w:hint="default"/>
        </w:rPr>
        <w:t>2</w:t>
      </w:r>
      <w:r>
        <w:rPr/>
        <w:t>）汇率风险 </w:t>
      </w:r>
      <w:r>
        <w:rPr>
          <w:spacing w:val="-3"/>
        </w:rPr>
        <w:t>汇率风险，是指金融工具的公允价值或未来现金流量因外汇汇率变动而发生波动的风险。</w:t>
      </w:r>
    </w:p>
    <w:p>
      <w:pPr>
        <w:pStyle w:val="BodyText"/>
        <w:spacing w:line="239" w:lineRule="exact"/>
        <w:ind w:right="0"/>
        <w:jc w:val="both"/>
      </w:pPr>
      <w:r>
        <w:rPr/>
        <w:t>本公司尽可能将外币收入与外币支出相匹配以降低汇率风险。本公司承受外汇风险主要与美</w:t>
      </w:r>
    </w:p>
    <w:p>
      <w:pPr>
        <w:pStyle w:val="BodyText"/>
        <w:spacing w:line="312" w:lineRule="exact" w:before="29"/>
        <w:ind w:right="230"/>
        <w:jc w:val="both"/>
      </w:pPr>
      <w:r>
        <w:rPr/>
        <w:t>元、港元、林吉特、韩元和英镑等货币有关。公司本部的主要业务活动以人民币计价结算， </w:t>
      </w:r>
      <w:r>
        <w:rPr>
          <w:spacing w:val="-1"/>
        </w:rPr>
        <w:t>本公司主要子公司昆仑集团有限公司、昆仑韩国株式会社、昆仑日本株式会社以及</w:t>
      </w:r>
      <w:r>
        <w:rPr>
          <w:rFonts w:ascii="Times New Roman" w:hAnsi="Times New Roman" w:cs="Times New Roman" w:eastAsia="Times New Roman" w:hint="default"/>
          <w:spacing w:val="-1"/>
        </w:rPr>
        <w:t>KUNLUN</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35"/>
        </w:rPr>
      </w:r>
      <w:r>
        <w:rPr>
          <w:rFonts w:ascii="Times New Roman" w:hAnsi="Times New Roman" w:cs="Times New Roman" w:eastAsia="Times New Roman" w:hint="default"/>
        </w:rPr>
        <w:t>GLOBAL</w:t>
      </w:r>
      <w:r>
        <w:rPr>
          <w:rFonts w:ascii="Times New Roman" w:hAnsi="Times New Roman" w:cs="Times New Roman" w:eastAsia="Times New Roman" w:hint="default"/>
          <w:spacing w:val="-30"/>
        </w:rPr>
        <w:t> </w:t>
      </w:r>
      <w:r>
        <w:rPr>
          <w:rFonts w:ascii="Times New Roman" w:hAnsi="Times New Roman" w:cs="Times New Roman" w:eastAsia="Times New Roman" w:hint="default"/>
        </w:rPr>
        <w:t>INTERNATIONAL</w:t>
      </w:r>
      <w:r>
        <w:rPr>
          <w:rFonts w:ascii="Times New Roman" w:hAnsi="Times New Roman" w:cs="Times New Roman" w:eastAsia="Times New Roman" w:hint="default"/>
          <w:spacing w:val="-30"/>
        </w:rPr>
        <w:t> </w:t>
      </w:r>
      <w:r>
        <w:rPr>
          <w:rFonts w:ascii="Times New Roman" w:hAnsi="Times New Roman" w:cs="Times New Roman" w:eastAsia="Times New Roman" w:hint="default"/>
        </w:rPr>
        <w:t>SDN.</w:t>
      </w:r>
      <w:r>
        <w:rPr>
          <w:rFonts w:ascii="Times New Roman" w:hAnsi="Times New Roman" w:cs="Times New Roman" w:eastAsia="Times New Roman" w:hint="default"/>
          <w:spacing w:val="-30"/>
        </w:rPr>
        <w:t> </w:t>
      </w:r>
      <w:r>
        <w:rPr>
          <w:rFonts w:ascii="Times New Roman" w:hAnsi="Times New Roman" w:cs="Times New Roman" w:eastAsia="Times New Roman" w:hint="default"/>
        </w:rPr>
        <w:t>BHD.</w:t>
      </w:r>
      <w:r>
        <w:rPr/>
        <w:t>分别采取以港元、韩元、日元以及林吉特为记账本位 币，本公司面临的汇率风险主要来源于以美元、港元、韩元、日元以及林吉特等计价的金融 资产和金融负债，外币金融资产和外币金融负债折算成人民币的金额列示如下：</w:t>
      </w:r>
    </w:p>
    <w:p>
      <w:pPr>
        <w:spacing w:line="240" w:lineRule="auto" w:before="13"/>
        <w:rPr>
          <w:rFonts w:ascii="宋体" w:hAnsi="宋体" w:cs="宋体" w:eastAsia="宋体" w:hint="default"/>
          <w:sz w:val="18"/>
          <w:szCs w:val="18"/>
        </w:rPr>
      </w:pPr>
    </w:p>
    <w:tbl>
      <w:tblPr>
        <w:tblW w:w="0" w:type="auto"/>
        <w:jc w:val="left"/>
        <w:tblInd w:w="288" w:type="dxa"/>
        <w:tblLayout w:type="fixed"/>
        <w:tblCellMar>
          <w:top w:w="0" w:type="dxa"/>
          <w:left w:w="0" w:type="dxa"/>
          <w:bottom w:w="0" w:type="dxa"/>
          <w:right w:w="0" w:type="dxa"/>
        </w:tblCellMar>
        <w:tblLook w:val="01E0"/>
      </w:tblPr>
      <w:tblGrid>
        <w:gridCol w:w="1277"/>
        <w:gridCol w:w="1559"/>
        <w:gridCol w:w="993"/>
        <w:gridCol w:w="1417"/>
        <w:gridCol w:w="1559"/>
        <w:gridCol w:w="992"/>
        <w:gridCol w:w="1418"/>
      </w:tblGrid>
      <w:tr>
        <w:trPr>
          <w:trHeight w:val="355" w:hRule="exact"/>
        </w:trPr>
        <w:tc>
          <w:tcPr>
            <w:tcW w:w="1277" w:type="dxa"/>
            <w:vMerge w:val="restart"/>
            <w:tcBorders>
              <w:top w:val="single" w:sz="6" w:space="0" w:color="000000"/>
              <w:left w:val="single" w:sz="6" w:space="0" w:color="000000"/>
              <w:right w:val="single" w:sz="6" w:space="0" w:color="000000"/>
            </w:tcBorders>
          </w:tcPr>
          <w:p>
            <w:pPr>
              <w:pStyle w:val="TableParagraph"/>
              <w:spacing w:line="240" w:lineRule="auto" w:before="21"/>
              <w:ind w:left="379"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5"/>
                <w:sz w:val="18"/>
                <w:szCs w:val="18"/>
              </w:rPr>
              <w:t> </w:t>
            </w:r>
            <w:r>
              <w:rPr>
                <w:rFonts w:ascii="宋体" w:hAnsi="宋体" w:cs="宋体" w:eastAsia="宋体" w:hint="default"/>
                <w:sz w:val="18"/>
                <w:szCs w:val="18"/>
              </w:rPr>
              <w:t>目</w:t>
            </w:r>
          </w:p>
        </w:tc>
        <w:tc>
          <w:tcPr>
            <w:tcW w:w="3969" w:type="dxa"/>
            <w:gridSpan w:val="3"/>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166" w:right="0"/>
              <w:jc w:val="left"/>
              <w:rPr>
                <w:rFonts w:ascii="宋体" w:hAnsi="宋体" w:cs="宋体" w:eastAsia="宋体" w:hint="default"/>
                <w:sz w:val="18"/>
                <w:szCs w:val="18"/>
              </w:rPr>
            </w:pPr>
            <w:r>
              <w:rPr>
                <w:rFonts w:ascii="宋体" w:hAnsi="宋体" w:cs="宋体" w:eastAsia="宋体" w:hint="default"/>
                <w:sz w:val="18"/>
                <w:szCs w:val="18"/>
              </w:rPr>
              <w:t>期末余额（人民币）</w:t>
            </w:r>
          </w:p>
        </w:tc>
        <w:tc>
          <w:tcPr>
            <w:tcW w:w="3970" w:type="dxa"/>
            <w:gridSpan w:val="3"/>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left="1167" w:right="0"/>
              <w:jc w:val="left"/>
              <w:rPr>
                <w:rFonts w:ascii="宋体" w:hAnsi="宋体" w:cs="宋体" w:eastAsia="宋体" w:hint="default"/>
                <w:sz w:val="18"/>
                <w:szCs w:val="18"/>
              </w:rPr>
            </w:pPr>
            <w:r>
              <w:rPr>
                <w:rFonts w:ascii="宋体" w:hAnsi="宋体" w:cs="宋体" w:eastAsia="宋体" w:hint="default"/>
                <w:sz w:val="18"/>
                <w:szCs w:val="18"/>
              </w:rPr>
              <w:t>年初余额（人民币）</w:t>
            </w:r>
          </w:p>
        </w:tc>
      </w:tr>
      <w:tr>
        <w:trPr>
          <w:trHeight w:val="352" w:hRule="exact"/>
        </w:trPr>
        <w:tc>
          <w:tcPr>
            <w:tcW w:w="1277" w:type="dxa"/>
            <w:vMerge/>
            <w:tcBorders>
              <w:left w:val="single" w:sz="6" w:space="0" w:color="000000"/>
              <w:bottom w:val="single" w:sz="12" w:space="0" w:color="000000"/>
              <w:right w:val="single" w:sz="6" w:space="0" w:color="000000"/>
            </w:tcBorders>
          </w:tcPr>
          <w:p>
            <w:pP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11" w:right="0"/>
              <w:jc w:val="left"/>
              <w:rPr>
                <w:rFonts w:ascii="宋体" w:hAnsi="宋体" w:cs="宋体" w:eastAsia="宋体" w:hint="default"/>
                <w:sz w:val="18"/>
                <w:szCs w:val="18"/>
              </w:rPr>
            </w:pPr>
            <w:r>
              <w:rPr>
                <w:rFonts w:ascii="宋体" w:hAnsi="宋体" w:cs="宋体" w:eastAsia="宋体" w:hint="default"/>
                <w:sz w:val="18"/>
                <w:szCs w:val="18"/>
              </w:rPr>
              <w:t>期末原币</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08" w:right="0"/>
              <w:jc w:val="left"/>
              <w:rPr>
                <w:rFonts w:ascii="宋体" w:hAnsi="宋体" w:cs="宋体" w:eastAsia="宋体" w:hint="default"/>
                <w:sz w:val="18"/>
                <w:szCs w:val="18"/>
              </w:rPr>
            </w:pPr>
            <w:r>
              <w:rPr>
                <w:rFonts w:ascii="宋体" w:hAnsi="宋体" w:cs="宋体" w:eastAsia="宋体" w:hint="default"/>
                <w:sz w:val="18"/>
                <w:szCs w:val="18"/>
              </w:rPr>
              <w:t>汇率</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50" w:right="0"/>
              <w:jc w:val="left"/>
              <w:rPr>
                <w:rFonts w:ascii="宋体" w:hAnsi="宋体" w:cs="宋体" w:eastAsia="宋体" w:hint="default"/>
                <w:sz w:val="18"/>
                <w:szCs w:val="18"/>
              </w:rPr>
            </w:pPr>
            <w:r>
              <w:rPr>
                <w:rFonts w:ascii="宋体" w:hAnsi="宋体" w:cs="宋体" w:eastAsia="宋体" w:hint="default"/>
                <w:sz w:val="18"/>
                <w:szCs w:val="18"/>
              </w:rPr>
              <w:t>期末人民币</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12" w:right="0"/>
              <w:jc w:val="left"/>
              <w:rPr>
                <w:rFonts w:ascii="宋体" w:hAnsi="宋体" w:cs="宋体" w:eastAsia="宋体" w:hint="default"/>
                <w:sz w:val="18"/>
                <w:szCs w:val="18"/>
              </w:rPr>
            </w:pPr>
            <w:r>
              <w:rPr>
                <w:rFonts w:ascii="宋体" w:hAnsi="宋体" w:cs="宋体" w:eastAsia="宋体" w:hint="default"/>
                <w:sz w:val="18"/>
                <w:szCs w:val="18"/>
              </w:rPr>
              <w:t>期初原币</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09" w:right="0"/>
              <w:jc w:val="left"/>
              <w:rPr>
                <w:rFonts w:ascii="宋体" w:hAnsi="宋体" w:cs="宋体" w:eastAsia="宋体" w:hint="default"/>
                <w:sz w:val="18"/>
                <w:szCs w:val="18"/>
              </w:rPr>
            </w:pPr>
            <w:r>
              <w:rPr>
                <w:rFonts w:ascii="宋体" w:hAnsi="宋体" w:cs="宋体" w:eastAsia="宋体" w:hint="default"/>
                <w:sz w:val="18"/>
                <w:szCs w:val="18"/>
              </w:rPr>
              <w:t>汇率</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left="250" w:right="0"/>
              <w:jc w:val="left"/>
              <w:rPr>
                <w:rFonts w:ascii="宋体" w:hAnsi="宋体" w:cs="宋体" w:eastAsia="宋体" w:hint="default"/>
                <w:sz w:val="18"/>
                <w:szCs w:val="18"/>
              </w:rPr>
            </w:pPr>
            <w:r>
              <w:rPr>
                <w:rFonts w:ascii="宋体" w:hAnsi="宋体" w:cs="宋体" w:eastAsia="宋体" w:hint="default"/>
                <w:sz w:val="18"/>
                <w:szCs w:val="18"/>
              </w:rPr>
              <w:t>期初人民币</w:t>
            </w:r>
          </w:p>
        </w:tc>
      </w:tr>
      <w:tr>
        <w:trPr>
          <w:trHeight w:val="665"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66" w:lineRule="exact"/>
              <w:ind w:left="3"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现金及现金等</w:t>
            </w:r>
            <w:r>
              <w:rPr>
                <w:rFonts w:ascii="Microsoft JhengHei" w:hAnsi="Microsoft JhengHei" w:cs="Microsoft JhengHei" w:eastAsia="Microsoft JhengHei" w:hint="default"/>
                <w:sz w:val="18"/>
                <w:szCs w:val="18"/>
              </w:rPr>
            </w:r>
          </w:p>
          <w:p>
            <w:pPr>
              <w:pStyle w:val="TableParagraph"/>
              <w:spacing w:line="313" w:lineRule="exact"/>
              <w:ind w:left="3"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价物</w:t>
            </w:r>
            <w:r>
              <w:rPr>
                <w:rFonts w:ascii="Microsoft JhengHei" w:hAnsi="Microsoft JhengHei" w:cs="Microsoft JhengHei" w:eastAsia="Microsoft JhengHei" w:hint="default"/>
                <w:sz w:val="18"/>
                <w:szCs w:val="18"/>
              </w:rPr>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3" w:type="dxa"/>
            <w:tcBorders>
              <w:top w:val="single" w:sz="12" w:space="0" w:color="000000"/>
              <w:left w:val="single" w:sz="6" w:space="0" w:color="000000"/>
              <w:bottom w:val="single" w:sz="12" w:space="0" w:color="000000"/>
              <w:right w:val="single" w:sz="6" w:space="0" w:color="000000"/>
            </w:tcBorders>
          </w:tcPr>
          <w:p>
            <w:pP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455,756,331.54</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667,625,081.65</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24,069,761.10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6.4936</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156,299,400.67</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36,475,012.04</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6.1136</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222,993,633.61</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left="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1"/>
              <w:jc w:val="right"/>
              <w:rPr>
                <w:rFonts w:ascii="Times New Roman" w:hAnsi="Times New Roman" w:cs="Times New Roman" w:eastAsia="Times New Roman" w:hint="default"/>
                <w:sz w:val="15"/>
                <w:szCs w:val="15"/>
              </w:rPr>
            </w:pPr>
            <w:r>
              <w:rPr>
                <w:rFonts w:ascii="Times New Roman"/>
                <w:spacing w:val="-1"/>
                <w:sz w:val="15"/>
              </w:rPr>
              <w:t>110,433.33</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1"/>
              <w:jc w:val="right"/>
              <w:rPr>
                <w:rFonts w:ascii="Times New Roman" w:hAnsi="Times New Roman" w:cs="Times New Roman" w:eastAsia="Times New Roman" w:hint="default"/>
                <w:sz w:val="15"/>
                <w:szCs w:val="15"/>
              </w:rPr>
            </w:pPr>
            <w:r>
              <w:rPr>
                <w:rFonts w:ascii="Times New Roman"/>
                <w:sz w:val="15"/>
              </w:rPr>
              <w:t>7.0952</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0"/>
              <w:jc w:val="right"/>
              <w:rPr>
                <w:rFonts w:ascii="Times New Roman" w:hAnsi="Times New Roman" w:cs="Times New Roman" w:eastAsia="Times New Roman" w:hint="default"/>
                <w:sz w:val="15"/>
                <w:szCs w:val="15"/>
              </w:rPr>
            </w:pPr>
            <w:r>
              <w:rPr>
                <w:rFonts w:ascii="Times New Roman"/>
                <w:spacing w:val="-1"/>
                <w:sz w:val="15"/>
              </w:rPr>
              <w:t>783,546.56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0"/>
              <w:jc w:val="right"/>
              <w:rPr>
                <w:rFonts w:ascii="Times New Roman" w:hAnsi="Times New Roman" w:cs="Times New Roman" w:eastAsia="Times New Roman" w:hint="default"/>
                <w:sz w:val="15"/>
                <w:szCs w:val="15"/>
              </w:rPr>
            </w:pPr>
            <w:r>
              <w:rPr>
                <w:rFonts w:ascii="Times New Roman"/>
                <w:spacing w:val="-1"/>
                <w:sz w:val="15"/>
              </w:rPr>
              <w:t>183,800.09</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0"/>
              <w:jc w:val="right"/>
              <w:rPr>
                <w:rFonts w:ascii="Times New Roman" w:hAnsi="Times New Roman" w:cs="Times New Roman" w:eastAsia="Times New Roman" w:hint="default"/>
                <w:sz w:val="15"/>
                <w:szCs w:val="15"/>
              </w:rPr>
            </w:pPr>
            <w:r>
              <w:rPr>
                <w:rFonts w:ascii="Times New Roman"/>
                <w:sz w:val="15"/>
              </w:rPr>
              <w:t>6.8699</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8"/>
              <w:ind w:right="8"/>
              <w:jc w:val="right"/>
              <w:rPr>
                <w:rFonts w:ascii="Times New Roman" w:hAnsi="Times New Roman" w:cs="Times New Roman" w:eastAsia="Times New Roman" w:hint="default"/>
                <w:sz w:val="15"/>
                <w:szCs w:val="15"/>
              </w:rPr>
            </w:pPr>
            <w:r>
              <w:rPr>
                <w:rFonts w:ascii="Times New Roman"/>
                <w:spacing w:val="-1"/>
                <w:sz w:val="15"/>
              </w:rPr>
              <w:t>1,262,688.24</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269,280,705.03</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0.83778</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225,598,036.62</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91,992,133.46</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0.78861</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9"/>
              <w:jc w:val="right"/>
              <w:rPr>
                <w:rFonts w:ascii="Times New Roman" w:hAnsi="Times New Roman" w:cs="Times New Roman" w:eastAsia="Times New Roman" w:hint="default"/>
                <w:sz w:val="15"/>
                <w:szCs w:val="15"/>
              </w:rPr>
            </w:pPr>
            <w:r>
              <w:rPr>
                <w:rFonts w:ascii="Times New Roman"/>
                <w:spacing w:val="-1"/>
                <w:sz w:val="15"/>
              </w:rPr>
              <w:t>72,545,916.37</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6,537,099.77</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9.6159</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62,860,097.68</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25,096,785.49</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9.6422</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241,988,225.05</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1,233,734,585.00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0.005513</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6,743,424.73</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19,780,931,024.53</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0.005544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109,665,481.60</w:t>
            </w:r>
          </w:p>
        </w:tc>
      </w:tr>
    </w:tbl>
    <w:p>
      <w:pPr>
        <w:spacing w:after="0" w:line="240" w:lineRule="auto"/>
        <w:jc w:val="right"/>
        <w:rPr>
          <w:rFonts w:ascii="Times New Roman" w:hAnsi="Times New Roman" w:cs="Times New Roman" w:eastAsia="Times New Roman" w:hint="default"/>
          <w:sz w:val="15"/>
          <w:szCs w:val="15"/>
        </w:rPr>
        <w:sectPr>
          <w:pgSz w:w="11910" w:h="16840"/>
          <w:pgMar w:header="747" w:footer="979" w:top="1060" w:bottom="1160" w:left="980" w:right="900"/>
        </w:sectPr>
      </w:pPr>
    </w:p>
    <w:p>
      <w:pPr>
        <w:spacing w:line="240" w:lineRule="auto" w:before="6"/>
        <w:rPr>
          <w:rFonts w:ascii="宋体" w:hAnsi="宋体" w:cs="宋体" w:eastAsia="宋体" w:hint="default"/>
          <w:sz w:val="28"/>
          <w:szCs w:val="28"/>
        </w:rPr>
      </w:pPr>
    </w:p>
    <w:tbl>
      <w:tblPr>
        <w:tblW w:w="0" w:type="auto"/>
        <w:jc w:val="left"/>
        <w:tblInd w:w="288" w:type="dxa"/>
        <w:tblLayout w:type="fixed"/>
        <w:tblCellMar>
          <w:top w:w="0" w:type="dxa"/>
          <w:left w:w="0" w:type="dxa"/>
          <w:bottom w:w="0" w:type="dxa"/>
          <w:right w:w="0" w:type="dxa"/>
        </w:tblCellMar>
        <w:tblLook w:val="01E0"/>
      </w:tblPr>
      <w:tblGrid>
        <w:gridCol w:w="1277"/>
        <w:gridCol w:w="1559"/>
        <w:gridCol w:w="993"/>
        <w:gridCol w:w="1417"/>
        <w:gridCol w:w="1559"/>
        <w:gridCol w:w="992"/>
        <w:gridCol w:w="1418"/>
      </w:tblGrid>
      <w:tr>
        <w:trPr>
          <w:trHeight w:val="355" w:hRule="exact"/>
        </w:trPr>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5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8"/>
              <w:ind w:right="2"/>
              <w:jc w:val="right"/>
              <w:rPr>
                <w:rFonts w:ascii="Times New Roman" w:hAnsi="Times New Roman" w:cs="Times New Roman" w:eastAsia="Times New Roman" w:hint="default"/>
                <w:sz w:val="15"/>
                <w:szCs w:val="15"/>
              </w:rPr>
            </w:pPr>
            <w:r>
              <w:rPr>
                <w:rFonts w:ascii="Times New Roman"/>
                <w:spacing w:val="-1"/>
                <w:sz w:val="15"/>
              </w:rPr>
              <w:t>44,148,543.00</w:t>
            </w:r>
          </w:p>
        </w:tc>
        <w:tc>
          <w:tcPr>
            <w:tcW w:w="9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8"/>
              <w:ind w:right="1"/>
              <w:jc w:val="right"/>
              <w:rPr>
                <w:rFonts w:ascii="Times New Roman" w:hAnsi="Times New Roman" w:cs="Times New Roman" w:eastAsia="Times New Roman" w:hint="default"/>
                <w:sz w:val="15"/>
                <w:szCs w:val="15"/>
              </w:rPr>
            </w:pPr>
            <w:r>
              <w:rPr>
                <w:rFonts w:ascii="Times New Roman"/>
                <w:sz w:val="15"/>
              </w:rPr>
              <w:t>0.053875</w:t>
            </w:r>
          </w:p>
        </w:tc>
        <w:tc>
          <w:tcPr>
            <w:tcW w:w="14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8"/>
              <w:ind w:right="0"/>
              <w:jc w:val="right"/>
              <w:rPr>
                <w:rFonts w:ascii="Times New Roman" w:hAnsi="Times New Roman" w:cs="Times New Roman" w:eastAsia="Times New Roman" w:hint="default"/>
                <w:sz w:val="15"/>
                <w:szCs w:val="15"/>
              </w:rPr>
            </w:pPr>
            <w:r>
              <w:rPr>
                <w:rFonts w:ascii="Times New Roman"/>
                <w:spacing w:val="-1"/>
                <w:sz w:val="15"/>
              </w:rPr>
              <w:t>2,378,502.75</w:t>
            </w:r>
          </w:p>
        </w:tc>
        <w:tc>
          <w:tcPr>
            <w:tcW w:w="15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8"/>
              <w:ind w:right="0"/>
              <w:jc w:val="right"/>
              <w:rPr>
                <w:rFonts w:ascii="Times New Roman" w:hAnsi="Times New Roman" w:cs="Times New Roman" w:eastAsia="Times New Roman" w:hint="default"/>
                <w:sz w:val="15"/>
                <w:szCs w:val="15"/>
              </w:rPr>
            </w:pPr>
            <w:r>
              <w:rPr>
                <w:rFonts w:ascii="Times New Roman"/>
                <w:spacing w:val="-1"/>
                <w:sz w:val="15"/>
              </w:rPr>
              <w:t>106,489,613.00</w:t>
            </w:r>
          </w:p>
        </w:tc>
        <w:tc>
          <w:tcPr>
            <w:tcW w:w="9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8"/>
              <w:ind w:right="0"/>
              <w:jc w:val="right"/>
              <w:rPr>
                <w:rFonts w:ascii="Times New Roman" w:hAnsi="Times New Roman" w:cs="Times New Roman" w:eastAsia="Times New Roman" w:hint="default"/>
                <w:sz w:val="15"/>
                <w:szCs w:val="15"/>
              </w:rPr>
            </w:pPr>
            <w:r>
              <w:rPr>
                <w:rFonts w:ascii="Times New Roman"/>
                <w:sz w:val="15"/>
              </w:rPr>
              <w:t>0.050052</w:t>
            </w:r>
          </w:p>
        </w:tc>
        <w:tc>
          <w:tcPr>
            <w:tcW w:w="1418"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78"/>
              <w:ind w:right="8"/>
              <w:jc w:val="right"/>
              <w:rPr>
                <w:rFonts w:ascii="Times New Roman" w:hAnsi="Times New Roman" w:cs="Times New Roman" w:eastAsia="Times New Roman" w:hint="default"/>
                <w:sz w:val="15"/>
                <w:szCs w:val="15"/>
              </w:rPr>
            </w:pPr>
            <w:r>
              <w:rPr>
                <w:rFonts w:ascii="Times New Roman"/>
                <w:spacing w:val="-1"/>
                <w:sz w:val="15"/>
              </w:rPr>
              <w:t>5,330,018.11</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416,903.85</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1.513982</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631,184.76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7,397,557.37</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1.6387264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9"/>
              <w:jc w:val="right"/>
              <w:rPr>
                <w:rFonts w:ascii="Times New Roman" w:hAnsi="Times New Roman" w:cs="Times New Roman" w:eastAsia="Times New Roman" w:hint="default"/>
                <w:sz w:val="15"/>
                <w:szCs w:val="15"/>
              </w:rPr>
            </w:pPr>
            <w:r>
              <w:rPr>
                <w:rFonts w:ascii="Times New Roman"/>
                <w:spacing w:val="-1"/>
                <w:sz w:val="15"/>
              </w:rPr>
              <w:t>12,122,572.56</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2,117,462.04</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0.1968</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416,716.53</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8,008,755.35</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0.2009</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1,608,958.95</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left="3"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1"/>
              <w:jc w:val="right"/>
              <w:rPr>
                <w:rFonts w:ascii="Times New Roman" w:hAnsi="Times New Roman" w:cs="Times New Roman" w:eastAsia="Times New Roman" w:hint="default"/>
                <w:sz w:val="15"/>
                <w:szCs w:val="15"/>
              </w:rPr>
            </w:pPr>
            <w:r>
              <w:rPr>
                <w:rFonts w:ascii="Times New Roman"/>
                <w:spacing w:val="-1"/>
                <w:sz w:val="15"/>
              </w:rPr>
              <w:t>145,947,517.00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1"/>
              <w:jc w:val="right"/>
              <w:rPr>
                <w:rFonts w:ascii="Times New Roman" w:hAnsi="Times New Roman" w:cs="Times New Roman" w:eastAsia="Times New Roman" w:hint="default"/>
                <w:sz w:val="15"/>
                <w:szCs w:val="15"/>
              </w:rPr>
            </w:pPr>
            <w:r>
              <w:rPr>
                <w:rFonts w:ascii="Times New Roman"/>
                <w:sz w:val="15"/>
              </w:rPr>
              <w:t>0.00029</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0"/>
              <w:jc w:val="right"/>
              <w:rPr>
                <w:rFonts w:ascii="Times New Roman" w:hAnsi="Times New Roman" w:cs="Times New Roman" w:eastAsia="Times New Roman" w:hint="default"/>
                <w:sz w:val="15"/>
                <w:szCs w:val="15"/>
              </w:rPr>
            </w:pPr>
            <w:r>
              <w:rPr>
                <w:rFonts w:ascii="Times New Roman"/>
                <w:spacing w:val="-1"/>
                <w:sz w:val="15"/>
              </w:rPr>
              <w:t>42,324.78</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0"/>
              <w:jc w:val="right"/>
              <w:rPr>
                <w:rFonts w:ascii="Times New Roman" w:hAnsi="Times New Roman" w:cs="Times New Roman" w:eastAsia="Times New Roman" w:hint="default"/>
                <w:sz w:val="15"/>
                <w:szCs w:val="15"/>
              </w:rPr>
            </w:pPr>
            <w:r>
              <w:rPr>
                <w:rFonts w:ascii="Times New Roman"/>
                <w:spacing w:val="-1"/>
                <w:sz w:val="15"/>
              </w:rPr>
              <w:t>373,059,849.64</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1"/>
              <w:jc w:val="right"/>
              <w:rPr>
                <w:rFonts w:ascii="Times New Roman" w:hAnsi="Times New Roman" w:cs="Times New Roman" w:eastAsia="Times New Roman" w:hint="default"/>
                <w:sz w:val="15"/>
                <w:szCs w:val="15"/>
              </w:rPr>
            </w:pPr>
            <w:r>
              <w:rPr>
                <w:rFonts w:ascii="Times New Roman"/>
                <w:sz w:val="15"/>
              </w:rPr>
              <w:t>0.0002803</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8"/>
              <w:ind w:right="8"/>
              <w:jc w:val="right"/>
              <w:rPr>
                <w:rFonts w:ascii="Times New Roman" w:hAnsi="Times New Roman" w:cs="Times New Roman" w:eastAsia="Times New Roman" w:hint="default"/>
                <w:sz w:val="15"/>
                <w:szCs w:val="15"/>
              </w:rPr>
            </w:pPr>
            <w:r>
              <w:rPr>
                <w:rFonts w:ascii="Times New Roman"/>
                <w:spacing w:val="-1"/>
                <w:sz w:val="15"/>
              </w:rPr>
              <w:t>104,568.68</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17,199.32</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0.180034</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3,096.46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16,557.74</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0.18230</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3,018.48</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67" w:lineRule="exact"/>
              <w:ind w:left="3"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应收账款</w:t>
            </w:r>
            <w:r>
              <w:rPr>
                <w:rFonts w:ascii="Microsoft JhengHei" w:hAnsi="Microsoft JhengHei" w:cs="Microsoft JhengHei" w:eastAsia="Microsoft JhengHei" w:hint="default"/>
                <w:sz w:val="18"/>
                <w:szCs w:val="18"/>
              </w:rPr>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3" w:type="dxa"/>
            <w:tcBorders>
              <w:top w:val="single" w:sz="12" w:space="0" w:color="000000"/>
              <w:left w:val="single" w:sz="6" w:space="0" w:color="000000"/>
              <w:bottom w:val="single" w:sz="12" w:space="0" w:color="000000"/>
              <w:right w:val="single" w:sz="6" w:space="0" w:color="000000"/>
            </w:tcBorders>
          </w:tcPr>
          <w:p>
            <w:pP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444,486,440.96</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226,946,234.78</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41,558,211.10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0.8378</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34,817,469.26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40,527,326.37</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0.78861</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9"/>
              <w:jc w:val="right"/>
              <w:rPr>
                <w:rFonts w:ascii="Times New Roman" w:hAnsi="Times New Roman" w:cs="Times New Roman" w:eastAsia="Times New Roman" w:hint="default"/>
                <w:sz w:val="15"/>
                <w:szCs w:val="15"/>
              </w:rPr>
            </w:pPr>
            <w:r>
              <w:rPr>
                <w:rFonts w:ascii="Times New Roman"/>
                <w:spacing w:val="-1"/>
                <w:sz w:val="15"/>
              </w:rPr>
              <w:t>31,960,254.85</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787,245,820.93</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0.005603</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4,410,702.16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1,497,629,294.73</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0.005544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8,302,856.81</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40,247,587.01</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6.4936</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261,351,731.01</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14,465,306.91</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6.1136</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9"/>
              <w:jc w:val="right"/>
              <w:rPr>
                <w:rFonts w:ascii="Times New Roman" w:hAnsi="Times New Roman" w:cs="Times New Roman" w:eastAsia="Times New Roman" w:hint="default"/>
                <w:sz w:val="15"/>
                <w:szCs w:val="15"/>
              </w:rPr>
            </w:pPr>
            <w:r>
              <w:rPr>
                <w:rFonts w:ascii="Times New Roman"/>
                <w:spacing w:val="-1"/>
                <w:sz w:val="15"/>
              </w:rPr>
              <w:t>88,435,100.31</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452,972.19</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1.5140</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685,791.56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119,535.24</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1.6387264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195,885.56</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547,708,066.41</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0.1968</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107,788,947.47</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389,648,402.49</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0.2009</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9"/>
              <w:jc w:val="right"/>
              <w:rPr>
                <w:rFonts w:ascii="Times New Roman" w:hAnsi="Times New Roman" w:cs="Times New Roman" w:eastAsia="Times New Roman" w:hint="default"/>
                <w:sz w:val="15"/>
                <w:szCs w:val="15"/>
              </w:rPr>
            </w:pPr>
            <w:r>
              <w:rPr>
                <w:rFonts w:ascii="Times New Roman"/>
                <w:spacing w:val="-1"/>
                <w:sz w:val="15"/>
              </w:rPr>
              <w:t>78,280,364.06</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卢布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63,109,656.80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0.11072</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5,579,987.34</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73,644,380.21</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0.11072</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8,153,905.78</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64,580,372.08</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0.1796</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11,598,634.83</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19,392,327.50</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0.18230</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3,535,221.30</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63,108,535,304.60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0.0002892</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18,253,177.33</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28,866,593,263.44</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0.00028</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8,082,646.11</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67" w:lineRule="exact"/>
              <w:ind w:left="3"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其他应收款</w:t>
            </w:r>
            <w:r>
              <w:rPr>
                <w:rFonts w:ascii="Microsoft JhengHei" w:hAnsi="Microsoft JhengHei" w:cs="Microsoft JhengHei" w:eastAsia="Microsoft JhengHei" w:hint="default"/>
                <w:sz w:val="18"/>
                <w:szCs w:val="18"/>
              </w:rPr>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3" w:type="dxa"/>
            <w:tcBorders>
              <w:top w:val="single" w:sz="12" w:space="0" w:color="000000"/>
              <w:left w:val="single" w:sz="6" w:space="0" w:color="000000"/>
              <w:bottom w:val="single" w:sz="12" w:space="0" w:color="000000"/>
              <w:right w:val="single" w:sz="6" w:space="0" w:color="000000"/>
            </w:tcBorders>
          </w:tcPr>
          <w:p>
            <w:pP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59,828,599.84</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7,396,277.27</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3"/>
              <w:jc w:val="right"/>
              <w:rPr>
                <w:rFonts w:ascii="Times New Roman" w:hAnsi="Times New Roman" w:cs="Times New Roman" w:eastAsia="Times New Roman" w:hint="default"/>
                <w:sz w:val="15"/>
                <w:szCs w:val="15"/>
              </w:rPr>
            </w:pPr>
            <w:r>
              <w:rPr>
                <w:rFonts w:ascii="Times New Roman"/>
                <w:spacing w:val="-1"/>
                <w:sz w:val="15"/>
              </w:rPr>
              <w:t>5,622,355.00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6.4936</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36,509,324.43</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694,570.58</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6.1136</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4,246,326.70</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23,630,318.88</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0.8378</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19,797,481.16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11,918.17</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0.78861</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9,398.79</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604,952,000.00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0.005603</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3,389,364.57</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540,622,389.97</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0.005544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2,997,210.53</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87,471.13</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1.5140</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132,429.68</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87,471.13</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1.6387264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143,341.25</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67" w:lineRule="exact"/>
              <w:ind w:left="3"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应付账款</w:t>
            </w:r>
            <w:r>
              <w:rPr>
                <w:rFonts w:ascii="Microsoft JhengHei" w:hAnsi="Microsoft JhengHei" w:cs="Microsoft JhengHei" w:eastAsia="Microsoft JhengHei" w:hint="default"/>
                <w:sz w:val="18"/>
                <w:szCs w:val="18"/>
              </w:rPr>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3" w:type="dxa"/>
            <w:tcBorders>
              <w:top w:val="single" w:sz="12" w:space="0" w:color="000000"/>
              <w:left w:val="single" w:sz="6" w:space="0" w:color="000000"/>
              <w:bottom w:val="single" w:sz="12" w:space="0" w:color="000000"/>
              <w:right w:val="single" w:sz="6" w:space="0" w:color="000000"/>
            </w:tcBorders>
          </w:tcPr>
          <w:p>
            <w:pP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right="0"/>
              <w:jc w:val="right"/>
              <w:rPr>
                <w:rFonts w:ascii="Times New Roman" w:hAnsi="Times New Roman" w:cs="Times New Roman" w:eastAsia="Times New Roman" w:hint="default"/>
                <w:sz w:val="15"/>
                <w:szCs w:val="15"/>
              </w:rPr>
            </w:pPr>
            <w:r>
              <w:rPr>
                <w:rFonts w:ascii="Times New Roman"/>
                <w:spacing w:val="-1"/>
                <w:sz w:val="15"/>
              </w:rPr>
              <w:t>293,831,011.77</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8"/>
              <w:ind w:right="8"/>
              <w:jc w:val="right"/>
              <w:rPr>
                <w:rFonts w:ascii="Times New Roman" w:hAnsi="Times New Roman" w:cs="Times New Roman" w:eastAsia="Times New Roman" w:hint="default"/>
                <w:sz w:val="15"/>
                <w:szCs w:val="15"/>
              </w:rPr>
            </w:pPr>
            <w:r>
              <w:rPr>
                <w:rFonts w:ascii="Times New Roman"/>
                <w:spacing w:val="-1"/>
                <w:sz w:val="15"/>
              </w:rPr>
              <w:t>182,850,328.20</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26,630,265.52</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3"/>
              <w:jc w:val="right"/>
              <w:rPr>
                <w:rFonts w:ascii="Times New Roman" w:hAnsi="Times New Roman" w:cs="Times New Roman" w:eastAsia="Times New Roman" w:hint="default"/>
                <w:sz w:val="15"/>
                <w:szCs w:val="15"/>
              </w:rPr>
            </w:pPr>
            <w:r>
              <w:rPr>
                <w:rFonts w:ascii="Times New Roman"/>
                <w:sz w:val="15"/>
              </w:rPr>
              <w:t>6.4936</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172,926,292.18</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4,951,460.41</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6.1136</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9"/>
              <w:jc w:val="right"/>
              <w:rPr>
                <w:rFonts w:ascii="Times New Roman" w:hAnsi="Times New Roman" w:cs="Times New Roman" w:eastAsia="Times New Roman" w:hint="default"/>
                <w:sz w:val="15"/>
                <w:szCs w:val="15"/>
              </w:rPr>
            </w:pPr>
            <w:r>
              <w:rPr>
                <w:rFonts w:ascii="Times New Roman"/>
                <w:spacing w:val="-1"/>
                <w:sz w:val="15"/>
              </w:rPr>
              <w:t>30,271,248.36</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89,466,927.35</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0.8378</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74,955,391.73</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177,968,940.76</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0.78861</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140,348,086.37</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27,171,332.55</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1.5140</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41,136,897.53</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858,948,423.34</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0.005603</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4,812,430.33</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2,206,167,653.32</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0.005544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9"/>
              <w:jc w:val="right"/>
              <w:rPr>
                <w:rFonts w:ascii="Times New Roman" w:hAnsi="Times New Roman" w:cs="Times New Roman" w:eastAsia="Times New Roman" w:hint="default"/>
                <w:sz w:val="15"/>
                <w:szCs w:val="15"/>
              </w:rPr>
            </w:pPr>
            <w:r>
              <w:rPr>
                <w:rFonts w:ascii="Times New Roman"/>
                <w:spacing w:val="-1"/>
                <w:sz w:val="15"/>
              </w:rPr>
              <w:t>12,230,993.47</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67" w:lineRule="exact"/>
              <w:ind w:left="3"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其他应付款</w:t>
            </w:r>
            <w:r>
              <w:rPr>
                <w:rFonts w:ascii="Microsoft JhengHei" w:hAnsi="Microsoft JhengHei" w:cs="Microsoft JhengHei" w:eastAsia="Microsoft JhengHei" w:hint="default"/>
                <w:sz w:val="18"/>
                <w:szCs w:val="18"/>
              </w:rPr>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3" w:type="dxa"/>
            <w:tcBorders>
              <w:top w:val="single" w:sz="12" w:space="0" w:color="000000"/>
              <w:left w:val="single" w:sz="6" w:space="0" w:color="000000"/>
              <w:bottom w:val="single" w:sz="12" w:space="0" w:color="000000"/>
              <w:right w:val="single" w:sz="6" w:space="0" w:color="000000"/>
            </w:tcBorders>
          </w:tcPr>
          <w:p>
            <w:pP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41,177,958.69</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506,995.02</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3" w:type="dxa"/>
            <w:tcBorders>
              <w:top w:val="single" w:sz="12" w:space="0" w:color="000000"/>
              <w:left w:val="single" w:sz="6" w:space="0" w:color="000000"/>
              <w:bottom w:val="single" w:sz="12" w:space="0" w:color="000000"/>
              <w:right w:val="single" w:sz="6" w:space="0" w:color="000000"/>
            </w:tcBorders>
          </w:tcPr>
          <w:p>
            <w:pPr/>
          </w:p>
        </w:tc>
        <w:tc>
          <w:tcPr>
            <w:tcW w:w="1417" w:type="dxa"/>
            <w:tcBorders>
              <w:top w:val="single" w:sz="12" w:space="0" w:color="000000"/>
              <w:left w:val="single" w:sz="6" w:space="0" w:color="000000"/>
              <w:bottom w:val="single" w:sz="12" w:space="0" w:color="000000"/>
              <w:right w:val="single" w:sz="6" w:space="0" w:color="000000"/>
            </w:tcBorders>
          </w:tcPr>
          <w:p>
            <w:pP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77,972.80</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6.1136</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476,694.51</w:t>
            </w: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港元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49,062,344.92</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0.8378</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41,103,451.33</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13,298,474.00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z w:val="15"/>
              </w:rPr>
              <w:t>0.005603</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74,507.36</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5,465,459.96</w:t>
            </w:r>
          </w:p>
        </w:tc>
        <w:tc>
          <w:tcPr>
            <w:tcW w:w="99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z w:val="15"/>
              </w:rPr>
              <w:t>0.005544</w:t>
            </w:r>
          </w:p>
        </w:tc>
        <w:tc>
          <w:tcPr>
            <w:tcW w:w="141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67"/>
              <w:ind w:right="8"/>
              <w:jc w:val="right"/>
              <w:rPr>
                <w:rFonts w:ascii="Times New Roman" w:hAnsi="Times New Roman" w:cs="Times New Roman" w:eastAsia="Times New Roman" w:hint="default"/>
                <w:sz w:val="15"/>
                <w:szCs w:val="15"/>
              </w:rPr>
            </w:pPr>
            <w:r>
              <w:rPr>
                <w:rFonts w:ascii="Times New Roman"/>
                <w:spacing w:val="-1"/>
                <w:sz w:val="15"/>
              </w:rPr>
              <w:t>30,300.51</w:t>
            </w:r>
          </w:p>
        </w:tc>
      </w:tr>
      <w:tr>
        <w:trPr>
          <w:trHeight w:val="353"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67" w:lineRule="exact"/>
              <w:ind w:left="3"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短期借款</w:t>
            </w:r>
            <w:r>
              <w:rPr>
                <w:rFonts w:ascii="Microsoft JhengHei" w:hAnsi="Microsoft JhengHei" w:cs="Microsoft JhengHei" w:eastAsia="Microsoft JhengHei" w:hint="default"/>
                <w:sz w:val="18"/>
                <w:szCs w:val="18"/>
              </w:rPr>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3" w:type="dxa"/>
            <w:tcBorders>
              <w:top w:val="single" w:sz="12" w:space="0" w:color="000000"/>
              <w:left w:val="single" w:sz="6" w:space="0" w:color="000000"/>
              <w:bottom w:val="single" w:sz="12" w:space="0" w:color="000000"/>
              <w:right w:val="single" w:sz="6" w:space="0" w:color="000000"/>
            </w:tcBorders>
          </w:tcPr>
          <w:p>
            <w:pP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207,823,862.19</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127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5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32,000,000.00</w:t>
            </w:r>
          </w:p>
        </w:tc>
        <w:tc>
          <w:tcPr>
            <w:tcW w:w="9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3"/>
              <w:jc w:val="right"/>
              <w:rPr>
                <w:rFonts w:ascii="Times New Roman" w:hAnsi="Times New Roman" w:cs="Times New Roman" w:eastAsia="Times New Roman" w:hint="default"/>
                <w:sz w:val="15"/>
                <w:szCs w:val="15"/>
              </w:rPr>
            </w:pPr>
            <w:r>
              <w:rPr>
                <w:rFonts w:ascii="Times New Roman"/>
                <w:sz w:val="15"/>
              </w:rPr>
              <w:t>6.4936</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5"/>
                <w:szCs w:val="15"/>
              </w:rPr>
            </w:pPr>
            <w:r>
              <w:rPr>
                <w:rFonts w:ascii="Times New Roman"/>
                <w:spacing w:val="-1"/>
                <w:sz w:val="15"/>
              </w:rPr>
              <w:t>207,823,862.19</w:t>
            </w:r>
          </w:p>
        </w:tc>
        <w:tc>
          <w:tcPr>
            <w:tcW w:w="1559" w:type="dxa"/>
            <w:tcBorders>
              <w:top w:val="single" w:sz="12" w:space="0" w:color="000000"/>
              <w:left w:val="single" w:sz="6" w:space="0" w:color="000000"/>
              <w:bottom w:val="single" w:sz="12" w:space="0" w:color="000000"/>
              <w:right w:val="single" w:sz="6" w:space="0" w:color="000000"/>
            </w:tcBorders>
          </w:tcPr>
          <w:p>
            <w:pPr/>
          </w:p>
        </w:tc>
        <w:tc>
          <w:tcPr>
            <w:tcW w:w="992" w:type="dxa"/>
            <w:tcBorders>
              <w:top w:val="single" w:sz="12" w:space="0" w:color="000000"/>
              <w:left w:val="single" w:sz="6" w:space="0" w:color="000000"/>
              <w:bottom w:val="single" w:sz="12" w:space="0" w:color="000000"/>
              <w:right w:val="single" w:sz="6" w:space="0" w:color="000000"/>
            </w:tcBorders>
          </w:tcPr>
          <w:p>
            <w:pPr/>
          </w:p>
        </w:tc>
        <w:tc>
          <w:tcPr>
            <w:tcW w:w="1418" w:type="dxa"/>
            <w:tcBorders>
              <w:top w:val="single" w:sz="12" w:space="0" w:color="000000"/>
              <w:left w:val="single" w:sz="6" w:space="0" w:color="000000"/>
              <w:bottom w:val="single" w:sz="12" w:space="0" w:color="000000"/>
              <w:right w:val="nil" w:sz="6" w:space="0" w:color="auto"/>
            </w:tcBorders>
          </w:tcPr>
          <w:p>
            <w:pPr/>
          </w:p>
        </w:tc>
      </w:tr>
    </w:tbl>
    <w:p>
      <w:pPr>
        <w:pStyle w:val="BodyText"/>
        <w:spacing w:line="312" w:lineRule="exact" w:before="111"/>
        <w:ind w:left="1587" w:right="7252" w:hanging="953"/>
        <w:jc w:val="left"/>
      </w:pPr>
      <w:r>
        <w:rPr/>
        <w:t>（</w:t>
      </w:r>
      <w:r>
        <w:rPr>
          <w:rFonts w:ascii="Times New Roman" w:hAnsi="Times New Roman" w:cs="Times New Roman" w:eastAsia="Times New Roman" w:hint="default"/>
        </w:rPr>
        <w:t>3</w:t>
      </w:r>
      <w:r>
        <w:rPr/>
        <w:t>）其他价格风险 无</w:t>
      </w:r>
    </w:p>
    <w:p>
      <w:pPr>
        <w:tabs>
          <w:tab w:pos="1414" w:val="left" w:leader="none"/>
        </w:tabs>
        <w:spacing w:line="292" w:lineRule="auto" w:before="13"/>
        <w:ind w:left="634" w:right="191" w:hanging="3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w:t>
      </w:r>
      <w:r>
        <w:rPr>
          <w:rFonts w:ascii="Microsoft JhengHei" w:hAnsi="Microsoft JhengHei" w:cs="Microsoft JhengHei" w:eastAsia="Microsoft JhengHei" w:hint="default"/>
          <w:b/>
          <w:bCs/>
          <w:sz w:val="24"/>
          <w:szCs w:val="24"/>
        </w:rPr>
        <w:t>三</w:t>
      </w:r>
      <w:r>
        <w:rPr>
          <w:rFonts w:ascii="Times New Roman" w:hAnsi="Times New Roman" w:cs="Times New Roman" w:eastAsia="Times New Roman" w:hint="default"/>
          <w:b/>
          <w:bCs/>
          <w:sz w:val="24"/>
          <w:szCs w:val="24"/>
        </w:rPr>
        <w:t>)</w:t>
        <w:tab/>
      </w:r>
      <w:r>
        <w:rPr>
          <w:rFonts w:ascii="Microsoft JhengHei" w:hAnsi="Microsoft JhengHei" w:cs="Microsoft JhengHei" w:eastAsia="Microsoft JhengHei" w:hint="default"/>
          <w:b/>
          <w:bCs/>
          <w:sz w:val="24"/>
          <w:szCs w:val="24"/>
        </w:rPr>
        <w:t>流动性风险</w:t>
      </w:r>
      <w:r>
        <w:rPr>
          <w:rFonts w:ascii="Microsoft JhengHei" w:hAnsi="Microsoft JhengHei" w:cs="Microsoft JhengHei" w:eastAsia="Microsoft JhengHei" w:hint="default"/>
          <w:b/>
          <w:bCs/>
          <w:spacing w:val="-56"/>
          <w:sz w:val="24"/>
          <w:szCs w:val="24"/>
        </w:rPr>
        <w:t> </w:t>
      </w:r>
      <w:r>
        <w:rPr>
          <w:rFonts w:ascii="宋体" w:hAnsi="宋体" w:cs="宋体" w:eastAsia="宋体" w:hint="default"/>
          <w:sz w:val="24"/>
          <w:szCs w:val="24"/>
        </w:rPr>
        <w:t>流动风险，是指企业在履行以交付现金或其他金融资产的方式结算的义务时发生资金短</w:t>
      </w:r>
    </w:p>
    <w:p>
      <w:pPr>
        <w:pStyle w:val="BodyText"/>
        <w:spacing w:line="259" w:lineRule="exact"/>
        <w:ind w:right="0"/>
        <w:jc w:val="left"/>
      </w:pPr>
      <w:r>
        <w:rPr/>
        <w:t>缺的风险。本公司的政策是确保拥有充足的现金以偿还到期债务。流动性风险由本公司的财</w:t>
      </w:r>
    </w:p>
    <w:p>
      <w:pPr>
        <w:pStyle w:val="BodyText"/>
        <w:spacing w:line="312" w:lineRule="exact" w:before="29"/>
        <w:ind w:right="172"/>
        <w:jc w:val="left"/>
      </w:pPr>
      <w:r>
        <w:rPr/>
        <w:t>务部门集中控制。财务部门通过监控现金余额、可随时变现的有价证券以及对未来</w:t>
      </w:r>
      <w:r>
        <w:rPr>
          <w:rFonts w:ascii="Times New Roman" w:hAnsi="Times New Roman" w:cs="Times New Roman" w:eastAsia="Times New Roman" w:hint="default"/>
        </w:rPr>
        <w:t>12</w:t>
      </w:r>
      <w:r>
        <w:rPr/>
        <w:t>个月现 金流量的滚动预测，确保公司在所有合理预测的情况下拥有充足的资金偿还债务。</w:t>
      </w:r>
    </w:p>
    <w:p>
      <w:pPr>
        <w:pStyle w:val="BodyText"/>
        <w:spacing w:line="240" w:lineRule="auto" w:before="89"/>
        <w:ind w:left="634" w:right="0"/>
        <w:jc w:val="left"/>
      </w:pPr>
      <w:r>
        <w:rPr/>
        <w:t>本公司各项金融负债以未折现的合同现金流量按到期日列示如下：</w:t>
      </w:r>
    </w:p>
    <w:p>
      <w:pPr>
        <w:spacing w:after="0" w:line="240" w:lineRule="auto"/>
        <w:jc w:val="left"/>
        <w:sectPr>
          <w:pgSz w:w="11910" w:h="16840"/>
          <w:pgMar w:header="747"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816" w:type="dxa"/>
        <w:tblLayout w:type="fixed"/>
        <w:tblCellMar>
          <w:top w:w="0" w:type="dxa"/>
          <w:left w:w="0" w:type="dxa"/>
          <w:bottom w:w="0" w:type="dxa"/>
          <w:right w:w="0" w:type="dxa"/>
        </w:tblCellMar>
        <w:tblLook w:val="01E0"/>
      </w:tblPr>
      <w:tblGrid>
        <w:gridCol w:w="1174"/>
        <w:gridCol w:w="1844"/>
        <w:gridCol w:w="1700"/>
        <w:gridCol w:w="1702"/>
        <w:gridCol w:w="1700"/>
      </w:tblGrid>
      <w:tr>
        <w:trPr>
          <w:trHeight w:val="355" w:hRule="exact"/>
        </w:trPr>
        <w:tc>
          <w:tcPr>
            <w:tcW w:w="1174" w:type="dxa"/>
            <w:vMerge w:val="restart"/>
            <w:tcBorders>
              <w:top w:val="single" w:sz="6" w:space="0" w:color="000000"/>
              <w:left w:val="single" w:sz="6" w:space="0" w:color="000000"/>
              <w:right w:val="single" w:sz="6" w:space="0" w:color="000000"/>
            </w:tcBorders>
          </w:tcPr>
          <w:p>
            <w:pPr>
              <w:pStyle w:val="TableParagraph"/>
              <w:spacing w:line="240" w:lineRule="auto" w:before="21"/>
              <w:ind w:left="327"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5"/>
                <w:sz w:val="18"/>
                <w:szCs w:val="18"/>
              </w:rPr>
              <w:t> </w:t>
            </w:r>
            <w:r>
              <w:rPr>
                <w:rFonts w:ascii="宋体" w:hAnsi="宋体" w:cs="宋体" w:eastAsia="宋体" w:hint="default"/>
                <w:sz w:val="18"/>
                <w:szCs w:val="18"/>
              </w:rPr>
              <w:t>目</w:t>
            </w:r>
          </w:p>
        </w:tc>
        <w:tc>
          <w:tcPr>
            <w:tcW w:w="6946" w:type="dxa"/>
            <w:gridSpan w:val="4"/>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5"/>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3" w:hRule="exact"/>
        </w:trPr>
        <w:tc>
          <w:tcPr>
            <w:tcW w:w="1174" w:type="dxa"/>
            <w:vMerge/>
            <w:tcBorders>
              <w:left w:val="single" w:sz="6" w:space="0" w:color="000000"/>
              <w:bottom w:val="single" w:sz="12" w:space="0" w:color="000000"/>
              <w:right w:val="single" w:sz="6" w:space="0" w:color="000000"/>
            </w:tcBorders>
          </w:tcPr>
          <w:p>
            <w:pPr/>
          </w:p>
        </w:tc>
        <w:tc>
          <w:tcPr>
            <w:tcW w:w="184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5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7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年</w:t>
            </w:r>
          </w:p>
        </w:tc>
        <w:tc>
          <w:tcPr>
            <w:tcW w:w="17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5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70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52" w:hRule="exact"/>
        </w:trPr>
        <w:tc>
          <w:tcPr>
            <w:tcW w:w="11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4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247,823,862.19</w:t>
            </w:r>
          </w:p>
        </w:tc>
        <w:tc>
          <w:tcPr>
            <w:tcW w:w="1700" w:type="dxa"/>
            <w:tcBorders>
              <w:top w:val="single" w:sz="12" w:space="0" w:color="000000"/>
              <w:left w:val="single" w:sz="6" w:space="0" w:color="000000"/>
              <w:bottom w:val="single" w:sz="12" w:space="0" w:color="000000"/>
              <w:right w:val="single" w:sz="6" w:space="0" w:color="000000"/>
            </w:tcBorders>
          </w:tcPr>
          <w:p>
            <w:pPr/>
          </w:p>
        </w:tc>
        <w:tc>
          <w:tcPr>
            <w:tcW w:w="1702" w:type="dxa"/>
            <w:tcBorders>
              <w:top w:val="single" w:sz="12" w:space="0" w:color="000000"/>
              <w:left w:val="single" w:sz="6" w:space="0" w:color="000000"/>
              <w:bottom w:val="single" w:sz="12" w:space="0" w:color="000000"/>
              <w:right w:val="single" w:sz="6" w:space="0" w:color="000000"/>
            </w:tcBorders>
          </w:tcPr>
          <w:p>
            <w:pPr/>
          </w:p>
        </w:tc>
        <w:tc>
          <w:tcPr>
            <w:tcW w:w="170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pacing w:val="-1"/>
                <w:sz w:val="18"/>
              </w:rPr>
              <w:t>247,823,862.19</w:t>
            </w:r>
          </w:p>
        </w:tc>
      </w:tr>
      <w:tr>
        <w:trPr>
          <w:trHeight w:val="352" w:hRule="exact"/>
        </w:trPr>
        <w:tc>
          <w:tcPr>
            <w:tcW w:w="11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4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327,082,691.94</w:t>
            </w:r>
          </w:p>
        </w:tc>
        <w:tc>
          <w:tcPr>
            <w:tcW w:w="1700" w:type="dxa"/>
            <w:tcBorders>
              <w:top w:val="single" w:sz="12" w:space="0" w:color="000000"/>
              <w:left w:val="single" w:sz="6" w:space="0" w:color="000000"/>
              <w:bottom w:val="single" w:sz="12" w:space="0" w:color="000000"/>
              <w:right w:val="single" w:sz="6" w:space="0" w:color="000000"/>
            </w:tcBorders>
          </w:tcPr>
          <w:p>
            <w:pPr/>
          </w:p>
        </w:tc>
        <w:tc>
          <w:tcPr>
            <w:tcW w:w="1702" w:type="dxa"/>
            <w:tcBorders>
              <w:top w:val="single" w:sz="12" w:space="0" w:color="000000"/>
              <w:left w:val="single" w:sz="6" w:space="0" w:color="000000"/>
              <w:bottom w:val="single" w:sz="12" w:space="0" w:color="000000"/>
              <w:right w:val="single" w:sz="6" w:space="0" w:color="000000"/>
            </w:tcBorders>
          </w:tcPr>
          <w:p>
            <w:pPr/>
          </w:p>
        </w:tc>
        <w:tc>
          <w:tcPr>
            <w:tcW w:w="170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pacing w:val="-1"/>
                <w:sz w:val="18"/>
              </w:rPr>
              <w:t>327,082,691.94</w:t>
            </w:r>
          </w:p>
        </w:tc>
      </w:tr>
      <w:tr>
        <w:trPr>
          <w:trHeight w:val="353" w:hRule="exact"/>
        </w:trPr>
        <w:tc>
          <w:tcPr>
            <w:tcW w:w="11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4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374,944,337.55</w:t>
            </w:r>
          </w:p>
        </w:tc>
        <w:tc>
          <w:tcPr>
            <w:tcW w:w="1700" w:type="dxa"/>
            <w:tcBorders>
              <w:top w:val="single" w:sz="12" w:space="0" w:color="000000"/>
              <w:left w:val="single" w:sz="6" w:space="0" w:color="000000"/>
              <w:bottom w:val="single" w:sz="12" w:space="0" w:color="000000"/>
              <w:right w:val="single" w:sz="6" w:space="0" w:color="000000"/>
            </w:tcBorders>
          </w:tcPr>
          <w:p>
            <w:pPr/>
          </w:p>
        </w:tc>
        <w:tc>
          <w:tcPr>
            <w:tcW w:w="1702" w:type="dxa"/>
            <w:tcBorders>
              <w:top w:val="single" w:sz="12" w:space="0" w:color="000000"/>
              <w:left w:val="single" w:sz="6" w:space="0" w:color="000000"/>
              <w:bottom w:val="single" w:sz="12" w:space="0" w:color="000000"/>
              <w:right w:val="single" w:sz="6" w:space="0" w:color="000000"/>
            </w:tcBorders>
          </w:tcPr>
          <w:p>
            <w:pPr/>
          </w:p>
        </w:tc>
        <w:tc>
          <w:tcPr>
            <w:tcW w:w="170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pacing w:val="-1"/>
                <w:sz w:val="18"/>
              </w:rPr>
              <w:t>374,944,337.55</w:t>
            </w:r>
          </w:p>
        </w:tc>
      </w:tr>
      <w:tr>
        <w:trPr>
          <w:trHeight w:val="352" w:hRule="exact"/>
        </w:trPr>
        <w:tc>
          <w:tcPr>
            <w:tcW w:w="11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27"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184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949,850,891.68</w:t>
            </w:r>
          </w:p>
        </w:tc>
        <w:tc>
          <w:tcPr>
            <w:tcW w:w="1700" w:type="dxa"/>
            <w:tcBorders>
              <w:top w:val="single" w:sz="12" w:space="0" w:color="000000"/>
              <w:left w:val="single" w:sz="6" w:space="0" w:color="000000"/>
              <w:bottom w:val="single" w:sz="12" w:space="0" w:color="000000"/>
              <w:right w:val="single" w:sz="6" w:space="0" w:color="000000"/>
            </w:tcBorders>
          </w:tcPr>
          <w:p>
            <w:pPr/>
          </w:p>
        </w:tc>
        <w:tc>
          <w:tcPr>
            <w:tcW w:w="1702" w:type="dxa"/>
            <w:tcBorders>
              <w:top w:val="single" w:sz="12" w:space="0" w:color="000000"/>
              <w:left w:val="single" w:sz="6" w:space="0" w:color="000000"/>
              <w:bottom w:val="single" w:sz="12" w:space="0" w:color="000000"/>
              <w:right w:val="single" w:sz="6" w:space="0" w:color="000000"/>
            </w:tcBorders>
          </w:tcPr>
          <w:p>
            <w:pPr/>
          </w:p>
        </w:tc>
        <w:tc>
          <w:tcPr>
            <w:tcW w:w="170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pacing w:val="-1"/>
                <w:sz w:val="18"/>
              </w:rPr>
              <w:t>949,850,891.68</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tbl>
      <w:tblPr>
        <w:tblW w:w="0" w:type="auto"/>
        <w:jc w:val="left"/>
        <w:tblInd w:w="816" w:type="dxa"/>
        <w:tblLayout w:type="fixed"/>
        <w:tblCellMar>
          <w:top w:w="0" w:type="dxa"/>
          <w:left w:w="0" w:type="dxa"/>
          <w:bottom w:w="0" w:type="dxa"/>
          <w:right w:w="0" w:type="dxa"/>
        </w:tblCellMar>
        <w:tblLook w:val="01E0"/>
      </w:tblPr>
      <w:tblGrid>
        <w:gridCol w:w="1174"/>
        <w:gridCol w:w="1700"/>
        <w:gridCol w:w="1702"/>
        <w:gridCol w:w="1701"/>
        <w:gridCol w:w="1843"/>
      </w:tblGrid>
      <w:tr>
        <w:trPr>
          <w:trHeight w:val="355" w:hRule="exact"/>
        </w:trPr>
        <w:tc>
          <w:tcPr>
            <w:tcW w:w="1174" w:type="dxa"/>
            <w:vMerge w:val="restart"/>
            <w:tcBorders>
              <w:top w:val="single" w:sz="6" w:space="0" w:color="000000"/>
              <w:left w:val="single" w:sz="6" w:space="0" w:color="000000"/>
              <w:right w:val="single" w:sz="6" w:space="0" w:color="000000"/>
            </w:tcBorders>
          </w:tcPr>
          <w:p>
            <w:pPr>
              <w:pStyle w:val="TableParagraph"/>
              <w:spacing w:line="240" w:lineRule="auto" w:before="21"/>
              <w:ind w:left="327"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5"/>
                <w:sz w:val="18"/>
                <w:szCs w:val="18"/>
              </w:rPr>
              <w:t> </w:t>
            </w:r>
            <w:r>
              <w:rPr>
                <w:rFonts w:ascii="宋体" w:hAnsi="宋体" w:cs="宋体" w:eastAsia="宋体" w:hint="default"/>
                <w:sz w:val="18"/>
                <w:szCs w:val="18"/>
              </w:rPr>
              <w:t>目</w:t>
            </w:r>
          </w:p>
        </w:tc>
        <w:tc>
          <w:tcPr>
            <w:tcW w:w="6946" w:type="dxa"/>
            <w:gridSpan w:val="4"/>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5"/>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52" w:hRule="exact"/>
        </w:trPr>
        <w:tc>
          <w:tcPr>
            <w:tcW w:w="1174" w:type="dxa"/>
            <w:vMerge/>
            <w:tcBorders>
              <w:left w:val="single" w:sz="6" w:space="0" w:color="000000"/>
              <w:bottom w:val="single" w:sz="12" w:space="0" w:color="000000"/>
              <w:right w:val="single" w:sz="6" w:space="0" w:color="000000"/>
            </w:tcBorders>
          </w:tcPr>
          <w:p>
            <w:pPr/>
          </w:p>
        </w:tc>
        <w:tc>
          <w:tcPr>
            <w:tcW w:w="17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7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年</w:t>
            </w:r>
          </w:p>
        </w:tc>
        <w:tc>
          <w:tcPr>
            <w:tcW w:w="170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5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843"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53" w:hRule="exact"/>
        </w:trPr>
        <w:tc>
          <w:tcPr>
            <w:tcW w:w="11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7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222,091,015.77</w:t>
            </w:r>
          </w:p>
        </w:tc>
        <w:tc>
          <w:tcPr>
            <w:tcW w:w="1702" w:type="dxa"/>
            <w:tcBorders>
              <w:top w:val="single" w:sz="12" w:space="0" w:color="000000"/>
              <w:left w:val="single" w:sz="6" w:space="0" w:color="000000"/>
              <w:bottom w:val="single" w:sz="12" w:space="0" w:color="000000"/>
              <w:right w:val="single" w:sz="6" w:space="0" w:color="000000"/>
            </w:tcBorders>
          </w:tcPr>
          <w:p>
            <w:pPr/>
          </w:p>
        </w:tc>
        <w:tc>
          <w:tcPr>
            <w:tcW w:w="1701" w:type="dxa"/>
            <w:tcBorders>
              <w:top w:val="single" w:sz="12" w:space="0" w:color="000000"/>
              <w:left w:val="single" w:sz="6" w:space="0" w:color="000000"/>
              <w:bottom w:val="single" w:sz="12" w:space="0" w:color="000000"/>
              <w:right w:val="single" w:sz="6" w:space="0" w:color="000000"/>
            </w:tcBorders>
          </w:tcPr>
          <w:p>
            <w:pPr/>
          </w:p>
        </w:tc>
        <w:tc>
          <w:tcPr>
            <w:tcW w:w="1843"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pacing w:val="-1"/>
                <w:sz w:val="18"/>
              </w:rPr>
              <w:t>222,091,015.77</w:t>
            </w:r>
          </w:p>
        </w:tc>
      </w:tr>
      <w:tr>
        <w:trPr>
          <w:trHeight w:val="352" w:hRule="exact"/>
        </w:trPr>
        <w:tc>
          <w:tcPr>
            <w:tcW w:w="11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4,364,549.74</w:t>
            </w:r>
          </w:p>
        </w:tc>
        <w:tc>
          <w:tcPr>
            <w:tcW w:w="1702" w:type="dxa"/>
            <w:tcBorders>
              <w:top w:val="single" w:sz="12" w:space="0" w:color="000000"/>
              <w:left w:val="single" w:sz="6" w:space="0" w:color="000000"/>
              <w:bottom w:val="single" w:sz="12" w:space="0" w:color="000000"/>
              <w:right w:val="single" w:sz="6" w:space="0" w:color="000000"/>
            </w:tcBorders>
          </w:tcPr>
          <w:p>
            <w:pPr/>
          </w:p>
        </w:tc>
        <w:tc>
          <w:tcPr>
            <w:tcW w:w="1701" w:type="dxa"/>
            <w:tcBorders>
              <w:top w:val="single" w:sz="12" w:space="0" w:color="000000"/>
              <w:left w:val="single" w:sz="6" w:space="0" w:color="000000"/>
              <w:bottom w:val="single" w:sz="12" w:space="0" w:color="000000"/>
              <w:right w:val="single" w:sz="6" w:space="0" w:color="000000"/>
            </w:tcBorders>
          </w:tcPr>
          <w:p>
            <w:pPr/>
          </w:p>
        </w:tc>
        <w:tc>
          <w:tcPr>
            <w:tcW w:w="1843"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pacing w:val="-1"/>
                <w:sz w:val="18"/>
              </w:rPr>
              <w:t>4,364,549.74</w:t>
            </w:r>
          </w:p>
        </w:tc>
      </w:tr>
      <w:tr>
        <w:trPr>
          <w:trHeight w:val="352" w:hRule="exact"/>
        </w:trPr>
        <w:tc>
          <w:tcPr>
            <w:tcW w:w="117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27"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17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226,455,565.51</w:t>
            </w:r>
          </w:p>
        </w:tc>
        <w:tc>
          <w:tcPr>
            <w:tcW w:w="1702" w:type="dxa"/>
            <w:tcBorders>
              <w:top w:val="single" w:sz="12" w:space="0" w:color="000000"/>
              <w:left w:val="single" w:sz="6" w:space="0" w:color="000000"/>
              <w:bottom w:val="single" w:sz="12" w:space="0" w:color="000000"/>
              <w:right w:val="single" w:sz="6" w:space="0" w:color="000000"/>
            </w:tcBorders>
          </w:tcPr>
          <w:p>
            <w:pPr/>
          </w:p>
        </w:tc>
        <w:tc>
          <w:tcPr>
            <w:tcW w:w="1701" w:type="dxa"/>
            <w:tcBorders>
              <w:top w:val="single" w:sz="12" w:space="0" w:color="000000"/>
              <w:left w:val="single" w:sz="6" w:space="0" w:color="000000"/>
              <w:bottom w:val="single" w:sz="12" w:space="0" w:color="000000"/>
              <w:right w:val="single" w:sz="6" w:space="0" w:color="000000"/>
            </w:tcBorders>
          </w:tcPr>
          <w:p>
            <w:pPr/>
          </w:p>
        </w:tc>
        <w:tc>
          <w:tcPr>
            <w:tcW w:w="1843"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pacing w:val="-1"/>
                <w:sz w:val="18"/>
              </w:rPr>
              <w:t>226,455,565.51</w:t>
            </w:r>
          </w:p>
        </w:tc>
      </w:tr>
    </w:tbl>
    <w:p>
      <w:pPr>
        <w:spacing w:line="240" w:lineRule="auto" w:before="2"/>
        <w:rPr>
          <w:rFonts w:ascii="宋体" w:hAnsi="宋体" w:cs="宋体" w:eastAsia="宋体" w:hint="default"/>
          <w:sz w:val="18"/>
          <w:szCs w:val="18"/>
        </w:rPr>
      </w:pPr>
    </w:p>
    <w:p>
      <w:pPr>
        <w:pStyle w:val="Heading2"/>
        <w:spacing w:line="367" w:lineRule="exact"/>
        <w:ind w:right="0"/>
        <w:jc w:val="left"/>
        <w:rPr>
          <w:b w:val="0"/>
          <w:bCs w:val="0"/>
        </w:rPr>
      </w:pPr>
      <w:r>
        <w:rPr/>
        <w:t>十一、公允价值的披露</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、以公允价值计量的资产和负债的期末公允价值</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23"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4"/>
                <w:sz w:val="18"/>
                <w:szCs w:val="18"/>
              </w:rPr>
              <w:t>一、持续的公允价值计量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4"/>
                <w:sz w:val="18"/>
                <w:szCs w:val="18"/>
              </w:rPr>
              <w:t>二、非持续的公允价值计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、持续和非持续第一层次公允价值计量项目市价的确定依据</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、持续和非持续第二层次公允价值计量项目，采用的估值技术和重要参数的定性及定量信息</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、持续和非持续第三层次公允价值计量项目，采用的估值技术和重要参数的定性及定量信息</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、持续的第三层次公允价值计量项目，期初与期末账面价值间的调节信息及不可观察参数敏感性分析</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、持续的公允价值计量项目，本期内发生各层级之间转换的，转换的原因及确定转换时点的政策</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、本期内发生的估值技术变更及变更原因</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、不以公允价值计量的金融资产和金融负债的公允价值情况</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line="376" w:lineRule="auto" w:before="0"/>
        <w:ind w:left="154" w:right="713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9</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z w:val="24"/>
          <w:szCs w:val="24"/>
        </w:rPr>
        <w:t>十二、关联方及关联交易</w:t>
      </w:r>
      <w:r>
        <w:rPr>
          <w:rFonts w:ascii="Microsoft JhengHei" w:hAnsi="Microsoft JhengHei" w:cs="Microsoft JhengHei" w:eastAsia="Microsoft JhengHei" w:hint="default"/>
          <w:b/>
          <w:bCs/>
          <w:sz w:val="24"/>
          <w:szCs w:val="24"/>
        </w:rPr>
        <w:t> </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、本企业的母公司情况</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9"/>
          <w:szCs w:val="9"/>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4"/>
        <w:gridCol w:w="1594"/>
        <w:gridCol w:w="1595"/>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2" w:right="71" w:hanging="360"/>
              <w:jc w:val="left"/>
              <w:rPr>
                <w:rFonts w:ascii="宋体" w:hAnsi="宋体" w:cs="宋体" w:eastAsia="宋体" w:hint="default"/>
                <w:sz w:val="18"/>
                <w:szCs w:val="18"/>
              </w:rPr>
            </w:pPr>
            <w:r>
              <w:rPr>
                <w:rFonts w:ascii="宋体" w:hAnsi="宋体" w:cs="宋体" w:eastAsia="宋体" w:hint="default"/>
                <w:sz w:val="18"/>
                <w:szCs w:val="18"/>
              </w:rPr>
              <w:t>母公司对本企业的 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1" w:right="71" w:hanging="270"/>
              <w:jc w:val="left"/>
              <w:rPr>
                <w:rFonts w:ascii="宋体" w:hAnsi="宋体" w:cs="宋体" w:eastAsia="宋体" w:hint="default"/>
                <w:sz w:val="18"/>
                <w:szCs w:val="18"/>
              </w:rPr>
            </w:pPr>
            <w:r>
              <w:rPr>
                <w:rFonts w:ascii="宋体" w:hAnsi="宋体" w:cs="宋体" w:eastAsia="宋体" w:hint="default"/>
                <w:sz w:val="18"/>
                <w:szCs w:val="18"/>
              </w:rPr>
              <w:t>母公司对本企业的 表决权比例</w:t>
            </w:r>
          </w:p>
        </w:tc>
      </w:tr>
    </w:tbl>
    <w:p>
      <w:pPr>
        <w:spacing w:line="357" w:lineRule="auto" w:before="51"/>
        <w:ind w:left="154" w:right="7432"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 无。 本企业最终控制方是周亚辉。 其他说明：</w:t>
      </w:r>
    </w:p>
    <w:p>
      <w:pPr>
        <w:spacing w:line="240" w:lineRule="auto" w:before="13"/>
        <w:rPr>
          <w:rFonts w:ascii="宋体" w:hAnsi="宋体" w:cs="宋体" w:eastAsia="宋体" w:hint="default"/>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、本企业的子公司情况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本企业子公司的情况详见附注九、在其他主体中的权益。</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、本企业合营和联营企业情况</w:t>
      </w:r>
      <w:r>
        <w:rPr>
          <w:rFonts w:ascii="Microsoft JhengHei" w:hAnsi="Microsoft JhengHei" w:cs="Microsoft JhengHei" w:eastAsia="Microsoft JhengHei" w:hint="default"/>
          <w:sz w:val="21"/>
          <w:szCs w:val="21"/>
        </w:rPr>
      </w:r>
    </w:p>
    <w:p>
      <w:pPr>
        <w:spacing w:line="240" w:lineRule="auto" w:before="10"/>
        <w:rPr>
          <w:rFonts w:ascii="Microsoft JhengHei" w:hAnsi="Microsoft JhengHei" w:cs="Microsoft JhengHei" w:eastAsia="Microsoft JhengHei" w:hint="default"/>
          <w:b/>
          <w:bCs/>
          <w:sz w:val="19"/>
          <w:szCs w:val="19"/>
        </w:rPr>
      </w:pPr>
    </w:p>
    <w:p>
      <w:pPr>
        <w:spacing w:line="357" w:lineRule="auto" w:before="0"/>
        <w:ind w:left="154" w:right="1312" w:firstLine="0"/>
        <w:jc w:val="left"/>
        <w:rPr>
          <w:rFonts w:ascii="宋体" w:hAnsi="宋体" w:cs="宋体" w:eastAsia="宋体" w:hint="default"/>
          <w:sz w:val="18"/>
          <w:szCs w:val="18"/>
        </w:rPr>
      </w:pPr>
      <w:r>
        <w:rPr>
          <w:rFonts w:ascii="宋体" w:hAnsi="宋体" w:cs="宋体" w:eastAsia="宋体" w:hint="default"/>
          <w:sz w:val="18"/>
          <w:szCs w:val="18"/>
        </w:rPr>
        <w:t>本企业重要的合营或联营企业详见附注九、在其他主体中的权益。 本期与本公司发生关联方交易，或前期与本公司发生关联方交易形成余额的其他合营或联营企业情况如下：</w:t>
      </w: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bl>
    <w:p>
      <w:pPr>
        <w:spacing w:before="68"/>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65"/>
        <w:ind w:right="0"/>
        <w:jc w:val="left"/>
      </w:pPr>
      <w:r>
        <w:rPr/>
        <w:t>本期无与本公司发生关联方交易的合营或联营企业。</w:t>
      </w:r>
    </w:p>
    <w:p>
      <w:pPr>
        <w:spacing w:line="240" w:lineRule="auto" w:before="8"/>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、其他关联方情况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珠海富海铧创信息技术创业投资基金（有限合伙）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其执行事务合伙人陈玮为本公司董事</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7"/>
        <w:rPr>
          <w:rFonts w:ascii="Microsoft JhengHei" w:hAnsi="Microsoft JhengHei" w:cs="Microsoft JhengHei" w:eastAsia="Microsoft JhengHei" w:hint="default"/>
          <w:b/>
          <w:bCs/>
          <w:sz w:val="21"/>
          <w:szCs w:val="21"/>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东方富海（上海）创业投资企业（有限合伙）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其执行事务合伙人陈玮为本公司董事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摩比神奇（北京）信息技术有限公司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其股东王立伟为本公司董事、副总经理</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北京多游网络科技有限公司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其执行董事、经理及实际控制人陈浩健为公司原副总经理</w:t>
            </w:r>
          </w:p>
        </w:tc>
      </w:tr>
    </w:tbl>
    <w:p>
      <w:pPr>
        <w:spacing w:before="51"/>
        <w:ind w:left="154" w:right="2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21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、关联交易情况</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21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）购销商品、提供和接受劳务的关联交易</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213"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2"/>
        <w:ind w:left="0" w:right="21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40"/>
        <w:gridCol w:w="1454"/>
        <w:gridCol w:w="1455"/>
        <w:gridCol w:w="1706"/>
        <w:gridCol w:w="1708"/>
        <w:gridCol w:w="1706"/>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2"/>
        <w:ind w:left="154" w:right="213"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2"/>
        <w:ind w:left="0" w:right="21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8"/>
        <w:gridCol w:w="2259"/>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6"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23"/>
              <w:jc w:val="left"/>
              <w:rPr>
                <w:rFonts w:ascii="宋体" w:hAnsi="宋体" w:cs="宋体" w:eastAsia="宋体" w:hint="default"/>
                <w:sz w:val="18"/>
                <w:szCs w:val="18"/>
              </w:rPr>
            </w:pPr>
            <w:r>
              <w:rPr>
                <w:rFonts w:ascii="宋体" w:hAnsi="宋体" w:cs="宋体" w:eastAsia="宋体" w:hint="default"/>
                <w:sz w:val="18"/>
                <w:szCs w:val="18"/>
              </w:rPr>
              <w:t>摩比神奇（北京）信息技术有 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4"/>
              <w:jc w:val="both"/>
              <w:rPr>
                <w:rFonts w:ascii="宋体" w:hAnsi="宋体" w:cs="宋体" w:eastAsia="宋体" w:hint="default"/>
                <w:sz w:val="18"/>
                <w:szCs w:val="18"/>
              </w:rPr>
            </w:pPr>
            <w:r>
              <w:rPr>
                <w:rFonts w:ascii="宋体" w:hAnsi="宋体" w:cs="宋体" w:eastAsia="宋体" w:hint="default"/>
                <w:sz w:val="18"/>
                <w:szCs w:val="18"/>
              </w:rPr>
              <w:t>借用公司办公场地向公司支 付服务器、带宽使用费及行 政相关费用</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2,017,461.96</w:t>
            </w: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摩比神奇（北京）信息技术有 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业务推广费</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16,908,518.53</w:t>
            </w:r>
          </w:p>
        </w:tc>
        <w:tc>
          <w:tcPr>
            <w:tcW w:w="2652"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213"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61" w:lineRule="auto" w:before="90"/>
        <w:ind w:left="154" w:right="196" w:firstLine="420"/>
        <w:jc w:val="left"/>
        <w:rPr>
          <w:rFonts w:ascii="宋体" w:hAnsi="宋体" w:cs="宋体" w:eastAsia="宋体" w:hint="default"/>
          <w:sz w:val="21"/>
          <w:szCs w:val="21"/>
        </w:rPr>
      </w:pPr>
      <w:r>
        <w:rPr>
          <w:rFonts w:ascii="宋体" w:hAnsi="宋体" w:cs="宋体" w:eastAsia="宋体" w:hint="default"/>
          <w:sz w:val="21"/>
          <w:szCs w:val="21"/>
        </w:rPr>
        <w:t>公司与摩比神奇（北京）信息技术有限公司（以下简称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摩比神奇</w:t>
      </w:r>
      <w:r>
        <w:rPr>
          <w:rFonts w:ascii="Times New Roman" w:hAnsi="Times New Roman" w:cs="Times New Roman" w:eastAsia="Times New Roman" w:hint="default"/>
          <w:sz w:val="21"/>
          <w:szCs w:val="21"/>
        </w:rPr>
        <w:t>”</w:t>
      </w:r>
      <w:r>
        <w:rPr>
          <w:rFonts w:ascii="宋体" w:hAnsi="宋体" w:cs="宋体" w:eastAsia="宋体" w:hint="default"/>
          <w:sz w:val="21"/>
          <w:szCs w:val="21"/>
        </w:rPr>
        <w:t>）签订了《办公场地借用合同》， </w:t>
      </w:r>
      <w:r>
        <w:rPr>
          <w:rFonts w:ascii="宋体" w:hAnsi="宋体" w:cs="宋体" w:eastAsia="宋体" w:hint="default"/>
          <w:spacing w:val="-1"/>
          <w:sz w:val="21"/>
          <w:szCs w:val="21"/>
        </w:rPr>
        <w:t>摩比神奇借用公司办公场地向公司支付服务器、带宽使用费及行政相关费用（行政费用包含但不限于房屋</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租赁费、水电费等），借用期限为</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日至</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30</w:t>
      </w:r>
      <w:r>
        <w:rPr>
          <w:rFonts w:ascii="宋体" w:hAnsi="宋体" w:cs="宋体" w:eastAsia="宋体" w:hint="default"/>
          <w:sz w:val="21"/>
          <w:szCs w:val="21"/>
        </w:rPr>
        <w:t>日止，金额为</w:t>
      </w:r>
      <w:r>
        <w:rPr>
          <w:rFonts w:ascii="Times New Roman" w:hAnsi="Times New Roman" w:cs="Times New Roman" w:eastAsia="Times New Roman" w:hint="default"/>
          <w:sz w:val="21"/>
          <w:szCs w:val="21"/>
        </w:rPr>
        <w:t>3,349,499.15</w:t>
      </w:r>
      <w:r>
        <w:rPr>
          <w:rFonts w:ascii="宋体" w:hAnsi="宋体" w:cs="宋体" w:eastAsia="宋体" w:hint="default"/>
          <w:sz w:val="21"/>
          <w:szCs w:val="21"/>
        </w:rPr>
        <w:t>元。由于摩比神 </w:t>
      </w:r>
      <w:r>
        <w:rPr>
          <w:rFonts w:ascii="宋体" w:hAnsi="宋体" w:cs="宋体" w:eastAsia="宋体" w:hint="default"/>
          <w:spacing w:val="-5"/>
          <w:sz w:val="21"/>
          <w:szCs w:val="21"/>
        </w:rPr>
        <w:t>奇（北京）信息技术有限公司的股东王立伟为公司董事、副总经理，上述交易被界定为关联交易。截止</w:t>
      </w:r>
      <w:r>
        <w:rPr>
          <w:rFonts w:ascii="Times New Roman" w:hAnsi="Times New Roman" w:cs="Times New Roman" w:eastAsia="Times New Roman" w:hint="default"/>
          <w:spacing w:val="-5"/>
          <w:sz w:val="21"/>
          <w:szCs w:val="21"/>
        </w:rPr>
        <w:t>2015</w:t>
      </w:r>
      <w:r>
        <w:rPr>
          <w:rFonts w:ascii="Times New Roman" w:hAnsi="Times New Roman" w:cs="Times New Roman" w:eastAsia="Times New Roman" w:hint="default"/>
          <w:spacing w:val="-41"/>
          <w:sz w:val="21"/>
          <w:szCs w:val="21"/>
        </w:rPr>
        <w:t> </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日，摩比神奇（北京）信息技术有限公司已向公司支付</w:t>
      </w:r>
      <w:r>
        <w:rPr>
          <w:rFonts w:ascii="Times New Roman" w:hAnsi="Times New Roman" w:cs="Times New Roman" w:eastAsia="Times New Roman" w:hint="default"/>
          <w:sz w:val="21"/>
          <w:szCs w:val="21"/>
        </w:rPr>
        <w:t>3,349,499.15</w:t>
      </w:r>
      <w:r>
        <w:rPr>
          <w:rFonts w:ascii="宋体" w:hAnsi="宋体" w:cs="宋体" w:eastAsia="宋体" w:hint="default"/>
          <w:sz w:val="21"/>
          <w:szCs w:val="21"/>
        </w:rPr>
        <w:t>元，本期确认营业收入 </w:t>
      </w:r>
      <w:r>
        <w:rPr>
          <w:rFonts w:ascii="Times New Roman" w:hAnsi="Times New Roman" w:cs="Times New Roman" w:eastAsia="Times New Roman" w:hint="default"/>
          <w:sz w:val="21"/>
          <w:szCs w:val="21"/>
        </w:rPr>
        <w:t>2,017,461.96</w:t>
      </w:r>
      <w:r>
        <w:rPr>
          <w:rFonts w:ascii="宋体" w:hAnsi="宋体" w:cs="宋体" w:eastAsia="宋体" w:hint="default"/>
          <w:sz w:val="21"/>
          <w:szCs w:val="21"/>
        </w:rPr>
        <w:t>元。</w:t>
      </w:r>
    </w:p>
    <w:p>
      <w:pPr>
        <w:spacing w:before="41"/>
        <w:ind w:left="490" w:right="0" w:firstLine="0"/>
        <w:jc w:val="left"/>
        <w:rPr>
          <w:rFonts w:ascii="宋体" w:hAnsi="宋体" w:cs="宋体" w:eastAsia="宋体" w:hint="default"/>
          <w:sz w:val="21"/>
          <w:szCs w:val="21"/>
        </w:rPr>
      </w:pPr>
      <w:r>
        <w:rPr>
          <w:rFonts w:ascii="宋体" w:hAnsi="宋体" w:cs="宋体" w:eastAsia="宋体" w:hint="default"/>
          <w:sz w:val="21"/>
          <w:szCs w:val="21"/>
        </w:rPr>
        <w:t>公司为摩比神奇（北京）信息技术有限公司进行业务推广，本期收到并确认广告收入</w:t>
      </w:r>
      <w:r>
        <w:rPr>
          <w:rFonts w:ascii="Times New Roman" w:hAnsi="Times New Roman" w:cs="Times New Roman" w:eastAsia="Times New Roman" w:hint="default"/>
          <w:sz w:val="21"/>
          <w:szCs w:val="21"/>
        </w:rPr>
        <w:t>16,908,518.53</w:t>
      </w:r>
      <w:r>
        <w:rPr>
          <w:rFonts w:ascii="宋体" w:hAnsi="宋体" w:cs="宋体" w:eastAsia="宋体" w:hint="default"/>
          <w:sz w:val="21"/>
          <w:szCs w:val="21"/>
        </w:rPr>
        <w:t>元。</w:t>
      </w:r>
    </w:p>
    <w:p>
      <w:pPr>
        <w:spacing w:line="240" w:lineRule="auto" w:before="5"/>
        <w:rPr>
          <w:rFonts w:ascii="宋体" w:hAnsi="宋体" w:cs="宋体" w:eastAsia="宋体" w:hint="default"/>
          <w:sz w:val="19"/>
          <w:szCs w:val="19"/>
        </w:rPr>
      </w:pPr>
    </w:p>
    <w:p>
      <w:pPr>
        <w:spacing w:before="0"/>
        <w:ind w:left="154" w:right="21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）关联受托管理</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承包及委托管理</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出包情况</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154" w:right="213" w:firstLine="0"/>
        <w:jc w:val="left"/>
        <w:rPr>
          <w:rFonts w:ascii="宋体" w:hAnsi="宋体" w:cs="宋体" w:eastAsia="宋体" w:hint="default"/>
          <w:sz w:val="18"/>
          <w:szCs w:val="18"/>
        </w:rPr>
      </w:pPr>
      <w:r>
        <w:rPr>
          <w:rFonts w:ascii="宋体" w:hAnsi="宋体" w:cs="宋体" w:eastAsia="宋体" w:hint="default"/>
          <w:sz w:val="18"/>
          <w:szCs w:val="18"/>
        </w:rPr>
        <w:t>本公司受托管理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承包情况表：</w:t>
      </w:r>
    </w:p>
    <w:p>
      <w:pPr>
        <w:spacing w:before="103"/>
        <w:ind w:left="0" w:right="21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8" w:right="23" w:hanging="56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7" w:right="23" w:hanging="56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8" w:right="23" w:hanging="56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承包资产类 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8" w:right="23" w:hanging="206"/>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2" w:right="47" w:hanging="65"/>
              <w:jc w:val="left"/>
              <w:rPr>
                <w:rFonts w:ascii="宋体" w:hAnsi="宋体" w:cs="宋体" w:eastAsia="宋体" w:hint="default"/>
                <w:sz w:val="18"/>
                <w:szCs w:val="18"/>
              </w:rPr>
            </w:pPr>
            <w:r>
              <w:rPr>
                <w:rFonts w:ascii="宋体" w:hAnsi="宋体" w:cs="宋体" w:eastAsia="宋体" w:hint="default"/>
                <w:sz w:val="18"/>
                <w:szCs w:val="18"/>
              </w:rPr>
              <w:t>本期确认的托管 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承包收益</w:t>
            </w:r>
          </w:p>
        </w:tc>
      </w:tr>
    </w:tbl>
    <w:p>
      <w:pPr>
        <w:spacing w:after="0" w:line="319" w:lineRule="auto"/>
        <w:jc w:val="left"/>
        <w:rPr>
          <w:rFonts w:ascii="宋体" w:hAnsi="宋体" w:cs="宋体" w:eastAsia="宋体" w:hint="default"/>
          <w:sz w:val="18"/>
          <w:szCs w:val="18"/>
        </w:rPr>
        <w:sectPr>
          <w:pgSz w:w="11910" w:h="16840"/>
          <w:pgMar w:header="747" w:footer="979" w:top="1060" w:bottom="1160" w:left="980" w:right="920"/>
        </w:sectPr>
      </w:pPr>
    </w:p>
    <w:p>
      <w:pPr>
        <w:spacing w:line="338" w:lineRule="auto" w:before="51"/>
        <w:ind w:left="154" w:right="520" w:firstLine="0"/>
        <w:jc w:val="left"/>
        <w:rPr>
          <w:rFonts w:ascii="宋体" w:hAnsi="宋体" w:cs="宋体" w:eastAsia="宋体" w:hint="default"/>
          <w:sz w:val="18"/>
          <w:szCs w:val="18"/>
        </w:rPr>
      </w:pPr>
      <w:r>
        <w:rPr>
          <w:rFonts w:ascii="宋体" w:hAnsi="宋体" w:cs="宋体" w:eastAsia="宋体" w:hint="default"/>
          <w:sz w:val="18"/>
          <w:szCs w:val="18"/>
        </w:rPr>
        <w:t>关联托管</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承包情况说明 无。</w:t>
      </w:r>
    </w:p>
    <w:p>
      <w:pPr>
        <w:spacing w:before="43"/>
        <w:ind w:left="154" w:right="-20" w:firstLine="0"/>
        <w:jc w:val="left"/>
        <w:rPr>
          <w:rFonts w:ascii="宋体" w:hAnsi="宋体" w:cs="宋体" w:eastAsia="宋体" w:hint="default"/>
          <w:sz w:val="18"/>
          <w:szCs w:val="18"/>
        </w:rPr>
      </w:pPr>
      <w:r>
        <w:rPr>
          <w:rFonts w:ascii="宋体" w:hAnsi="宋体" w:cs="宋体" w:eastAsia="宋体" w:hint="default"/>
          <w:sz w:val="18"/>
          <w:szCs w:val="18"/>
        </w:rPr>
        <w:t>本公司委托管理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2"/>
          <w:szCs w:val="12"/>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20"/>
          <w:cols w:num="2" w:equalWidth="0">
            <w:col w:w="2545" w:space="6284"/>
            <w:col w:w="118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出包资产类</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出包费定</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47" w:right="0"/>
              <w:jc w:val="left"/>
              <w:rPr>
                <w:rFonts w:ascii="宋体" w:hAnsi="宋体" w:cs="宋体" w:eastAsia="宋体" w:hint="default"/>
                <w:sz w:val="18"/>
                <w:szCs w:val="18"/>
              </w:rPr>
            </w:pPr>
            <w:r>
              <w:rPr>
                <w:rFonts w:ascii="宋体" w:hAnsi="宋体" w:cs="宋体" w:eastAsia="宋体" w:hint="default"/>
                <w:sz w:val="18"/>
                <w:szCs w:val="18"/>
              </w:rPr>
              <w:t>本期确认的托管</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92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36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08" w:right="0"/>
              <w:jc w:val="left"/>
              <w:rPr>
                <w:rFonts w:ascii="宋体" w:hAnsi="宋体" w:cs="宋体" w:eastAsia="宋体" w:hint="default"/>
                <w:sz w:val="18"/>
                <w:szCs w:val="18"/>
              </w:rPr>
            </w:pPr>
            <w:r>
              <w:rPr>
                <w:rFonts w:ascii="宋体" w:hAnsi="宋体" w:cs="宋体" w:eastAsia="宋体" w:hint="default"/>
                <w:sz w:val="18"/>
                <w:szCs w:val="18"/>
              </w:rPr>
              <w:t>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92" w:right="0"/>
              <w:jc w:val="left"/>
              <w:rPr>
                <w:rFonts w:ascii="宋体" w:hAnsi="宋体" w:cs="宋体" w:eastAsia="宋体" w:hint="default"/>
                <w:sz w:val="18"/>
                <w:szCs w:val="18"/>
              </w:rPr>
            </w:pPr>
            <w:r>
              <w:rPr>
                <w:rFonts w:ascii="宋体" w:hAnsi="宋体" w:cs="宋体" w:eastAsia="宋体" w:hint="default"/>
                <w:sz w:val="18"/>
                <w:szCs w:val="18"/>
              </w:rPr>
              <w:t>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spacing w:line="338" w:lineRule="auto" w:before="51"/>
        <w:ind w:left="154" w:right="7922" w:firstLine="0"/>
        <w:jc w:val="left"/>
        <w:rPr>
          <w:rFonts w:ascii="宋体" w:hAnsi="宋体" w:cs="宋体" w:eastAsia="宋体" w:hint="default"/>
          <w:sz w:val="18"/>
          <w:szCs w:val="18"/>
        </w:rPr>
      </w:pPr>
      <w:r>
        <w:rPr>
          <w:rFonts w:ascii="宋体" w:hAnsi="宋体" w:cs="宋体" w:eastAsia="宋体" w:hint="default"/>
          <w:sz w:val="18"/>
          <w:szCs w:val="18"/>
        </w:rPr>
        <w:t>关联管理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出包情况说明 无。</w:t>
      </w:r>
    </w:p>
    <w:p>
      <w:pPr>
        <w:spacing w:line="240" w:lineRule="auto" w:before="3"/>
        <w:rPr>
          <w:rFonts w:ascii="宋体" w:hAnsi="宋体" w:cs="宋体" w:eastAsia="宋体" w:hint="default"/>
          <w:sz w:val="16"/>
          <w:szCs w:val="16"/>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）关联租赁情况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本公司作为出租方：</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88"/>
        <w:gridCol w:w="2394"/>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715"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摩比神奇（北京）信息技术有 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办公场地</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16" w:right="0"/>
              <w:jc w:val="left"/>
              <w:rPr>
                <w:rFonts w:ascii="Times New Roman" w:hAnsi="Times New Roman" w:cs="Times New Roman" w:eastAsia="Times New Roman" w:hint="default"/>
                <w:sz w:val="18"/>
                <w:szCs w:val="18"/>
              </w:rPr>
            </w:pPr>
            <w:r>
              <w:rPr>
                <w:rFonts w:ascii="Times New Roman"/>
                <w:sz w:val="18"/>
              </w:rPr>
              <w:t>2,017,461.96</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本公司作为承租方：</w:t>
      </w:r>
    </w:p>
    <w:p>
      <w:pPr>
        <w:spacing w:before="116"/>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关联租赁情况说明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）关联担保情况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本公司作为担保方</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本公司作为被担保方</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bl>
    <w:p>
      <w:pPr>
        <w:spacing w:line="357" w:lineRule="auto" w:before="52"/>
        <w:ind w:left="154" w:right="8332" w:firstLine="0"/>
        <w:jc w:val="left"/>
        <w:rPr>
          <w:rFonts w:ascii="宋体" w:hAnsi="宋体" w:cs="宋体" w:eastAsia="宋体" w:hint="default"/>
          <w:sz w:val="18"/>
          <w:szCs w:val="18"/>
        </w:rPr>
      </w:pPr>
      <w:r>
        <w:rPr>
          <w:rFonts w:ascii="宋体" w:hAnsi="宋体" w:cs="宋体" w:eastAsia="宋体" w:hint="default"/>
          <w:sz w:val="18"/>
          <w:szCs w:val="18"/>
        </w:rPr>
        <w:t>关联担保情况说明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）关联方资金拆借</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3"/>
        <w:gridCol w:w="1914"/>
        <w:gridCol w:w="1915"/>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）关联方资产转让、债务重组情况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）关键管理人员报酬</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3,401,728.02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3,325,759.70</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）其他关联交易</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18"/>
          <w:szCs w:val="18"/>
        </w:rPr>
      </w:pPr>
    </w:p>
    <w:p>
      <w:pPr>
        <w:spacing w:line="256" w:lineRule="auto" w:before="0"/>
        <w:ind w:left="154" w:right="149" w:firstLine="420"/>
        <w:jc w:val="both"/>
        <w:rPr>
          <w:rFonts w:ascii="宋体" w:hAnsi="宋体" w:cs="宋体" w:eastAsia="宋体" w:hint="default"/>
          <w:sz w:val="21"/>
          <w:szCs w:val="21"/>
        </w:rPr>
      </w:pPr>
      <w:r>
        <w:rPr>
          <w:rFonts w:ascii="Times New Roman" w:hAnsi="Times New Roman" w:cs="Times New Roman" w:eastAsia="Times New Roman" w:hint="default"/>
          <w:spacing w:val="-6"/>
          <w:sz w:val="21"/>
          <w:szCs w:val="21"/>
        </w:rPr>
        <w:t>2015</w:t>
      </w:r>
      <w:r>
        <w:rPr>
          <w:rFonts w:ascii="宋体" w:hAnsi="宋体" w:cs="宋体" w:eastAsia="宋体" w:hint="default"/>
          <w:spacing w:val="-6"/>
          <w:sz w:val="21"/>
          <w:szCs w:val="21"/>
        </w:rPr>
        <w:t>年</w:t>
      </w:r>
      <w:r>
        <w:rPr>
          <w:rFonts w:ascii="Times New Roman" w:hAnsi="Times New Roman" w:cs="Times New Roman" w:eastAsia="Times New Roman" w:hint="default"/>
          <w:spacing w:val="-6"/>
          <w:sz w:val="21"/>
          <w:szCs w:val="21"/>
        </w:rPr>
        <w:t>6</w:t>
      </w:r>
      <w:r>
        <w:rPr>
          <w:rFonts w:ascii="宋体" w:hAnsi="宋体" w:cs="宋体" w:eastAsia="宋体" w:hint="default"/>
          <w:spacing w:val="-6"/>
          <w:sz w:val="21"/>
          <w:szCs w:val="21"/>
        </w:rPr>
        <w:t>月，公司将持有东方富海（上海）创业投资企业（有限合伙）</w:t>
      </w:r>
      <w:r>
        <w:rPr>
          <w:rFonts w:ascii="Times New Roman" w:hAnsi="Times New Roman" w:cs="Times New Roman" w:eastAsia="Times New Roman" w:hint="default"/>
          <w:spacing w:val="-6"/>
          <w:sz w:val="21"/>
          <w:szCs w:val="21"/>
        </w:rPr>
        <w:t>13.11%</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5.87%</w:t>
      </w:r>
      <w:r>
        <w:rPr>
          <w:rFonts w:ascii="宋体" w:hAnsi="宋体" w:cs="宋体" w:eastAsia="宋体" w:hint="default"/>
          <w:spacing w:val="-6"/>
          <w:sz w:val="21"/>
          <w:szCs w:val="21"/>
        </w:rPr>
        <w:t>的股权分别以</w:t>
      </w:r>
      <w:r>
        <w:rPr>
          <w:rFonts w:ascii="Times New Roman" w:hAnsi="Times New Roman" w:cs="Times New Roman" w:eastAsia="Times New Roman" w:hint="default"/>
          <w:spacing w:val="-6"/>
          <w:sz w:val="21"/>
          <w:szCs w:val="21"/>
        </w:rPr>
        <w:t>3,800</w:t>
      </w:r>
      <w:r>
        <w:rPr>
          <w:rFonts w:ascii="Times New Roman" w:hAnsi="Times New Roman" w:cs="Times New Roman" w:eastAsia="Times New Roman" w:hint="default"/>
          <w:sz w:val="21"/>
          <w:szCs w:val="21"/>
        </w:rPr>
        <w:t> </w:t>
      </w:r>
      <w:r>
        <w:rPr>
          <w:rFonts w:ascii="宋体" w:hAnsi="宋体" w:cs="宋体" w:eastAsia="宋体" w:hint="default"/>
          <w:spacing w:val="-5"/>
          <w:sz w:val="21"/>
          <w:szCs w:val="21"/>
        </w:rPr>
        <w:t>万元、</w:t>
      </w:r>
      <w:r>
        <w:rPr>
          <w:rFonts w:ascii="Times New Roman" w:hAnsi="Times New Roman" w:cs="Times New Roman" w:eastAsia="Times New Roman" w:hint="default"/>
          <w:spacing w:val="-5"/>
          <w:sz w:val="21"/>
          <w:szCs w:val="21"/>
        </w:rPr>
        <w:t>1700</w:t>
      </w:r>
      <w:r>
        <w:rPr>
          <w:rFonts w:ascii="宋体" w:hAnsi="宋体" w:cs="宋体" w:eastAsia="宋体" w:hint="default"/>
          <w:spacing w:val="-5"/>
          <w:sz w:val="21"/>
          <w:szCs w:val="21"/>
        </w:rPr>
        <w:t>万元转让给广州偶玩信息科技合伙企业（有限合伙）和珠海富海铧创信息技术创业投资基金（有</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限合伙）（以下简称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珠海富海</w:t>
      </w:r>
      <w:r>
        <w:rPr>
          <w:rFonts w:ascii="Times New Roman" w:hAnsi="Times New Roman" w:cs="Times New Roman" w:eastAsia="Times New Roman" w:hint="default"/>
          <w:sz w:val="21"/>
          <w:szCs w:val="21"/>
        </w:rPr>
        <w:t>”</w:t>
      </w:r>
      <w:r>
        <w:rPr>
          <w:rFonts w:ascii="宋体" w:hAnsi="宋体" w:cs="宋体" w:eastAsia="宋体" w:hint="default"/>
          <w:sz w:val="21"/>
          <w:szCs w:val="21"/>
        </w:rPr>
        <w:t>），处置损益为</w:t>
      </w:r>
      <w:r>
        <w:rPr>
          <w:rFonts w:ascii="Times New Roman" w:hAnsi="Times New Roman" w:cs="Times New Roman" w:eastAsia="Times New Roman" w:hint="default"/>
          <w:sz w:val="21"/>
          <w:szCs w:val="21"/>
        </w:rPr>
        <w:t>30,035,606.00</w:t>
      </w:r>
      <w:r>
        <w:rPr>
          <w:rFonts w:ascii="宋体" w:hAnsi="宋体" w:cs="宋体" w:eastAsia="宋体" w:hint="default"/>
          <w:sz w:val="21"/>
          <w:szCs w:val="21"/>
        </w:rPr>
        <w:t>元。转让后公司持有东方富海（上海）创业 投资企业（有限合伙）</w:t>
      </w:r>
      <w:r>
        <w:rPr>
          <w:rFonts w:ascii="Times New Roman" w:hAnsi="Times New Roman" w:cs="Times New Roman" w:eastAsia="Times New Roman" w:hint="default"/>
          <w:sz w:val="21"/>
          <w:szCs w:val="21"/>
        </w:rPr>
        <w:t>4.99%</w:t>
      </w:r>
      <w:r>
        <w:rPr>
          <w:rFonts w:ascii="宋体" w:hAnsi="宋体" w:cs="宋体" w:eastAsia="宋体" w:hint="default"/>
          <w:sz w:val="21"/>
          <w:szCs w:val="21"/>
        </w:rPr>
        <w:t>的股权。因公司董事陈玮为东方富海（上海）创业投资企业（有限合伙）和 珠海富海铧创信息技术创业投资基金（有限合伙）的执行事务合伙人，因此本次交易构成关联交易。</w:t>
      </w:r>
    </w:p>
    <w:p>
      <w:pPr>
        <w:spacing w:line="261" w:lineRule="auto" w:before="142"/>
        <w:ind w:left="154" w:right="151"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月，公司将持有的和力辰光国际文化传媒（北京）有限公司（以下简称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和力辰光</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的股 权份额（实缴出资人民币</w:t>
      </w:r>
      <w:r>
        <w:rPr>
          <w:rFonts w:ascii="Times New Roman" w:hAnsi="Times New Roman" w:cs="Times New Roman" w:eastAsia="Times New Roman" w:hint="default"/>
          <w:sz w:val="21"/>
          <w:szCs w:val="21"/>
        </w:rPr>
        <w:t>6,000</w:t>
      </w:r>
      <w:r>
        <w:rPr>
          <w:rFonts w:ascii="宋体" w:hAnsi="宋体" w:cs="宋体" w:eastAsia="宋体" w:hint="default"/>
          <w:sz w:val="21"/>
          <w:szCs w:val="21"/>
        </w:rPr>
        <w:t>万元）及对应的财产权益以</w:t>
      </w:r>
      <w:r>
        <w:rPr>
          <w:rFonts w:ascii="Times New Roman" w:hAnsi="Times New Roman" w:cs="Times New Roman" w:eastAsia="Times New Roman" w:hint="default"/>
          <w:sz w:val="21"/>
          <w:szCs w:val="21"/>
        </w:rPr>
        <w:t>7,800</w:t>
      </w:r>
      <w:r>
        <w:rPr>
          <w:rFonts w:ascii="宋体" w:hAnsi="宋体" w:cs="宋体" w:eastAsia="宋体" w:hint="default"/>
          <w:sz w:val="21"/>
          <w:szCs w:val="21"/>
        </w:rPr>
        <w:t>万元全部转让给珠海富海、扬州市富海永 </w:t>
      </w:r>
      <w:r>
        <w:rPr>
          <w:rFonts w:ascii="宋体" w:hAnsi="宋体" w:cs="宋体" w:eastAsia="宋体" w:hint="default"/>
          <w:spacing w:val="-3"/>
          <w:sz w:val="21"/>
          <w:szCs w:val="21"/>
        </w:rPr>
        <w:t>成股权投资合伙企业（有限合伙）（以下简称</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扬州富海</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）、上海万盛投资管理有限公司（以下简称</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上海</w:t>
      </w:r>
      <w:r>
        <w:rPr>
          <w:rFonts w:ascii="宋体" w:hAnsi="宋体" w:cs="宋体" w:eastAsia="宋体" w:hint="default"/>
          <w:spacing w:val="-59"/>
          <w:sz w:val="21"/>
          <w:szCs w:val="21"/>
        </w:rPr>
        <w:t> </w:t>
      </w:r>
      <w:r>
        <w:rPr>
          <w:rFonts w:ascii="宋体" w:hAnsi="宋体" w:cs="宋体" w:eastAsia="宋体" w:hint="default"/>
          <w:spacing w:val="-1"/>
          <w:sz w:val="21"/>
          <w:szCs w:val="21"/>
        </w:rPr>
        <w:t>万盛</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）及珠海铧盈投资有限公司（以下简称</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珠海铧盈</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），处置损益为</w:t>
      </w:r>
      <w:r>
        <w:rPr>
          <w:rFonts w:ascii="Times New Roman" w:hAnsi="Times New Roman" w:cs="Times New Roman" w:eastAsia="Times New Roman" w:hint="default"/>
          <w:spacing w:val="-1"/>
          <w:sz w:val="21"/>
          <w:szCs w:val="21"/>
        </w:rPr>
        <w:t>18,000,000.00</w:t>
      </w:r>
      <w:r>
        <w:rPr>
          <w:rFonts w:ascii="宋体" w:hAnsi="宋体" w:cs="宋体" w:eastAsia="宋体" w:hint="default"/>
          <w:spacing w:val="-1"/>
          <w:sz w:val="21"/>
          <w:szCs w:val="21"/>
        </w:rPr>
        <w:t>元。因珠海富海的执</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行事务合伙人委派代表陈玮为公司董事，扬州富海的普通合伙人的控股股东陈玮为公司董事，本次交易构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成关联交易。</w:t>
      </w:r>
    </w:p>
    <w:p>
      <w:pPr>
        <w:spacing w:line="240" w:lineRule="auto" w:before="4"/>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、关联方应收应付款项</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）应收项目</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1"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5"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0"/>
              <w:jc w:val="left"/>
              <w:rPr>
                <w:rFonts w:ascii="宋体" w:hAnsi="宋体" w:cs="宋体" w:eastAsia="宋体" w:hint="default"/>
                <w:sz w:val="18"/>
                <w:szCs w:val="18"/>
              </w:rPr>
            </w:pPr>
            <w:r>
              <w:rPr>
                <w:rFonts w:ascii="宋体" w:hAnsi="宋体" w:cs="宋体" w:eastAsia="宋体" w:hint="default"/>
                <w:sz w:val="18"/>
                <w:szCs w:val="18"/>
              </w:rPr>
              <w:t>北京多游网络科技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18" w:right="0"/>
              <w:jc w:val="left"/>
              <w:rPr>
                <w:rFonts w:ascii="Times New Roman" w:hAnsi="Times New Roman" w:cs="Times New Roman" w:eastAsia="Times New Roman" w:hint="default"/>
                <w:sz w:val="18"/>
                <w:szCs w:val="18"/>
              </w:rPr>
            </w:pPr>
            <w:r>
              <w:rPr>
                <w:rFonts w:ascii="Times New Roman"/>
                <w:sz w:val="18"/>
              </w:rPr>
              <w:t>1,600,000.00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51" w:right="0"/>
              <w:jc w:val="left"/>
              <w:rPr>
                <w:rFonts w:ascii="Times New Roman" w:hAnsi="Times New Roman" w:cs="Times New Roman" w:eastAsia="Times New Roman" w:hint="default"/>
                <w:sz w:val="18"/>
                <w:szCs w:val="18"/>
              </w:rPr>
            </w:pPr>
            <w:r>
              <w:rPr>
                <w:rFonts w:ascii="Times New Roman"/>
                <w:sz w:val="18"/>
              </w:rPr>
              <w:t>160,000.00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17" w:right="0"/>
              <w:jc w:val="left"/>
              <w:rPr>
                <w:rFonts w:ascii="Times New Roman" w:hAnsi="Times New Roman" w:cs="Times New Roman" w:eastAsia="Times New Roman" w:hint="default"/>
                <w:sz w:val="18"/>
                <w:szCs w:val="18"/>
              </w:rPr>
            </w:pPr>
            <w:r>
              <w:rPr>
                <w:rFonts w:ascii="Times New Roman"/>
                <w:sz w:val="18"/>
              </w:rPr>
              <w:t>1,600,000.00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42" w:right="0"/>
              <w:jc w:val="left"/>
              <w:rPr>
                <w:rFonts w:ascii="Times New Roman" w:hAnsi="Times New Roman" w:cs="Times New Roman" w:eastAsia="Times New Roman" w:hint="default"/>
                <w:sz w:val="18"/>
                <w:szCs w:val="18"/>
              </w:rPr>
            </w:pPr>
            <w:r>
              <w:rPr>
                <w:rFonts w:ascii="Times New Roman"/>
                <w:sz w:val="18"/>
              </w:rPr>
              <w:t>80,000.00</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）应付项目</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摩比神奇（北京）信息技术有 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14" w:right="0"/>
              <w:jc w:val="left"/>
              <w:rPr>
                <w:rFonts w:ascii="Times New Roman" w:hAnsi="Times New Roman" w:cs="Times New Roman" w:eastAsia="Times New Roman" w:hint="default"/>
                <w:sz w:val="18"/>
                <w:szCs w:val="18"/>
              </w:rPr>
            </w:pPr>
            <w:r>
              <w:rPr>
                <w:rFonts w:ascii="Times New Roman"/>
                <w:sz w:val="18"/>
              </w:rPr>
              <w:t>1,332,037.19</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980"/>
        </w:sectPr>
      </w:pPr>
    </w:p>
    <w:p>
      <w:pPr>
        <w:spacing w:line="240" w:lineRule="auto" w:before="10"/>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、关联方承诺</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line="376" w:lineRule="auto" w:before="0"/>
        <w:ind w:left="154" w:right="7777"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z w:val="24"/>
          <w:szCs w:val="24"/>
        </w:rPr>
        <w:t>十三、股份支付</w:t>
      </w:r>
      <w:r>
        <w:rPr>
          <w:rFonts w:ascii="Microsoft JhengHei" w:hAnsi="Microsoft JhengHei" w:cs="Microsoft JhengHei" w:eastAsia="Microsoft JhengHei" w:hint="default"/>
          <w:b/>
          <w:bCs/>
          <w:sz w:val="24"/>
          <w:szCs w:val="24"/>
        </w:rPr>
        <w:t> </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、股份支付总体情况</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7"/>
          <w:szCs w:val="7"/>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265,305,390.00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312" w:lineRule="exact" w:before="97"/>
        <w:ind w:right="140" w:firstLine="480"/>
        <w:jc w:val="left"/>
      </w:pPr>
      <w:r>
        <w:rPr>
          <w:spacing w:val="-2"/>
        </w:rPr>
        <w:t>经本公司</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29</w:t>
      </w:r>
      <w:r>
        <w:rPr>
          <w:spacing w:val="-2"/>
        </w:rPr>
        <w:t>日召开的</w:t>
      </w:r>
      <w:r>
        <w:rPr>
          <w:rFonts w:ascii="Times New Roman" w:hAnsi="Times New Roman" w:cs="Times New Roman" w:eastAsia="Times New Roman" w:hint="default"/>
          <w:spacing w:val="-2"/>
        </w:rPr>
        <w:t>2015</w:t>
      </w:r>
      <w:r>
        <w:rPr>
          <w:spacing w:val="-2"/>
        </w:rPr>
        <w:t>年第二次临时股东大会决议审议通过的《北京昆仑万</w:t>
      </w:r>
      <w:r>
        <w:rPr/>
        <w:t> 维科技股份有限公司股票期权与限制性股票激励计划</w:t>
      </w:r>
      <w:r>
        <w:rPr>
          <w:spacing w:val="-24"/>
        </w:rPr>
        <w:t> </w:t>
      </w:r>
      <w:r>
        <w:rPr>
          <w:rFonts w:ascii="Times New Roman" w:hAnsi="Times New Roman" w:cs="Times New Roman" w:eastAsia="Times New Roman" w:hint="default"/>
        </w:rPr>
        <w:t>(</w:t>
      </w:r>
      <w:r>
        <w:rPr/>
        <w:t>草案</w:t>
      </w:r>
      <w:r>
        <w:rPr>
          <w:rFonts w:ascii="Times New Roman" w:hAnsi="Times New Roman" w:cs="Times New Roman" w:eastAsia="Times New Roman" w:hint="default"/>
        </w:rPr>
        <w:t>)</w:t>
      </w:r>
      <w:r>
        <w:rPr/>
        <w:t>》及其摘要，本公司于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 </w:t>
      </w:r>
      <w:r>
        <w:rPr/>
        <w:t>月</w:t>
      </w:r>
      <w:r>
        <w:rPr>
          <w:rFonts w:ascii="Times New Roman" w:hAnsi="Times New Roman" w:cs="Times New Roman" w:eastAsia="Times New Roman" w:hint="default"/>
        </w:rPr>
        <w:t>20</w:t>
      </w:r>
      <w:r>
        <w:rPr/>
        <w:t>日起实行一项股份期权计划。</w:t>
      </w:r>
    </w:p>
    <w:p>
      <w:pPr>
        <w:pStyle w:val="BodyText"/>
        <w:spacing w:line="282" w:lineRule="exact"/>
        <w:ind w:left="574" w:right="0"/>
        <w:jc w:val="left"/>
      </w:pPr>
      <w:r>
        <w:rPr>
          <w:rFonts w:ascii="宋体" w:hAnsi="宋体" w:cs="宋体" w:eastAsia="宋体" w:hint="default"/>
        </w:rPr>
        <w:t>1. </w:t>
      </w:r>
      <w:r>
        <w:rPr/>
        <w:t>股票期权的授予情况</w:t>
      </w:r>
    </w:p>
    <w:p>
      <w:pPr>
        <w:pStyle w:val="BodyText"/>
        <w:spacing w:line="321" w:lineRule="exact"/>
        <w:ind w:left="394" w:right="0"/>
        <w:jc w:val="left"/>
      </w:pPr>
      <w:r>
        <w:rPr/>
        <w:t>（</w:t>
      </w:r>
      <w:r>
        <w:rPr>
          <w:rFonts w:ascii="Times New Roman" w:hAnsi="Times New Roman" w:cs="Times New Roman" w:eastAsia="Times New Roman" w:hint="default"/>
        </w:rPr>
        <w:t>1</w:t>
      </w:r>
      <w:r>
        <w:rPr/>
        <w:t>）本次股票期权的授予日为：</w:t>
      </w:r>
      <w:r>
        <w:rPr>
          <w:rFonts w:ascii="Times New Roman" w:hAnsi="Times New Roman" w:cs="Times New Roman" w:eastAsia="Times New Roman" w:hint="default"/>
        </w:rPr>
        <w:t>2015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20  </w:t>
      </w:r>
      <w:r>
        <w:rPr/>
        <w:t>日。</w:t>
      </w:r>
    </w:p>
    <w:p>
      <w:pPr>
        <w:pStyle w:val="BodyText"/>
        <w:spacing w:line="312" w:lineRule="exact"/>
        <w:ind w:left="394" w:right="0"/>
        <w:jc w:val="left"/>
      </w:pPr>
      <w:r>
        <w:rPr/>
        <w:t>（</w:t>
      </w:r>
      <w:r>
        <w:rPr>
          <w:rFonts w:ascii="Times New Roman" w:hAnsi="Times New Roman" w:cs="Times New Roman" w:eastAsia="Times New Roman" w:hint="default"/>
        </w:rPr>
        <w:t>2</w:t>
      </w:r>
      <w:r>
        <w:rPr/>
        <w:t>）本次股票期权的行权价格为：</w:t>
      </w:r>
      <w:r>
        <w:rPr>
          <w:rFonts w:ascii="Times New Roman" w:hAnsi="Times New Roman" w:cs="Times New Roman" w:eastAsia="Times New Roman" w:hint="default"/>
        </w:rPr>
        <w:t>79.46</w:t>
      </w:r>
      <w:r>
        <w:rPr>
          <w:rFonts w:ascii="Times New Roman" w:hAnsi="Times New Roman" w:cs="Times New Roman" w:eastAsia="Times New Roman" w:hint="default"/>
          <w:spacing w:val="36"/>
        </w:rPr>
        <w:t> </w:t>
      </w:r>
      <w:r>
        <w:rPr/>
        <w:t>元。</w:t>
      </w:r>
    </w:p>
    <w:p>
      <w:pPr>
        <w:pStyle w:val="BodyText"/>
        <w:spacing w:line="312" w:lineRule="exact" w:before="20"/>
        <w:ind w:right="165" w:firstLine="240"/>
        <w:jc w:val="both"/>
      </w:pPr>
      <w:r>
        <w:rPr/>
        <w:t>（</w:t>
      </w:r>
      <w:r>
        <w:rPr>
          <w:rFonts w:ascii="Times New Roman" w:hAnsi="Times New Roman" w:cs="Times New Roman" w:eastAsia="Times New Roman" w:hint="default"/>
        </w:rPr>
        <w:t>3</w:t>
      </w:r>
      <w:r>
        <w:rPr/>
        <w:t>）本次股票期权激励计划向 </w:t>
      </w:r>
      <w:r>
        <w:rPr>
          <w:rFonts w:ascii="Times New Roman" w:hAnsi="Times New Roman" w:cs="Times New Roman" w:eastAsia="Times New Roman" w:hint="default"/>
        </w:rPr>
        <w:t>1 </w:t>
      </w:r>
      <w:r>
        <w:rPr/>
        <w:t>名激励对象首次授予 </w:t>
      </w:r>
      <w:r>
        <w:rPr>
          <w:rFonts w:ascii="Times New Roman" w:hAnsi="Times New Roman" w:cs="Times New Roman" w:eastAsia="Times New Roman" w:hint="default"/>
        </w:rPr>
        <w:t>5</w:t>
      </w:r>
      <w:r>
        <w:rPr>
          <w:rFonts w:ascii="Times New Roman" w:hAnsi="Times New Roman" w:cs="Times New Roman" w:eastAsia="Times New Roman" w:hint="default"/>
          <w:spacing w:val="24"/>
        </w:rPr>
        <w:t> </w:t>
      </w:r>
      <w:r>
        <w:rPr/>
        <w:t>万份股票期权，为公司董事会认 为需要进行激励的相关员工。首次授予激励对象名单与已披露的授予调整后的激励对象名单 相比未发生变化。</w:t>
      </w:r>
    </w:p>
    <w:p>
      <w:pPr>
        <w:pStyle w:val="BodyText"/>
        <w:spacing w:line="312" w:lineRule="exact"/>
        <w:ind w:right="149" w:firstLine="240"/>
        <w:jc w:val="both"/>
      </w:pPr>
      <w:r>
        <w:rPr/>
        <w:t>（</w:t>
      </w:r>
      <w:r>
        <w:rPr>
          <w:rFonts w:ascii="Times New Roman" w:hAnsi="Times New Roman" w:cs="Times New Roman" w:eastAsia="Times New Roman" w:hint="default"/>
        </w:rPr>
        <w:t>4</w:t>
      </w:r>
      <w:r>
        <w:rPr/>
        <w:t>）股票来源：公司向激励对象定向发行 </w:t>
      </w:r>
      <w:r>
        <w:rPr>
          <w:rFonts w:ascii="Times New Roman" w:hAnsi="Times New Roman" w:cs="Times New Roman" w:eastAsia="Times New Roman" w:hint="default"/>
        </w:rPr>
        <w:t>5 </w:t>
      </w:r>
      <w:r>
        <w:rPr/>
        <w:t>万股，涉及的标的股票种类为人民币 </w:t>
      </w:r>
      <w:r>
        <w:rPr>
          <w:rFonts w:ascii="Times New Roman" w:hAnsi="Times New Roman" w:cs="Times New Roman" w:eastAsia="Times New Roman" w:hint="default"/>
        </w:rPr>
        <w:t>A</w:t>
      </w:r>
      <w:r>
        <w:rPr>
          <w:rFonts w:ascii="Times New Roman" w:hAnsi="Times New Roman" w:cs="Times New Roman" w:eastAsia="Times New Roman" w:hint="default"/>
          <w:spacing w:val="-16"/>
        </w:rPr>
        <w:t> </w:t>
      </w:r>
      <w:r>
        <w:rPr/>
        <w:t>股普</w:t>
      </w:r>
      <w:r>
        <w:rPr>
          <w:spacing w:val="1"/>
        </w:rPr>
        <w:t> </w:t>
      </w:r>
      <w:r>
        <w:rPr/>
        <w:t>通股。</w:t>
      </w:r>
    </w:p>
    <w:p>
      <w:pPr>
        <w:pStyle w:val="BodyText"/>
        <w:spacing w:line="312" w:lineRule="exact"/>
        <w:ind w:right="150" w:firstLine="240"/>
        <w:jc w:val="both"/>
      </w:pPr>
      <w:r>
        <w:rPr/>
        <w:t>（</w:t>
      </w:r>
      <w:r>
        <w:rPr>
          <w:rFonts w:ascii="Times New Roman" w:hAnsi="Times New Roman" w:cs="Times New Roman" w:eastAsia="Times New Roman" w:hint="default"/>
        </w:rPr>
        <w:t>5</w:t>
      </w:r>
      <w:r>
        <w:rPr/>
        <w:t>）本次期权激励计划等待期为 </w:t>
      </w:r>
      <w:r>
        <w:rPr>
          <w:rFonts w:ascii="Times New Roman" w:hAnsi="Times New Roman" w:cs="Times New Roman" w:eastAsia="Times New Roman" w:hint="default"/>
        </w:rPr>
        <w:t>1 </w:t>
      </w:r>
      <w:r>
        <w:rPr/>
        <w:t>年。授予的股票期权自首次授予日起满</w:t>
      </w:r>
      <w:r>
        <w:rPr>
          <w:spacing w:val="-82"/>
        </w:rPr>
        <w:t> </w:t>
      </w:r>
      <w:r>
        <w:rPr>
          <w:rFonts w:ascii="Times New Roman" w:hAnsi="Times New Roman" w:cs="Times New Roman" w:eastAsia="Times New Roman" w:hint="default"/>
        </w:rPr>
        <w:t>12</w:t>
      </w:r>
      <w:r>
        <w:rPr/>
        <w:t>个月后可以 开始行权。在可行权日内，若达到本计划规定的行权条件，授予的股票期权自相应授予日起 满 </w:t>
      </w:r>
      <w:r>
        <w:rPr>
          <w:rFonts w:ascii="Times New Roman" w:hAnsi="Times New Roman" w:cs="Times New Roman" w:eastAsia="Times New Roman" w:hint="default"/>
        </w:rPr>
        <w:t>12 </w:t>
      </w:r>
      <w:r>
        <w:rPr/>
        <w:t>个月后，激励对象应在未来 </w:t>
      </w:r>
      <w:r>
        <w:rPr>
          <w:rFonts w:ascii="Times New Roman" w:hAnsi="Times New Roman" w:cs="Times New Roman" w:eastAsia="Times New Roman" w:hint="default"/>
        </w:rPr>
        <w:t>48</w:t>
      </w:r>
      <w:r>
        <w:rPr>
          <w:rFonts w:ascii="Times New Roman" w:hAnsi="Times New Roman" w:cs="Times New Roman" w:eastAsia="Times New Roman" w:hint="default"/>
          <w:spacing w:val="24"/>
        </w:rPr>
        <w:t> </w:t>
      </w:r>
      <w:r>
        <w:rPr/>
        <w:t>个月内分</w:t>
      </w:r>
      <w:r>
        <w:rPr>
          <w:rFonts w:ascii="Times New Roman" w:hAnsi="Times New Roman" w:cs="Times New Roman" w:eastAsia="Times New Roman" w:hint="default"/>
        </w:rPr>
        <w:t>4</w:t>
      </w:r>
      <w:r>
        <w:rPr/>
        <w:t>期行权。</w:t>
      </w:r>
    </w:p>
    <w:p>
      <w:pPr>
        <w:pStyle w:val="BodyText"/>
        <w:spacing w:line="291" w:lineRule="exact"/>
        <w:ind w:left="634" w:right="0"/>
        <w:jc w:val="left"/>
      </w:pPr>
      <w:r>
        <w:rPr>
          <w:rFonts w:ascii="Times New Roman" w:hAnsi="Times New Roman" w:cs="Times New Roman" w:eastAsia="Times New Roman" w:hint="default"/>
        </w:rPr>
        <w:t>2</w:t>
      </w:r>
      <w:r>
        <w:rPr/>
        <w:t>、限制性股票的授予情</w:t>
      </w:r>
    </w:p>
    <w:p>
      <w:pPr>
        <w:pStyle w:val="BodyText"/>
        <w:spacing w:line="312" w:lineRule="exact"/>
        <w:ind w:left="394" w:right="0"/>
        <w:jc w:val="left"/>
      </w:pPr>
      <w:r>
        <w:rPr/>
        <w:t>（</w:t>
      </w:r>
      <w:r>
        <w:rPr>
          <w:rFonts w:ascii="Times New Roman" w:hAnsi="Times New Roman" w:cs="Times New Roman" w:eastAsia="Times New Roman" w:hint="default"/>
        </w:rPr>
        <w:t>1</w:t>
      </w:r>
      <w:r>
        <w:rPr/>
        <w:t>）本次限制性股票的授予日为：</w:t>
      </w:r>
      <w:r>
        <w:rPr>
          <w:rFonts w:ascii="Times New Roman" w:hAnsi="Times New Roman" w:cs="Times New Roman" w:eastAsia="Times New Roman" w:hint="default"/>
        </w:rPr>
        <w:t>2015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20  </w:t>
      </w:r>
      <w:r>
        <w:rPr/>
        <w:t>日。</w:t>
      </w:r>
    </w:p>
    <w:p>
      <w:pPr>
        <w:pStyle w:val="BodyText"/>
        <w:spacing w:line="312" w:lineRule="exact"/>
        <w:ind w:left="394" w:right="0"/>
        <w:jc w:val="left"/>
      </w:pPr>
      <w:r>
        <w:rPr/>
        <w:t>（</w:t>
      </w:r>
      <w:r>
        <w:rPr>
          <w:rFonts w:ascii="Times New Roman" w:hAnsi="Times New Roman" w:cs="Times New Roman" w:eastAsia="Times New Roman" w:hint="default"/>
        </w:rPr>
        <w:t>2</w:t>
      </w:r>
      <w:r>
        <w:rPr/>
        <w:t>）本次限制性股票的授予价格为：</w:t>
      </w:r>
      <w:r>
        <w:rPr>
          <w:rFonts w:ascii="Times New Roman" w:hAnsi="Times New Roman" w:cs="Times New Roman" w:eastAsia="Times New Roman" w:hint="default"/>
        </w:rPr>
        <w:t>36.69</w:t>
      </w:r>
      <w:r>
        <w:rPr>
          <w:rFonts w:ascii="Times New Roman" w:hAnsi="Times New Roman" w:cs="Times New Roman" w:eastAsia="Times New Roman" w:hint="default"/>
          <w:spacing w:val="36"/>
        </w:rPr>
        <w:t> </w:t>
      </w:r>
      <w:r>
        <w:rPr/>
        <w:t>元。</w:t>
      </w:r>
    </w:p>
    <w:p>
      <w:pPr>
        <w:pStyle w:val="BodyText"/>
        <w:spacing w:line="312" w:lineRule="exact" w:before="20"/>
        <w:ind w:right="150" w:firstLine="240"/>
        <w:jc w:val="both"/>
      </w:pPr>
      <w:r>
        <w:rPr>
          <w:spacing w:val="-4"/>
        </w:rPr>
        <w:t>（</w:t>
      </w:r>
      <w:r>
        <w:rPr>
          <w:rFonts w:ascii="Times New Roman" w:hAnsi="Times New Roman" w:cs="Times New Roman" w:eastAsia="Times New Roman" w:hint="default"/>
          <w:spacing w:val="-4"/>
        </w:rPr>
        <w:t>3</w:t>
      </w:r>
      <w:r>
        <w:rPr>
          <w:spacing w:val="-4"/>
        </w:rPr>
        <w:t>）本次激励计划向 </w:t>
      </w:r>
      <w:r>
        <w:rPr>
          <w:rFonts w:ascii="Times New Roman" w:hAnsi="Times New Roman" w:cs="Times New Roman" w:eastAsia="Times New Roman" w:hint="default"/>
        </w:rPr>
        <w:t>46 </w:t>
      </w:r>
      <w:r>
        <w:rPr/>
        <w:t>名激励对象首次授予</w:t>
      </w:r>
      <w:r>
        <w:rPr>
          <w:spacing w:val="-38"/>
        </w:rPr>
        <w:t> </w:t>
      </w:r>
      <w:r>
        <w:rPr>
          <w:rFonts w:ascii="Times New Roman" w:hAnsi="Times New Roman" w:cs="Times New Roman" w:eastAsia="Times New Roman" w:hint="default"/>
        </w:rPr>
        <w:t>723.10</w:t>
      </w:r>
      <w:r>
        <w:rPr/>
        <w:t>万股限制性股票，激励对象均为公司 </w:t>
      </w:r>
      <w:r>
        <w:rPr>
          <w:spacing w:val="-5"/>
        </w:rPr>
        <w:t>中高级管理人员、核心技术（业务）人员以及公司董事会认为需要进行激励的相关员工。因 </w:t>
      </w:r>
      <w:r>
        <w:rPr>
          <w:rFonts w:ascii="Times New Roman" w:hAnsi="Times New Roman" w:cs="Times New Roman" w:eastAsia="Times New Roman" w:hint="default"/>
        </w:rPr>
        <w:t>3 </w:t>
      </w:r>
      <w:r>
        <w:rPr/>
        <w:t>名符合条件的激励对象未按规定日期缴纳认购款视同放弃，首次授予激励对象名单与已披露 的激励对象名单相比有差异。</w:t>
      </w:r>
    </w:p>
    <w:p>
      <w:pPr>
        <w:pStyle w:val="BodyText"/>
        <w:spacing w:line="312" w:lineRule="exact"/>
        <w:ind w:right="150" w:firstLine="240"/>
        <w:jc w:val="both"/>
      </w:pPr>
      <w:r>
        <w:rPr>
          <w:spacing w:val="-8"/>
        </w:rPr>
        <w:t>（</w:t>
      </w:r>
      <w:r>
        <w:rPr>
          <w:rFonts w:ascii="Times New Roman" w:hAnsi="Times New Roman" w:cs="Times New Roman" w:eastAsia="Times New Roman" w:hint="default"/>
          <w:spacing w:val="-8"/>
        </w:rPr>
        <w:t>4</w:t>
      </w:r>
      <w:r>
        <w:rPr>
          <w:spacing w:val="-8"/>
        </w:rPr>
        <w:t>）股票来源：公司向激励对象定向发行 </w:t>
      </w:r>
      <w:r>
        <w:rPr>
          <w:rFonts w:ascii="Times New Roman" w:hAnsi="Times New Roman" w:cs="Times New Roman" w:eastAsia="Times New Roman" w:hint="default"/>
        </w:rPr>
        <w:t>723.1 </w:t>
      </w:r>
      <w:r>
        <w:rPr>
          <w:spacing w:val="-5"/>
        </w:rPr>
        <w:t>万股，涉及的标的股票种类为人民币 </w:t>
      </w:r>
      <w:r>
        <w:rPr>
          <w:rFonts w:ascii="Times New Roman" w:hAnsi="Times New Roman" w:cs="Times New Roman" w:eastAsia="Times New Roman" w:hint="default"/>
        </w:rPr>
        <w:t>A</w:t>
      </w:r>
      <w:r>
        <w:rPr>
          <w:rFonts w:ascii="Times New Roman" w:hAnsi="Times New Roman" w:cs="Times New Roman" w:eastAsia="Times New Roman" w:hint="default"/>
          <w:spacing w:val="-14"/>
        </w:rPr>
        <w:t> </w:t>
      </w:r>
      <w:r>
        <w:rPr/>
        <w:t>股 普通股。</w:t>
      </w:r>
    </w:p>
    <w:p>
      <w:pPr>
        <w:pStyle w:val="BodyText"/>
        <w:spacing w:line="225" w:lineRule="auto"/>
        <w:ind w:right="151" w:firstLine="240"/>
        <w:jc w:val="both"/>
      </w:pPr>
      <w:r>
        <w:rPr>
          <w:spacing w:val="-2"/>
        </w:rPr>
        <w:t>（</w:t>
      </w:r>
      <w:r>
        <w:rPr>
          <w:rFonts w:ascii="Times New Roman" w:hAnsi="Times New Roman" w:cs="Times New Roman" w:eastAsia="Times New Roman" w:hint="default"/>
          <w:spacing w:val="-2"/>
        </w:rPr>
        <w:t>5</w:t>
      </w:r>
      <w:r>
        <w:rPr>
          <w:spacing w:val="-2"/>
        </w:rPr>
        <w:t>）本次限制性股票激励计划自授予之日起</w:t>
      </w:r>
      <w:r>
        <w:rPr>
          <w:rFonts w:ascii="Times New Roman" w:hAnsi="Times New Roman" w:cs="Times New Roman" w:eastAsia="Times New Roman" w:hint="default"/>
          <w:spacing w:val="-2"/>
        </w:rPr>
        <w:t>12</w:t>
      </w:r>
      <w:r>
        <w:rPr>
          <w:spacing w:val="-2"/>
        </w:rPr>
        <w:t>个月内为锁定期。激励对象因获授的尚未解</w:t>
      </w:r>
      <w:r>
        <w:rPr/>
        <w:t> 锁的限制性股票而取得的资本公积转增股本、派息、派发股票红利、股票拆细等股份和红利</w:t>
      </w:r>
    </w:p>
    <w:p>
      <w:pPr>
        <w:pStyle w:val="BodyText"/>
        <w:spacing w:line="312" w:lineRule="exact" w:before="30"/>
        <w:ind w:right="172"/>
        <w:jc w:val="left"/>
      </w:pPr>
      <w:r>
        <w:rPr/>
        <w:t>同时按本激励计划进行锁定，激励对象持有的限制性股票分</w:t>
      </w:r>
      <w:r>
        <w:rPr>
          <w:spacing w:val="-24"/>
        </w:rPr>
        <w:t> </w:t>
      </w:r>
      <w:r>
        <w:rPr>
          <w:rFonts w:ascii="Times New Roman" w:hAnsi="Times New Roman" w:cs="Times New Roman" w:eastAsia="Times New Roman" w:hint="default"/>
        </w:rPr>
        <w:t>4</w:t>
      </w:r>
      <w:r>
        <w:rPr/>
        <w:t>次分别按照比例解锁，即各个 锁定期满后激励对象解锁（或由公司回购注销）占其获授总数相应解锁比例的限制性股票。</w:t>
      </w:r>
    </w:p>
    <w:p>
      <w:pPr>
        <w:pStyle w:val="BodyText"/>
        <w:spacing w:line="312" w:lineRule="exact"/>
        <w:ind w:left="634" w:right="4312"/>
        <w:jc w:val="left"/>
      </w:pPr>
      <w:r>
        <w:rPr/>
        <w:t>公司本期授予的各项权益工具总额：</w:t>
      </w:r>
      <w:r>
        <w:rPr>
          <w:rFonts w:ascii="Times New Roman" w:hAnsi="Times New Roman" w:cs="Times New Roman" w:eastAsia="Times New Roman" w:hint="default"/>
        </w:rPr>
        <w:t>723.10</w:t>
      </w:r>
      <w:r>
        <w:rPr/>
        <w:t>万股 公司本期行权的各项权益工具总额：无</w:t>
      </w:r>
    </w:p>
    <w:p>
      <w:pPr>
        <w:spacing w:after="0" w:line="312" w:lineRule="exact"/>
        <w:jc w:val="left"/>
        <w:sectPr>
          <w:pgSz w:w="11910" w:h="16840"/>
          <w:pgMar w:header="747" w:footer="979" w:top="1060" w:bottom="1160" w:left="980" w:right="980"/>
        </w:sectPr>
      </w:pPr>
    </w:p>
    <w:p>
      <w:pPr>
        <w:spacing w:line="240" w:lineRule="auto" w:before="7"/>
        <w:rPr>
          <w:rFonts w:ascii="宋体" w:hAnsi="宋体" w:cs="宋体" w:eastAsia="宋体" w:hint="default"/>
          <w:sz w:val="23"/>
          <w:szCs w:val="23"/>
        </w:rPr>
      </w:pPr>
    </w:p>
    <w:p>
      <w:pPr>
        <w:pStyle w:val="BodyText"/>
        <w:spacing w:line="240" w:lineRule="auto" w:before="26"/>
        <w:ind w:left="634" w:right="0"/>
        <w:jc w:val="left"/>
      </w:pPr>
      <w:r>
        <w:rPr/>
        <w:t>公司本期失效的各项权益工具总额：无</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19"/>
          <w:szCs w:val="19"/>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、以权益结算的股份支付情况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2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Black-Scholes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模型。</w:t>
            </w:r>
          </w:p>
        </w:tc>
      </w:tr>
      <w:tr>
        <w:trPr>
          <w:trHeight w:val="714"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1"/>
              <w:jc w:val="left"/>
              <w:rPr>
                <w:rFonts w:ascii="宋体" w:hAnsi="宋体" w:cs="宋体" w:eastAsia="宋体" w:hint="default"/>
                <w:sz w:val="18"/>
                <w:szCs w:val="18"/>
              </w:rPr>
            </w:pPr>
            <w:r>
              <w:rPr>
                <w:rFonts w:ascii="宋体" w:hAnsi="宋体" w:cs="宋体" w:eastAsia="宋体" w:hint="default"/>
                <w:sz w:val="18"/>
                <w:szCs w:val="18"/>
              </w:rPr>
              <w:t>根据资产负债表日取得的可行权与可解锁人数变动、业绩 指标完成情况等后续信息进行确定。</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31,480,813.85</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31,480,813.85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、以现金结算的股份支付情况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line="482" w:lineRule="auto" w:before="0"/>
        <w:ind w:left="154" w:right="70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、股份支付的修改、终止情况</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z w:val="18"/>
          <w:szCs w:val="18"/>
        </w:rPr>
        <w:t>无。</w:t>
      </w:r>
    </w:p>
    <w:p>
      <w:pPr>
        <w:spacing w:before="103"/>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r>
        <w:rPr/>
        <w:t>十四、承诺及或有事项</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、重要承诺事项</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资产负债表日存在的重要承诺</w:t>
      </w:r>
    </w:p>
    <w:p>
      <w:pPr>
        <w:pStyle w:val="BodyText"/>
        <w:spacing w:line="313" w:lineRule="exact" w:before="65"/>
        <w:ind w:right="0"/>
        <w:jc w:val="left"/>
      </w:pPr>
      <w:r>
        <w:rPr/>
        <w:t>截止资产负债表日，本公司已签订的对外投资协议中已承诺尚未支付的投资款金额为</w:t>
      </w:r>
    </w:p>
    <w:p>
      <w:pPr>
        <w:pStyle w:val="BodyText"/>
        <w:spacing w:line="331" w:lineRule="exact"/>
        <w:ind w:right="0"/>
        <w:jc w:val="left"/>
      </w:pPr>
      <w:r>
        <w:rPr>
          <w:rFonts w:ascii="Times New Roman" w:hAnsi="Times New Roman" w:cs="Times New Roman" w:eastAsia="Times New Roman" w:hint="default"/>
        </w:rPr>
        <w:t>11,304.25</w:t>
      </w:r>
      <w:r>
        <w:rPr/>
        <w:t>万元。</w:t>
      </w:r>
    </w:p>
    <w:p>
      <w:pPr>
        <w:spacing w:line="240" w:lineRule="auto" w:before="3"/>
        <w:rPr>
          <w:rFonts w:ascii="宋体" w:hAnsi="宋体" w:cs="宋体" w:eastAsia="宋体" w:hint="default"/>
          <w:sz w:val="18"/>
          <w:szCs w:val="18"/>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、或有事项</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）资产负债表日存在的重要或有事项</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8"/>
          <w:szCs w:val="18"/>
        </w:rPr>
      </w:pPr>
    </w:p>
    <w:p>
      <w:pPr>
        <w:pStyle w:val="BodyText"/>
        <w:spacing w:line="312" w:lineRule="exact"/>
        <w:ind w:right="100" w:firstLine="480"/>
        <w:jc w:val="left"/>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19</w:t>
      </w:r>
      <w:r>
        <w:rPr/>
        <w:t>日，公司收到北京市第一中级人民法院的（</w:t>
      </w:r>
      <w:r>
        <w:rPr>
          <w:rFonts w:ascii="Times New Roman" w:hAnsi="Times New Roman" w:cs="Times New Roman" w:eastAsia="Times New Roman" w:hint="default"/>
        </w:rPr>
        <w:t>2014</w:t>
      </w:r>
      <w:r>
        <w:rPr/>
        <w:t>）一中民初字第</w:t>
      </w:r>
      <w:r>
        <w:rPr>
          <w:rFonts w:ascii="Times New Roman" w:hAnsi="Times New Roman" w:cs="Times New Roman" w:eastAsia="Times New Roman" w:hint="default"/>
        </w:rPr>
        <w:t>5146</w:t>
      </w:r>
      <w:r>
        <w:rPr/>
        <w:t>号《民 </w:t>
      </w:r>
      <w:r>
        <w:rPr>
          <w:spacing w:val="-7"/>
        </w:rPr>
        <w:t>事应诉通知书》以及明河社出版有限公司、完美世界（北京）软件有限公司（以下合称</w:t>
      </w:r>
      <w:r>
        <w:rPr>
          <w:rFonts w:ascii="Times New Roman" w:hAnsi="Times New Roman" w:cs="Times New Roman" w:eastAsia="Times New Roman" w:hint="default"/>
          <w:spacing w:val="-7"/>
        </w:rPr>
        <w:t>“</w:t>
      </w:r>
      <w:r>
        <w:rPr>
          <w:spacing w:val="-7"/>
        </w:rPr>
        <w:t>原告</w:t>
      </w:r>
      <w:r>
        <w:rPr>
          <w:rFonts w:ascii="Times New Roman" w:hAnsi="Times New Roman" w:cs="Times New Roman" w:eastAsia="Times New Roman" w:hint="default"/>
          <w:spacing w:val="-7"/>
        </w:rPr>
        <w:t>”</w:t>
      </w:r>
      <w:r>
        <w:rPr>
          <w:spacing w:val="-7"/>
        </w:rPr>
        <w:t>）</w:t>
      </w:r>
      <w:r>
        <w:rPr>
          <w:spacing w:val="-113"/>
        </w:rPr>
        <w:t> </w:t>
      </w:r>
      <w:r>
        <w:rPr/>
        <w:t>起诉北京火谷网络科技有限责任公司、本公司、昆仑在线及昆仑乐享（以下合称</w:t>
      </w:r>
      <w:r>
        <w:rPr>
          <w:rFonts w:ascii="Times New Roman" w:hAnsi="Times New Roman" w:cs="Times New Roman" w:eastAsia="Times New Roman" w:hint="default"/>
        </w:rPr>
        <w:t>“</w:t>
      </w:r>
      <w:r>
        <w:rPr/>
        <w:t>被告</w:t>
      </w:r>
      <w:r>
        <w:rPr>
          <w:rFonts w:ascii="Times New Roman" w:hAnsi="Times New Roman" w:cs="Times New Roman" w:eastAsia="Times New Roman" w:hint="default"/>
        </w:rPr>
        <w:t>”</w:t>
      </w:r>
      <w:r>
        <w:rPr/>
        <w:t>）所 </w:t>
      </w:r>
      <w:r>
        <w:rPr>
          <w:spacing w:val="-1"/>
        </w:rPr>
        <w:t>运营的网络游戏《武侠</w:t>
      </w:r>
      <w:r>
        <w:rPr>
          <w:rFonts w:ascii="Times New Roman" w:hAnsi="Times New Roman" w:cs="Times New Roman" w:eastAsia="Times New Roman" w:hint="default"/>
          <w:spacing w:val="-1"/>
        </w:rPr>
        <w:t>Q</w:t>
      </w:r>
      <w:r>
        <w:rPr>
          <w:spacing w:val="-1"/>
        </w:rPr>
        <w:t>传》侵犯其著作权并构成不正当竞争行为的《民事起诉状》，要求：</w:t>
      </w:r>
    </w:p>
    <w:p>
      <w:pPr>
        <w:spacing w:after="0" w:line="312" w:lineRule="exact"/>
        <w:jc w:val="left"/>
        <w:sectPr>
          <w:pgSz w:w="11910" w:h="16840"/>
          <w:pgMar w:header="747" w:footer="979" w:top="1060" w:bottom="1160" w:left="980" w:right="900"/>
        </w:sectPr>
      </w:pPr>
    </w:p>
    <w:p>
      <w:pPr>
        <w:spacing w:line="240" w:lineRule="auto" w:before="7"/>
        <w:rPr>
          <w:rFonts w:ascii="宋体" w:hAnsi="宋体" w:cs="宋体" w:eastAsia="宋体" w:hint="default"/>
          <w:sz w:val="23"/>
          <w:szCs w:val="23"/>
        </w:rPr>
      </w:pPr>
    </w:p>
    <w:p>
      <w:pPr>
        <w:pStyle w:val="BodyText"/>
        <w:spacing w:line="228" w:lineRule="auto" w:before="40"/>
        <w:ind w:right="94"/>
        <w:jc w:val="left"/>
      </w:pPr>
      <w:r>
        <w:rPr>
          <w:rFonts w:ascii="Times New Roman" w:hAnsi="Times New Roman" w:cs="Times New Roman" w:eastAsia="Times New Roman" w:hint="default"/>
          <w:spacing w:val="-3"/>
        </w:rPr>
        <w:t>1</w:t>
      </w:r>
      <w:r>
        <w:rPr>
          <w:spacing w:val="-3"/>
        </w:rPr>
        <w:t>、被告立即停止侵权原告著作权及不正当竞争行为（包括立即停止运营侵权网络游戏《武侠</w:t>
      </w:r>
      <w:r>
        <w:rPr>
          <w:spacing w:val="-81"/>
        </w:rPr>
        <w:t> </w:t>
      </w:r>
      <w:r>
        <w:rPr>
          <w:spacing w:val="-81"/>
        </w:rPr>
      </w:r>
      <w:r>
        <w:rPr>
          <w:rFonts w:ascii="Times New Roman" w:hAnsi="Times New Roman" w:cs="Times New Roman" w:eastAsia="Times New Roman" w:hint="default"/>
        </w:rPr>
        <w:t>Q</w:t>
      </w:r>
      <w:r>
        <w:rPr/>
        <w:t>传》，立即去除《武侠</w:t>
      </w:r>
      <w:r>
        <w:rPr>
          <w:rFonts w:ascii="Times New Roman" w:hAnsi="Times New Roman" w:cs="Times New Roman" w:eastAsia="Times New Roman" w:hint="default"/>
        </w:rPr>
        <w:t>Q</w:t>
      </w:r>
      <w:r>
        <w:rPr/>
        <w:t>传》游戏中的全部侵权内容，立即从本公司、昆仑在线官方网站服 务器删除《武侠</w:t>
      </w:r>
      <w:r>
        <w:rPr>
          <w:rFonts w:ascii="Times New Roman" w:hAnsi="Times New Roman" w:cs="Times New Roman" w:eastAsia="Times New Roman" w:hint="default"/>
        </w:rPr>
        <w:t>Q</w:t>
      </w:r>
      <w:r>
        <w:rPr/>
        <w:t>传》及停止该游戏客户端下载服务，立即停止向渠道商提供《武侠</w:t>
      </w:r>
      <w:r>
        <w:rPr>
          <w:rFonts w:ascii="Times New Roman" w:hAnsi="Times New Roman" w:cs="Times New Roman" w:eastAsia="Times New Roman" w:hint="default"/>
        </w:rPr>
        <w:t>Q</w:t>
      </w:r>
      <w:r>
        <w:rPr/>
        <w:t>传》客 </w:t>
      </w:r>
      <w:r>
        <w:rPr>
          <w:spacing w:val="-2"/>
        </w:rPr>
        <w:t>户端及通过渠道商提供客户端下载服务，立即删除侵犯原告著作权及不正当竞争的内容表述；</w:t>
      </w:r>
      <w:r>
        <w:rPr/>
        <w:t> </w:t>
      </w:r>
      <w:r>
        <w:rPr>
          <w:rFonts w:ascii="Times New Roman" w:hAnsi="Times New Roman" w:cs="Times New Roman" w:eastAsia="Times New Roman" w:hint="default"/>
          <w:spacing w:val="-3"/>
        </w:rPr>
        <w:t>2</w:t>
      </w:r>
      <w:r>
        <w:rPr>
          <w:spacing w:val="-3"/>
        </w:rPr>
        <w:t>、被告在媒体上向原告公开赔礼道歉并消除影响；</w:t>
      </w:r>
      <w:r>
        <w:rPr>
          <w:rFonts w:ascii="Times New Roman" w:hAnsi="Times New Roman" w:cs="Times New Roman" w:eastAsia="Times New Roman" w:hint="default"/>
          <w:spacing w:val="-3"/>
        </w:rPr>
        <w:t>3</w:t>
      </w:r>
      <w:r>
        <w:rPr>
          <w:spacing w:val="-3"/>
        </w:rPr>
        <w:t>、被告向原告赔偿损失共计</w:t>
      </w:r>
      <w:r>
        <w:rPr>
          <w:rFonts w:ascii="Times New Roman" w:hAnsi="Times New Roman" w:cs="Times New Roman" w:eastAsia="Times New Roman" w:hint="default"/>
          <w:spacing w:val="-3"/>
        </w:rPr>
        <w:t>14,499,176.66</w:t>
      </w:r>
      <w:r>
        <w:rPr>
          <w:rFonts w:ascii="Times New Roman" w:hAnsi="Times New Roman" w:cs="Times New Roman" w:eastAsia="Times New Roman" w:hint="default"/>
          <w:spacing w:val="-55"/>
        </w:rPr>
        <w:t> </w:t>
      </w:r>
      <w:r>
        <w:rPr/>
        <w:t>元，并向原告赔偿合理支出</w:t>
      </w:r>
      <w:r>
        <w:rPr>
          <w:rFonts w:ascii="Times New Roman" w:hAnsi="Times New Roman" w:cs="Times New Roman" w:eastAsia="Times New Roman" w:hint="default"/>
        </w:rPr>
        <w:t>319,650.80</w:t>
      </w:r>
      <w:r>
        <w:rPr/>
        <w:t>元；</w:t>
      </w:r>
      <w:r>
        <w:rPr>
          <w:rFonts w:ascii="Times New Roman" w:hAnsi="Times New Roman" w:cs="Times New Roman" w:eastAsia="Times New Roman" w:hint="default"/>
        </w:rPr>
        <w:t>4</w:t>
      </w:r>
      <w:r>
        <w:rPr/>
        <w:t>、被告承担相关诉讼费用。</w:t>
      </w:r>
    </w:p>
    <w:p>
      <w:pPr>
        <w:pStyle w:val="BodyText"/>
        <w:spacing w:line="312" w:lineRule="exact" w:before="133"/>
        <w:ind w:right="230" w:firstLine="480"/>
        <w:jc w:val="both"/>
      </w:pP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21</w:t>
      </w:r>
      <w:r>
        <w:rPr>
          <w:spacing w:val="-2"/>
        </w:rPr>
        <w:t>日，该案在北京市第一中级人民法院进行了第一次开庭审理，原告律师当庭</w:t>
      </w:r>
      <w:r>
        <w:rPr/>
        <w:t> </w:t>
      </w:r>
      <w:r>
        <w:rPr>
          <w:spacing w:val="-2"/>
        </w:rPr>
        <w:t>提交了新的诉状，要求四被告共同赔偿原告损失的金额调整为人民币</w:t>
      </w:r>
      <w:r>
        <w:rPr>
          <w:rFonts w:ascii="Times New Roman" w:hAnsi="Times New Roman" w:cs="Times New Roman" w:eastAsia="Times New Roman" w:hint="default"/>
          <w:spacing w:val="-2"/>
        </w:rPr>
        <w:t>1</w:t>
      </w:r>
      <w:r>
        <w:rPr>
          <w:spacing w:val="-2"/>
        </w:rPr>
        <w:t>亿元；被告律师针对原</w:t>
      </w:r>
      <w:r>
        <w:rPr/>
        <w:t> 告诉讼请求及理由方面存在的诸多模糊及瑕疵之处，提出了异议并要求原告进行明确，否则 庭审无法有效进行；针对原告变更诉讼请求的新情况，被告律师表示需要新的答辩期重新组 织答辩，法院同意了被告律师的请求，本案将择期再次开庭审理。</w:t>
      </w:r>
    </w:p>
    <w:p>
      <w:pPr>
        <w:pStyle w:val="BodyText"/>
        <w:spacing w:line="312" w:lineRule="exact" w:before="120"/>
        <w:ind w:right="150" w:firstLine="384"/>
        <w:jc w:val="both"/>
      </w:pP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27</w:t>
      </w:r>
      <w:r>
        <w:rPr>
          <w:spacing w:val="-3"/>
        </w:rPr>
        <w:t>日进行了第二次开庭，原告被告双方进行了质证；</w:t>
      </w: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14</w:t>
      </w:r>
      <w:r>
        <w:rPr>
          <w:spacing w:val="-3"/>
        </w:rPr>
        <w:t>日和</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3</w:t>
      </w:r>
      <w:r>
        <w:rPr>
          <w:rFonts w:ascii="Times New Roman" w:hAnsi="Times New Roman" w:cs="Times New Roman" w:eastAsia="Times New Roman" w:hint="default"/>
        </w:rPr>
        <w:t> </w:t>
      </w:r>
      <w:r>
        <w:rPr/>
        <w:t>月</w:t>
      </w:r>
      <w:r>
        <w:rPr>
          <w:rFonts w:ascii="Times New Roman" w:hAnsi="Times New Roman" w:cs="Times New Roman" w:eastAsia="Times New Roman" w:hint="default"/>
        </w:rPr>
        <w:t>9</w:t>
      </w:r>
      <w:r>
        <w:rPr/>
        <w:t>日分别进行了第三次和第四次开庭，双方进行了法庭调查和法庭辩论。截止审计报告日， 该案尚待法院的判决。</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）公司没有需要披露的重要或有事项，也应予以说明</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公司不存在需要披露的重要或有事项。</w:t>
      </w:r>
    </w:p>
    <w:p>
      <w:pPr>
        <w:spacing w:line="240" w:lineRule="auto" w:before="8"/>
        <w:rPr>
          <w:rFonts w:ascii="宋体" w:hAnsi="宋体" w:cs="宋体" w:eastAsia="宋体" w:hint="default"/>
          <w:sz w:val="21"/>
          <w:szCs w:val="21"/>
        </w:rPr>
      </w:pPr>
    </w:p>
    <w:p>
      <w:pPr>
        <w:spacing w:line="376" w:lineRule="auto" w:before="0"/>
        <w:ind w:left="154" w:right="6972"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50"/>
          <w:sz w:val="21"/>
          <w:szCs w:val="21"/>
        </w:rPr>
        <w:t> </w:t>
      </w:r>
      <w:r>
        <w:rPr>
          <w:rFonts w:ascii="Microsoft JhengHei" w:hAnsi="Microsoft JhengHei" w:cs="Microsoft JhengHei" w:eastAsia="Microsoft JhengHei" w:hint="default"/>
          <w:b/>
          <w:bCs/>
          <w:sz w:val="24"/>
          <w:szCs w:val="24"/>
        </w:rPr>
        <w:t>十五、资产负债表日后事项</w:t>
      </w:r>
      <w:r>
        <w:rPr>
          <w:rFonts w:ascii="Microsoft JhengHei" w:hAnsi="Microsoft JhengHei" w:cs="Microsoft JhengHei" w:eastAsia="Microsoft JhengHei" w:hint="default"/>
          <w:b/>
          <w:bCs/>
          <w:spacing w:val="-57"/>
          <w:sz w:val="24"/>
          <w:szCs w:val="24"/>
        </w:rPr>
        <w:t> </w:t>
      </w:r>
      <w:r>
        <w:rPr>
          <w:rFonts w:ascii="Microsoft JhengHei" w:hAnsi="Microsoft JhengHei" w:cs="Microsoft JhengHei" w:eastAsia="Microsoft JhengHei" w:hint="default"/>
          <w:b/>
          <w:bCs/>
          <w:spacing w:val="-57"/>
          <w:sz w:val="24"/>
          <w:szCs w:val="24"/>
        </w:rPr>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、重要的非调整事项</w:t>
      </w:r>
      <w:r>
        <w:rPr>
          <w:rFonts w:ascii="Microsoft JhengHei" w:hAnsi="Microsoft JhengHei" w:cs="Microsoft JhengHei" w:eastAsia="Microsoft JhengHei" w:hint="default"/>
          <w:sz w:val="21"/>
          <w:szCs w:val="21"/>
        </w:rPr>
      </w:r>
    </w:p>
    <w:p>
      <w:pPr>
        <w:spacing w:before="180"/>
        <w:ind w:left="0" w:right="2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09" w:right="111"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、利润分配情况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2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、销售退回</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、其他资产负债表日后事项说明</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18"/>
          <w:szCs w:val="18"/>
        </w:rPr>
      </w:pPr>
    </w:p>
    <w:p>
      <w:pPr>
        <w:spacing w:line="256" w:lineRule="auto" w:before="0"/>
        <w:ind w:left="514" w:right="229" w:hanging="360"/>
        <w:jc w:val="both"/>
        <w:rPr>
          <w:rFonts w:ascii="宋体" w:hAnsi="宋体" w:cs="宋体" w:eastAsia="宋体" w:hint="default"/>
          <w:sz w:val="21"/>
          <w:szCs w:val="21"/>
        </w:rPr>
      </w:pPr>
      <w:r>
        <w:rPr>
          <w:rFonts w:ascii="宋体" w:hAnsi="宋体" w:cs="宋体" w:eastAsia="宋体" w:hint="default"/>
          <w:sz w:val="21"/>
          <w:szCs w:val="21"/>
        </w:rPr>
        <w:t>1. </w:t>
      </w: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 </w:t>
      </w:r>
      <w:r>
        <w:rPr>
          <w:rFonts w:ascii="Times New Roman" w:hAnsi="Times New Roman" w:cs="Times New Roman" w:eastAsia="Times New Roman" w:hint="default"/>
          <w:sz w:val="21"/>
          <w:szCs w:val="21"/>
        </w:rPr>
        <w:t>22 </w:t>
      </w:r>
      <w:r>
        <w:rPr>
          <w:rFonts w:ascii="宋体" w:hAnsi="宋体" w:cs="宋体" w:eastAsia="宋体" w:hint="default"/>
          <w:sz w:val="21"/>
          <w:szCs w:val="21"/>
        </w:rPr>
        <w:t>日以全资子公司 </w:t>
      </w:r>
      <w:r>
        <w:rPr>
          <w:rFonts w:ascii="Times New Roman" w:hAnsi="Times New Roman" w:cs="Times New Roman" w:eastAsia="Times New Roman" w:hint="default"/>
          <w:sz w:val="21"/>
          <w:szCs w:val="21"/>
        </w:rPr>
        <w:t>Kunlun Group</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Limited</w:t>
      </w: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昆仑集团</w:t>
      </w:r>
      <w:r>
        <w:rPr>
          <w:rFonts w:ascii="Times New Roman" w:hAnsi="Times New Roman" w:cs="Times New Roman" w:eastAsia="Times New Roman" w:hint="default"/>
          <w:sz w:val="21"/>
          <w:szCs w:val="21"/>
        </w:rPr>
        <w:t>”</w:t>
      </w:r>
      <w:r>
        <w:rPr>
          <w:rFonts w:ascii="宋体" w:hAnsi="宋体" w:cs="宋体" w:eastAsia="宋体" w:hint="default"/>
          <w:sz w:val="21"/>
          <w:szCs w:val="21"/>
        </w:rPr>
        <w:t>）为投资主体签署 了《股东协议》。根据股东协议，昆仑集团出资贰佰伍拾万美金（</w:t>
      </w:r>
      <w:r>
        <w:rPr>
          <w:rFonts w:ascii="Times New Roman" w:hAnsi="Times New Roman" w:cs="Times New Roman" w:eastAsia="Times New Roman" w:hint="default"/>
          <w:sz w:val="21"/>
          <w:szCs w:val="21"/>
        </w:rPr>
        <w:t>2,500,000USD</w:t>
      </w:r>
      <w:r>
        <w:rPr>
          <w:rFonts w:ascii="宋体" w:hAnsi="宋体" w:cs="宋体" w:eastAsia="宋体" w:hint="default"/>
          <w:sz w:val="21"/>
          <w:szCs w:val="21"/>
        </w:rPr>
        <w:t>）与其他两方共同成 立 </w:t>
      </w:r>
      <w:r>
        <w:rPr>
          <w:rFonts w:ascii="Times New Roman" w:hAnsi="Times New Roman" w:cs="Times New Roman" w:eastAsia="Times New Roman" w:hint="default"/>
          <w:sz w:val="21"/>
          <w:szCs w:val="21"/>
        </w:rPr>
        <w:t>Curacloud Group</w:t>
      </w:r>
      <w:r>
        <w:rPr>
          <w:rFonts w:ascii="Times New Roman" w:hAnsi="Times New Roman" w:cs="Times New Roman" w:eastAsia="Times New Roman" w:hint="default"/>
          <w:spacing w:val="-28"/>
          <w:sz w:val="21"/>
          <w:szCs w:val="21"/>
        </w:rPr>
        <w:t> </w:t>
      </w:r>
      <w:r>
        <w:rPr>
          <w:rFonts w:ascii="Times New Roman" w:hAnsi="Times New Roman" w:cs="Times New Roman" w:eastAsia="Times New Roman" w:hint="default"/>
          <w:sz w:val="21"/>
          <w:szCs w:val="21"/>
        </w:rPr>
        <w:t>Limited</w:t>
      </w: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昆仑数字医疗</w:t>
      </w:r>
      <w:r>
        <w:rPr>
          <w:rFonts w:ascii="Times New Roman" w:hAnsi="Times New Roman" w:cs="Times New Roman" w:eastAsia="Times New Roman" w:hint="default"/>
          <w:sz w:val="21"/>
          <w:szCs w:val="21"/>
        </w:rPr>
        <w:t>”</w:t>
      </w:r>
      <w:r>
        <w:rPr>
          <w:rFonts w:ascii="宋体" w:hAnsi="宋体" w:cs="宋体" w:eastAsia="宋体" w:hint="default"/>
          <w:sz w:val="21"/>
          <w:szCs w:val="21"/>
        </w:rPr>
        <w:t>），总股本</w:t>
      </w:r>
      <w:r>
        <w:rPr>
          <w:rFonts w:ascii="Times New Roman" w:hAnsi="Times New Roman" w:cs="Times New Roman" w:eastAsia="Times New Roman" w:hint="default"/>
          <w:sz w:val="21"/>
          <w:szCs w:val="21"/>
        </w:rPr>
        <w:t>1</w:t>
      </w:r>
      <w:r>
        <w:rPr>
          <w:rFonts w:ascii="宋体" w:hAnsi="宋体" w:cs="宋体" w:eastAsia="宋体" w:hint="default"/>
          <w:sz w:val="21"/>
          <w:szCs w:val="21"/>
        </w:rPr>
        <w:t>亿股，昆仑集团占比</w:t>
      </w:r>
      <w:r>
        <w:rPr>
          <w:rFonts w:ascii="Times New Roman" w:hAnsi="Times New Roman" w:cs="Times New Roman" w:eastAsia="Times New Roman" w:hint="default"/>
          <w:sz w:val="21"/>
          <w:szCs w:val="21"/>
        </w:rPr>
        <w:t>20%</w:t>
      </w:r>
      <w:r>
        <w:rPr>
          <w:rFonts w:ascii="宋体" w:hAnsi="宋体" w:cs="宋体" w:eastAsia="宋体" w:hint="default"/>
          <w:sz w:val="21"/>
          <w:szCs w:val="21"/>
        </w:rPr>
        <w:t>。</w:t>
      </w:r>
    </w:p>
    <w:p>
      <w:pPr>
        <w:spacing w:line="256" w:lineRule="auto" w:before="125"/>
        <w:ind w:left="514" w:right="231" w:hanging="360"/>
        <w:jc w:val="both"/>
        <w:rPr>
          <w:rFonts w:ascii="宋体" w:hAnsi="宋体" w:cs="宋体" w:eastAsia="宋体" w:hint="default"/>
          <w:sz w:val="21"/>
          <w:szCs w:val="21"/>
        </w:rPr>
      </w:pPr>
      <w:r>
        <w:rPr>
          <w:rFonts w:ascii="宋体" w:hAnsi="宋体" w:cs="宋体" w:eastAsia="宋体" w:hint="default"/>
          <w:sz w:val="21"/>
          <w:szCs w:val="21"/>
        </w:rPr>
        <w:t>2.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日，公司</w:t>
      </w:r>
      <w:r>
        <w:rPr>
          <w:rFonts w:ascii="Times New Roman" w:hAnsi="Times New Roman" w:cs="Times New Roman" w:eastAsia="Times New Roman" w:hint="default"/>
          <w:sz w:val="21"/>
          <w:szCs w:val="21"/>
        </w:rPr>
        <w:t>2016</w:t>
      </w:r>
      <w:r>
        <w:rPr>
          <w:rFonts w:ascii="宋体" w:hAnsi="宋体" w:cs="宋体" w:eastAsia="宋体" w:hint="default"/>
          <w:sz w:val="21"/>
          <w:szCs w:val="21"/>
        </w:rPr>
        <w:t>年第一次临时股东大会决议审议通过《关于公司与关联方签订长期互联 网金融战略合作框架协议的议案》。</w:t>
      </w:r>
    </w:p>
    <w:p>
      <w:pPr>
        <w:spacing w:after="0" w:line="256" w:lineRule="auto"/>
        <w:jc w:val="both"/>
        <w:rPr>
          <w:rFonts w:ascii="宋体" w:hAnsi="宋体" w:cs="宋体" w:eastAsia="宋体" w:hint="default"/>
          <w:sz w:val="21"/>
          <w:szCs w:val="21"/>
        </w:rPr>
        <w:sectPr>
          <w:pgSz w:w="11910" w:h="16840"/>
          <w:pgMar w:header="747" w:footer="979" w:top="1060" w:bottom="1160" w:left="980" w:right="900"/>
        </w:sectPr>
      </w:pPr>
    </w:p>
    <w:p>
      <w:pPr>
        <w:spacing w:line="240" w:lineRule="auto" w:before="9"/>
        <w:rPr>
          <w:rFonts w:ascii="宋体" w:hAnsi="宋体" w:cs="宋体" w:eastAsia="宋体" w:hint="default"/>
          <w:sz w:val="24"/>
          <w:szCs w:val="24"/>
        </w:rPr>
      </w:pPr>
    </w:p>
    <w:p>
      <w:pPr>
        <w:spacing w:line="256" w:lineRule="auto" w:before="35"/>
        <w:ind w:left="514" w:right="212" w:hanging="360"/>
        <w:jc w:val="both"/>
        <w:rPr>
          <w:rFonts w:ascii="宋体" w:hAnsi="宋体" w:cs="宋体" w:eastAsia="宋体" w:hint="default"/>
          <w:sz w:val="21"/>
          <w:szCs w:val="21"/>
        </w:rPr>
      </w:pPr>
      <w:r>
        <w:rPr>
          <w:rFonts w:ascii="宋体" w:hAnsi="宋体" w:cs="宋体" w:eastAsia="宋体" w:hint="default"/>
          <w:sz w:val="21"/>
          <w:szCs w:val="21"/>
        </w:rPr>
        <w:t>3. </w:t>
      </w:r>
      <w:r>
        <w:rPr>
          <w:rFonts w:ascii="宋体" w:hAnsi="宋体" w:cs="宋体" w:eastAsia="宋体" w:hint="default"/>
          <w:sz w:val="21"/>
          <w:szCs w:val="21"/>
        </w:rPr>
        <w:t>为拓展公司业务，依据公司战略发展规划，于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日和大宇资讯股份有限公司（以下简 </w:t>
      </w:r>
      <w:r>
        <w:rPr>
          <w:rFonts w:ascii="宋体" w:hAnsi="宋体" w:cs="宋体" w:eastAsia="宋体" w:hint="default"/>
          <w:spacing w:val="-3"/>
          <w:sz w:val="21"/>
          <w:szCs w:val="21"/>
        </w:rPr>
        <w:t>称</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大宇</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）签署了《合作协议》。根据合作协议，双方将以大宇 </w:t>
      </w:r>
      <w:r>
        <w:rPr>
          <w:rFonts w:ascii="Times New Roman" w:hAnsi="Times New Roman" w:cs="Times New Roman" w:eastAsia="Times New Roman" w:hint="default"/>
          <w:sz w:val="21"/>
          <w:szCs w:val="21"/>
        </w:rPr>
        <w:t>IP</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为中心的影视动画游戏方面开展全 面战略合作。</w:t>
      </w:r>
    </w:p>
    <w:p>
      <w:pPr>
        <w:spacing w:line="261" w:lineRule="auto" w:before="143"/>
        <w:ind w:left="514" w:right="210" w:hanging="360"/>
        <w:jc w:val="both"/>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6</w:t>
      </w:r>
      <w:r>
        <w:rPr>
          <w:rFonts w:ascii="宋体" w:hAnsi="宋体" w:cs="宋体" w:eastAsia="宋体" w:hint="default"/>
          <w:sz w:val="21"/>
          <w:szCs w:val="21"/>
        </w:rPr>
        <w:t>日，公司第二届董事会第二十一次会议审议通过《关于北京昆仑万维科技股份有限公司增 资北京快乐时代科技发展有限公司的议案》，同意以北京昆仑万维科技股份有限公司为投资主体，向 北京快乐时代科技发展有限公司增资 </w:t>
      </w:r>
      <w:r>
        <w:rPr>
          <w:rFonts w:ascii="Times New Roman" w:hAnsi="Times New Roman" w:cs="Times New Roman" w:eastAsia="Times New Roman" w:hint="default"/>
          <w:sz w:val="21"/>
          <w:szCs w:val="21"/>
        </w:rPr>
        <w:t>1.8 </w:t>
      </w:r>
      <w:r>
        <w:rPr>
          <w:rFonts w:ascii="宋体" w:hAnsi="宋体" w:cs="宋体" w:eastAsia="宋体" w:hint="default"/>
          <w:spacing w:val="-4"/>
          <w:sz w:val="21"/>
          <w:szCs w:val="21"/>
        </w:rPr>
        <w:t>亿人民币，增资完成后，昆仑万维持有快乐时代</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19.21%</w:t>
      </w:r>
      <w:r>
        <w:rPr>
          <w:rFonts w:ascii="宋体" w:hAnsi="宋体" w:cs="宋体" w:eastAsia="宋体" w:hint="default"/>
          <w:sz w:val="21"/>
          <w:szCs w:val="21"/>
        </w:rPr>
        <w:t>的股 份。</w:t>
      </w:r>
    </w:p>
    <w:p>
      <w:pPr>
        <w:spacing w:line="259" w:lineRule="auto" w:before="138"/>
        <w:ind w:left="514" w:right="194" w:hanging="36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4</w:t>
      </w:r>
      <w:r>
        <w:rPr>
          <w:rFonts w:ascii="宋体" w:hAnsi="宋体" w:cs="宋体" w:eastAsia="宋体" w:hint="default"/>
          <w:sz w:val="21"/>
          <w:szCs w:val="21"/>
        </w:rPr>
        <w:t>日公司第二届董事会第十四次会议及</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24</w:t>
      </w:r>
      <w:r>
        <w:rPr>
          <w:rFonts w:ascii="宋体" w:hAnsi="宋体" w:cs="宋体" w:eastAsia="宋体" w:hint="default"/>
          <w:sz w:val="21"/>
          <w:szCs w:val="21"/>
        </w:rPr>
        <w:t>日第四次临时股东大会审议通过了公司 </w:t>
      </w:r>
      <w:r>
        <w:rPr>
          <w:rFonts w:ascii="宋体" w:hAnsi="宋体" w:cs="宋体" w:eastAsia="宋体" w:hint="default"/>
          <w:spacing w:val="-3"/>
          <w:sz w:val="21"/>
          <w:szCs w:val="21"/>
        </w:rPr>
        <w:t>非公开发行股票方案，本次非公开发行募集资金不超过</w:t>
      </w:r>
      <w:r>
        <w:rPr>
          <w:rFonts w:ascii="Times New Roman" w:hAnsi="Times New Roman" w:cs="Times New Roman" w:eastAsia="Times New Roman" w:hint="default"/>
          <w:spacing w:val="-3"/>
          <w:sz w:val="21"/>
          <w:szCs w:val="21"/>
        </w:rPr>
        <w:t>25</w:t>
      </w:r>
      <w:r>
        <w:rPr>
          <w:rFonts w:ascii="宋体" w:hAnsi="宋体" w:cs="宋体" w:eastAsia="宋体" w:hint="default"/>
          <w:spacing w:val="-3"/>
          <w:sz w:val="21"/>
          <w:szCs w:val="21"/>
        </w:rPr>
        <w:t>亿元，扣除发行费用后拟用于海淘金</w:t>
      </w:r>
      <w:r>
        <w:rPr>
          <w:rFonts w:ascii="Times New Roman" w:hAnsi="Times New Roman" w:cs="Times New Roman" w:eastAsia="Times New Roman" w:hint="default"/>
          <w:spacing w:val="-3"/>
          <w:sz w:val="21"/>
          <w:szCs w:val="21"/>
        </w:rPr>
        <w:t>P2P</w:t>
      </w:r>
      <w:r>
        <w:rPr>
          <w:rFonts w:ascii="宋体" w:hAnsi="宋体" w:cs="宋体" w:eastAsia="宋体" w:hint="default"/>
          <w:spacing w:val="-3"/>
          <w:sz w:val="21"/>
          <w:szCs w:val="21"/>
        </w:rPr>
        <w:t>平台</w:t>
      </w:r>
      <w:r>
        <w:rPr>
          <w:rFonts w:ascii="宋体" w:hAnsi="宋体" w:cs="宋体" w:eastAsia="宋体" w:hint="default"/>
          <w:sz w:val="21"/>
          <w:szCs w:val="21"/>
        </w:rPr>
        <w:t> </w:t>
      </w:r>
      <w:r>
        <w:rPr>
          <w:rFonts w:ascii="宋体" w:hAnsi="宋体" w:cs="宋体" w:eastAsia="宋体" w:hint="default"/>
          <w:spacing w:val="-2"/>
          <w:sz w:val="21"/>
          <w:szCs w:val="21"/>
        </w:rPr>
        <w:t>项目、海外互联网金融</w:t>
      </w:r>
      <w:r>
        <w:rPr>
          <w:rFonts w:ascii="Times New Roman" w:hAnsi="Times New Roman" w:cs="Times New Roman" w:eastAsia="Times New Roman" w:hint="default"/>
          <w:spacing w:val="-2"/>
          <w:sz w:val="21"/>
          <w:szCs w:val="21"/>
        </w:rPr>
        <w:t>P2P</w:t>
      </w:r>
      <w:r>
        <w:rPr>
          <w:rFonts w:ascii="宋体" w:hAnsi="宋体" w:cs="宋体" w:eastAsia="宋体" w:hint="default"/>
          <w:spacing w:val="-2"/>
          <w:sz w:val="21"/>
          <w:szCs w:val="21"/>
        </w:rPr>
        <w:t>平台项目、游戏互动</w:t>
      </w:r>
      <w:r>
        <w:rPr>
          <w:rFonts w:ascii="Times New Roman" w:hAnsi="Times New Roman" w:cs="Times New Roman" w:eastAsia="Times New Roman" w:hint="default"/>
          <w:spacing w:val="-2"/>
          <w:sz w:val="21"/>
          <w:szCs w:val="21"/>
        </w:rPr>
        <w:t>P2P</w:t>
      </w:r>
      <w:r>
        <w:rPr>
          <w:rFonts w:ascii="宋体" w:hAnsi="宋体" w:cs="宋体" w:eastAsia="宋体" w:hint="default"/>
          <w:spacing w:val="-2"/>
          <w:sz w:val="21"/>
          <w:szCs w:val="21"/>
        </w:rPr>
        <w:t>平台项目，</w:t>
      </w:r>
      <w:r>
        <w:rPr>
          <w:rFonts w:ascii="Times New Roman" w:hAnsi="Times New Roman" w:cs="Times New Roman" w:eastAsia="Times New Roman" w:hint="default"/>
          <w:spacing w:val="-2"/>
          <w:sz w:val="21"/>
          <w:szCs w:val="21"/>
        </w:rPr>
        <w:t>1Mobile</w:t>
      </w:r>
      <w:r>
        <w:rPr>
          <w:rFonts w:ascii="宋体" w:hAnsi="宋体" w:cs="宋体" w:eastAsia="宋体" w:hint="default"/>
          <w:spacing w:val="-2"/>
          <w:sz w:val="21"/>
          <w:szCs w:val="21"/>
        </w:rPr>
        <w:t>线下手机分发渠道建设项目。公</w:t>
      </w:r>
      <w:r>
        <w:rPr>
          <w:rFonts w:ascii="宋体" w:hAnsi="宋体" w:cs="宋体" w:eastAsia="宋体" w:hint="default"/>
          <w:sz w:val="21"/>
          <w:szCs w:val="21"/>
        </w:rPr>
        <w:t> 司于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日召开第二届董事会第二十一次会议，审议通过了《关于修订本次非公开发行股 票方案的议案》、《关于修订非公开发行股票预案的议案》，并对《非公开发行股票预案》进行了修 订。修订后，公司本次非公开发行的发行股份数量明确为不超过 </w:t>
      </w:r>
      <w:r>
        <w:rPr>
          <w:rFonts w:ascii="Times New Roman" w:hAnsi="Times New Roman" w:cs="Times New Roman" w:eastAsia="Times New Roman" w:hint="default"/>
          <w:sz w:val="21"/>
          <w:szCs w:val="21"/>
        </w:rPr>
        <w:t>10,000</w:t>
      </w:r>
      <w:r>
        <w:rPr>
          <w:rFonts w:ascii="Times New Roman" w:hAnsi="Times New Roman" w:cs="Times New Roman" w:eastAsia="Times New Roman" w:hint="default"/>
          <w:spacing w:val="-15"/>
          <w:sz w:val="21"/>
          <w:szCs w:val="21"/>
        </w:rPr>
        <w:t> </w:t>
      </w:r>
      <w:r>
        <w:rPr>
          <w:rFonts w:ascii="宋体" w:hAnsi="宋体" w:cs="宋体" w:eastAsia="宋体" w:hint="default"/>
          <w:spacing w:val="-4"/>
          <w:sz w:val="21"/>
          <w:szCs w:val="21"/>
        </w:rPr>
        <w:t>万股，除上述事项外，本次非</w:t>
      </w:r>
      <w:r>
        <w:rPr>
          <w:rFonts w:ascii="宋体" w:hAnsi="宋体" w:cs="宋体" w:eastAsia="宋体" w:hint="default"/>
          <w:sz w:val="21"/>
          <w:szCs w:val="21"/>
        </w:rPr>
        <w:t> </w:t>
      </w:r>
      <w:r>
        <w:rPr>
          <w:rFonts w:ascii="宋体" w:hAnsi="宋体" w:cs="宋体" w:eastAsia="宋体" w:hint="default"/>
          <w:spacing w:val="-4"/>
          <w:sz w:val="21"/>
          <w:szCs w:val="21"/>
        </w:rPr>
        <w:t>公开发行的发行对象、发行价格和定价方式等均不发生变化。</w:t>
      </w:r>
      <w:r>
        <w:rPr>
          <w:rFonts w:ascii="Times New Roman" w:hAnsi="Times New Roman" w:cs="Times New Roman" w:eastAsia="Times New Roman" w:hint="default"/>
          <w:spacing w:val="-4"/>
          <w:sz w:val="21"/>
          <w:szCs w:val="21"/>
        </w:rPr>
        <w:t>2016</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2 </w:t>
      </w:r>
      <w:r>
        <w:rPr>
          <w:rFonts w:ascii="宋体" w:hAnsi="宋体" w:cs="宋体" w:eastAsia="宋体" w:hint="default"/>
          <w:spacing w:val="-5"/>
          <w:sz w:val="21"/>
          <w:szCs w:val="21"/>
        </w:rPr>
        <w:t>月</w:t>
      </w:r>
      <w:r>
        <w:rPr>
          <w:rFonts w:ascii="Times New Roman" w:hAnsi="Times New Roman" w:cs="Times New Roman" w:eastAsia="Times New Roman" w:hint="default"/>
          <w:spacing w:val="-5"/>
          <w:sz w:val="21"/>
          <w:szCs w:val="21"/>
        </w:rPr>
        <w:t>1</w:t>
      </w:r>
      <w:r>
        <w:rPr>
          <w:rFonts w:ascii="宋体" w:hAnsi="宋体" w:cs="宋体" w:eastAsia="宋体" w:hint="default"/>
          <w:spacing w:val="-5"/>
          <w:sz w:val="21"/>
          <w:szCs w:val="21"/>
        </w:rPr>
        <w:t>日，司本次非公开发行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36"/>
          <w:sz w:val="21"/>
          <w:szCs w:val="21"/>
        </w:rPr>
        <w:t> </w:t>
      </w:r>
      <w:r>
        <w:rPr>
          <w:rFonts w:ascii="宋体" w:hAnsi="宋体" w:cs="宋体" w:eastAsia="宋体" w:hint="default"/>
          <w:sz w:val="21"/>
          <w:szCs w:val="21"/>
        </w:rPr>
        <w:t>股 股票的申请获得中国证监会无条件审核通过。</w:t>
      </w:r>
    </w:p>
    <w:p>
      <w:pPr>
        <w:spacing w:line="256" w:lineRule="auto" w:before="140"/>
        <w:ind w:left="514" w:right="210" w:hanging="360"/>
        <w:jc w:val="both"/>
        <w:rPr>
          <w:rFonts w:ascii="宋体" w:hAnsi="宋体" w:cs="宋体" w:eastAsia="宋体" w:hint="default"/>
          <w:sz w:val="21"/>
          <w:szCs w:val="21"/>
        </w:rPr>
      </w:pPr>
      <w:r>
        <w:rPr>
          <w:rFonts w:ascii="宋体" w:hAnsi="宋体" w:cs="宋体" w:eastAsia="宋体" w:hint="default"/>
          <w:sz w:val="21"/>
          <w:szCs w:val="21"/>
        </w:rPr>
        <w:t>6.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 </w:t>
      </w:r>
      <w:r>
        <w:rPr>
          <w:rFonts w:ascii="Times New Roman" w:hAnsi="Times New Roman" w:cs="Times New Roman" w:eastAsia="Times New Roman" w:hint="default"/>
          <w:sz w:val="21"/>
          <w:szCs w:val="21"/>
        </w:rPr>
        <w:t>19 </w:t>
      </w:r>
      <w:r>
        <w:rPr>
          <w:rFonts w:ascii="宋体" w:hAnsi="宋体" w:cs="宋体" w:eastAsia="宋体" w:hint="default"/>
          <w:spacing w:val="-3"/>
          <w:sz w:val="21"/>
          <w:szCs w:val="21"/>
        </w:rPr>
        <w:t>日，公司以 </w:t>
      </w:r>
      <w:r>
        <w:rPr>
          <w:rFonts w:ascii="Times New Roman" w:hAnsi="Times New Roman" w:cs="Times New Roman" w:eastAsia="Times New Roman" w:hint="default"/>
          <w:sz w:val="21"/>
          <w:szCs w:val="21"/>
        </w:rPr>
        <w:t>Kunlun Group Limited</w:t>
      </w: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昆仑集团</w:t>
      </w:r>
      <w:r>
        <w:rPr>
          <w:rFonts w:ascii="Times New Roman" w:hAnsi="Times New Roman" w:cs="Times New Roman" w:eastAsia="Times New Roman" w:hint="default"/>
          <w:sz w:val="21"/>
          <w:szCs w:val="21"/>
        </w:rPr>
        <w:t>”</w:t>
      </w:r>
      <w:r>
        <w:rPr>
          <w:rFonts w:ascii="宋体" w:hAnsi="宋体" w:cs="宋体" w:eastAsia="宋体" w:hint="default"/>
          <w:sz w:val="21"/>
          <w:szCs w:val="21"/>
        </w:rPr>
        <w:t>）为投资主体签署了《</w:t>
      </w:r>
      <w:r>
        <w:rPr>
          <w:rFonts w:ascii="Times New Roman" w:hAnsi="Times New Roman" w:cs="Times New Roman" w:eastAsia="Times New Roman" w:hint="default"/>
          <w:sz w:val="21"/>
          <w:szCs w:val="21"/>
        </w:rPr>
        <w:t>aa</w:t>
      </w:r>
      <w:r>
        <w:rPr>
          <w:rFonts w:ascii="Times New Roman" w:hAnsi="Times New Roman" w:cs="Times New Roman" w:eastAsia="Times New Roman" w:hint="default"/>
          <w:spacing w:val="41"/>
          <w:sz w:val="21"/>
          <w:szCs w:val="21"/>
        </w:rPr>
        <w:t> </w:t>
      </w:r>
      <w:r>
        <w:rPr>
          <w:rFonts w:ascii="宋体" w:hAnsi="宋体" w:cs="宋体" w:eastAsia="宋体" w:hint="default"/>
          <w:sz w:val="21"/>
          <w:szCs w:val="21"/>
        </w:rPr>
        <w:t>系列 优先股认购协议》（</w:t>
      </w:r>
      <w:r>
        <w:rPr>
          <w:rFonts w:ascii="Times New Roman" w:hAnsi="Times New Roman" w:cs="Times New Roman" w:eastAsia="Times New Roman" w:hint="default"/>
          <w:sz w:val="21"/>
          <w:szCs w:val="21"/>
        </w:rPr>
        <w:t>“</w:t>
      </w:r>
      <w:r>
        <w:rPr>
          <w:rFonts w:ascii="宋体" w:hAnsi="宋体" w:cs="宋体" w:eastAsia="宋体" w:hint="default"/>
          <w:sz w:val="21"/>
          <w:szCs w:val="21"/>
        </w:rPr>
        <w:t>认购协议</w:t>
      </w:r>
      <w:r>
        <w:rPr>
          <w:rFonts w:ascii="Times New Roman" w:hAnsi="Times New Roman" w:cs="Times New Roman" w:eastAsia="Times New Roman" w:hint="default"/>
          <w:sz w:val="21"/>
          <w:szCs w:val="21"/>
        </w:rPr>
        <w:t>”</w:t>
      </w:r>
      <w:r>
        <w:rPr>
          <w:rFonts w:ascii="宋体" w:hAnsi="宋体" w:cs="宋体" w:eastAsia="宋体" w:hint="default"/>
          <w:sz w:val="21"/>
          <w:szCs w:val="21"/>
        </w:rPr>
        <w:t>）等一系列协议。根据认购协议，昆仑集团投资美国新一代机器人公 司 </w:t>
      </w:r>
      <w:r>
        <w:rPr>
          <w:rFonts w:ascii="Times New Roman" w:hAnsi="Times New Roman" w:cs="Times New Roman" w:eastAsia="Times New Roman" w:hint="default"/>
          <w:sz w:val="21"/>
          <w:szCs w:val="21"/>
        </w:rPr>
        <w:t>Woobo Inc.</w:t>
      </w:r>
      <w:r>
        <w:rPr>
          <w:rFonts w:ascii="宋体" w:hAnsi="宋体" w:cs="宋体" w:eastAsia="宋体" w:hint="default"/>
          <w:sz w:val="21"/>
          <w:szCs w:val="21"/>
        </w:rPr>
        <w:t>捌拾万美金（</w:t>
      </w:r>
      <w:r>
        <w:rPr>
          <w:rFonts w:ascii="Times New Roman" w:hAnsi="Times New Roman" w:cs="Times New Roman" w:eastAsia="Times New Roman" w:hint="default"/>
          <w:sz w:val="21"/>
          <w:szCs w:val="21"/>
        </w:rPr>
        <w:t>800,000USD</w:t>
      </w:r>
      <w:r>
        <w:rPr>
          <w:rFonts w:ascii="宋体" w:hAnsi="宋体" w:cs="宋体" w:eastAsia="宋体" w:hint="default"/>
          <w:sz w:val="21"/>
          <w:szCs w:val="21"/>
        </w:rPr>
        <w:t>），认购其总计 </w:t>
      </w:r>
      <w:r>
        <w:rPr>
          <w:rFonts w:ascii="Times New Roman" w:hAnsi="Times New Roman" w:cs="Times New Roman" w:eastAsia="Times New Roman" w:hint="default"/>
          <w:sz w:val="21"/>
          <w:szCs w:val="21"/>
        </w:rPr>
        <w:t>2,428,571 </w:t>
      </w:r>
      <w:r>
        <w:rPr>
          <w:rFonts w:ascii="宋体" w:hAnsi="宋体" w:cs="宋体" w:eastAsia="宋体" w:hint="default"/>
          <w:sz w:val="21"/>
          <w:szCs w:val="21"/>
        </w:rPr>
        <w:t>股 </w:t>
      </w:r>
      <w:r>
        <w:rPr>
          <w:rFonts w:ascii="Times New Roman" w:hAnsi="Times New Roman" w:cs="Times New Roman" w:eastAsia="Times New Roman" w:hint="default"/>
          <w:sz w:val="21"/>
          <w:szCs w:val="21"/>
        </w:rPr>
        <w:t>aa </w:t>
      </w:r>
      <w:r>
        <w:rPr>
          <w:rFonts w:ascii="宋体" w:hAnsi="宋体" w:cs="宋体" w:eastAsia="宋体" w:hint="default"/>
          <w:sz w:val="21"/>
          <w:szCs w:val="21"/>
        </w:rPr>
        <w:t>系列优先股，占股</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，并</w:t>
      </w:r>
      <w:r>
        <w:rPr>
          <w:rFonts w:ascii="宋体" w:hAnsi="宋体" w:cs="宋体" w:eastAsia="宋体" w:hint="default"/>
          <w:spacing w:val="-2"/>
          <w:sz w:val="21"/>
          <w:szCs w:val="21"/>
        </w:rPr>
        <w:t> </w:t>
      </w:r>
      <w:r>
        <w:rPr>
          <w:rFonts w:ascii="宋体" w:hAnsi="宋体" w:cs="宋体" w:eastAsia="宋体" w:hint="default"/>
          <w:sz w:val="21"/>
          <w:szCs w:val="21"/>
        </w:rPr>
        <w:t>获得 </w:t>
      </w:r>
      <w:r>
        <w:rPr>
          <w:rFonts w:ascii="Times New Roman" w:hAnsi="Times New Roman" w:cs="Times New Roman" w:eastAsia="Times New Roman" w:hint="default"/>
          <w:sz w:val="21"/>
          <w:szCs w:val="21"/>
        </w:rPr>
        <w:t>Woobo 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个董事席位中的一个董事席位。</w:t>
      </w:r>
    </w:p>
    <w:p>
      <w:pPr>
        <w:spacing w:line="256" w:lineRule="auto" w:before="125"/>
        <w:ind w:left="514" w:right="93" w:hanging="360"/>
        <w:jc w:val="left"/>
        <w:rPr>
          <w:rFonts w:ascii="宋体" w:hAnsi="宋体" w:cs="宋体" w:eastAsia="宋体" w:hint="default"/>
          <w:sz w:val="21"/>
          <w:szCs w:val="21"/>
        </w:rPr>
      </w:pPr>
      <w:r>
        <w:rPr>
          <w:rFonts w:ascii="宋体" w:hAnsi="宋体" w:cs="宋体" w:eastAsia="宋体" w:hint="default"/>
          <w:sz w:val="21"/>
          <w:szCs w:val="21"/>
        </w:rPr>
        <w:t>7.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8 </w:t>
      </w:r>
      <w:r>
        <w:rPr>
          <w:rFonts w:ascii="宋体" w:hAnsi="宋体" w:cs="宋体" w:eastAsia="宋体" w:hint="default"/>
          <w:sz w:val="21"/>
          <w:szCs w:val="21"/>
        </w:rPr>
        <w:t>日公司召开的第二届董事会第二十二次会议审议通过《关于公司投资 </w:t>
      </w:r>
      <w:r>
        <w:rPr>
          <w:rFonts w:ascii="Times New Roman" w:hAnsi="Times New Roman" w:cs="Times New Roman" w:eastAsia="Times New Roman" w:hint="default"/>
          <w:sz w:val="21"/>
          <w:szCs w:val="21"/>
        </w:rPr>
        <w:t>New Grindr LLC</w:t>
      </w:r>
      <w:r>
        <w:rPr>
          <w:rFonts w:ascii="Times New Roman" w:hAnsi="Times New Roman" w:cs="Times New Roman" w:eastAsia="Times New Roman" w:hint="default"/>
          <w:spacing w:val="45"/>
          <w:sz w:val="21"/>
          <w:szCs w:val="21"/>
        </w:rPr>
        <w:t> </w:t>
      </w:r>
      <w:r>
        <w:rPr>
          <w:rFonts w:ascii="宋体" w:hAnsi="宋体" w:cs="宋体" w:eastAsia="宋体" w:hint="default"/>
          <w:sz w:val="21"/>
          <w:szCs w:val="21"/>
        </w:rPr>
        <w:t>的 </w:t>
      </w:r>
      <w:r>
        <w:rPr>
          <w:rFonts w:ascii="宋体" w:hAnsi="宋体" w:cs="宋体" w:eastAsia="宋体" w:hint="default"/>
          <w:spacing w:val="-6"/>
          <w:sz w:val="21"/>
          <w:szCs w:val="21"/>
        </w:rPr>
        <w:t>议案》。于</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年１月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日以</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Kunlun</w:t>
      </w:r>
      <w:r>
        <w:rPr>
          <w:rFonts w:ascii="Times New Roman" w:hAnsi="Times New Roman" w:cs="Times New Roman" w:eastAsia="Times New Roman" w:hint="default"/>
          <w:spacing w:val="-15"/>
          <w:sz w:val="21"/>
          <w:szCs w:val="21"/>
        </w:rPr>
        <w:t> </w:t>
      </w:r>
      <w:r>
        <w:rPr>
          <w:rFonts w:ascii="Times New Roman" w:hAnsi="Times New Roman" w:cs="Times New Roman" w:eastAsia="Times New Roman" w:hint="default"/>
          <w:sz w:val="21"/>
          <w:szCs w:val="21"/>
        </w:rPr>
        <w:t>Group</w:t>
      </w:r>
      <w:r>
        <w:rPr>
          <w:rFonts w:ascii="Times New Roman" w:hAnsi="Times New Roman" w:cs="Times New Roman" w:eastAsia="Times New Roman" w:hint="default"/>
          <w:spacing w:val="-14"/>
          <w:sz w:val="21"/>
          <w:szCs w:val="21"/>
        </w:rPr>
        <w:t> </w:t>
      </w:r>
      <w:r>
        <w:rPr>
          <w:rFonts w:ascii="Times New Roman" w:hAnsi="Times New Roman" w:cs="Times New Roman" w:eastAsia="Times New Roman" w:hint="default"/>
          <w:sz w:val="21"/>
          <w:szCs w:val="21"/>
        </w:rPr>
        <w:t>Limited</w:t>
      </w: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昆仑集团</w:t>
      </w:r>
      <w:r>
        <w:rPr>
          <w:rFonts w:ascii="Times New Roman" w:hAnsi="Times New Roman" w:cs="Times New Roman" w:eastAsia="Times New Roman" w:hint="default"/>
          <w:sz w:val="21"/>
          <w:szCs w:val="21"/>
        </w:rPr>
        <w:t>”</w:t>
      </w:r>
      <w:r>
        <w:rPr>
          <w:rFonts w:ascii="宋体" w:hAnsi="宋体" w:cs="宋体" w:eastAsia="宋体" w:hint="default"/>
          <w:sz w:val="21"/>
          <w:szCs w:val="21"/>
        </w:rPr>
        <w:t>）为投资主体签署了《成 </w:t>
      </w:r>
      <w:r>
        <w:rPr>
          <w:rFonts w:ascii="宋体" w:hAnsi="宋体" w:cs="宋体" w:eastAsia="宋体" w:hint="default"/>
          <w:spacing w:val="-5"/>
          <w:sz w:val="21"/>
          <w:szCs w:val="21"/>
        </w:rPr>
        <w:t>员权益认购协议》（</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认购协议</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）。根据认购协议，昆仑集团购买</w:t>
      </w:r>
      <w:r>
        <w:rPr>
          <w:rFonts w:ascii="Times New Roman" w:hAnsi="Times New Roman" w:cs="Times New Roman" w:eastAsia="Times New Roman" w:hint="default"/>
          <w:spacing w:val="-5"/>
          <w:sz w:val="21"/>
          <w:szCs w:val="21"/>
        </w:rPr>
        <w:t>New </w:t>
      </w:r>
      <w:r>
        <w:rPr>
          <w:rFonts w:ascii="Times New Roman" w:hAnsi="Times New Roman" w:cs="Times New Roman" w:eastAsia="Times New Roman" w:hint="default"/>
          <w:sz w:val="21"/>
          <w:szCs w:val="21"/>
        </w:rPr>
        <w:t>Grindr,</w:t>
      </w:r>
      <w:r>
        <w:rPr>
          <w:rFonts w:ascii="Times New Roman" w:hAnsi="Times New Roman" w:cs="Times New Roman" w:eastAsia="Times New Roman" w:hint="default"/>
          <w:spacing w:val="-34"/>
          <w:sz w:val="21"/>
          <w:szCs w:val="21"/>
        </w:rPr>
        <w:t> </w:t>
      </w:r>
      <w:r>
        <w:rPr>
          <w:rFonts w:ascii="Times New Roman" w:hAnsi="Times New Roman" w:cs="Times New Roman" w:eastAsia="Times New Roman" w:hint="default"/>
          <w:sz w:val="21"/>
          <w:szCs w:val="21"/>
        </w:rPr>
        <w:t>LLC</w:t>
      </w: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“Grindr”</w:t>
      </w:r>
      <w:r>
        <w:rPr>
          <w:rFonts w:ascii="宋体" w:hAnsi="宋体" w:cs="宋体" w:eastAsia="宋体" w:hint="default"/>
          <w:sz w:val="21"/>
          <w:szCs w:val="21"/>
        </w:rPr>
        <w:t>） 的现有股东 </w:t>
      </w:r>
      <w:r>
        <w:rPr>
          <w:rFonts w:ascii="Times New Roman" w:hAnsi="Times New Roman" w:cs="Times New Roman" w:eastAsia="Times New Roman" w:hint="default"/>
          <w:sz w:val="21"/>
          <w:szCs w:val="21"/>
        </w:rPr>
        <w:t>Grindr Holding Company</w:t>
      </w:r>
      <w:r>
        <w:rPr>
          <w:rFonts w:ascii="宋体" w:hAnsi="宋体" w:cs="宋体" w:eastAsia="宋体" w:hint="default"/>
          <w:sz w:val="21"/>
          <w:szCs w:val="21"/>
        </w:rPr>
        <w:t>持有的 </w:t>
      </w:r>
      <w:r>
        <w:rPr>
          <w:rFonts w:ascii="Times New Roman" w:hAnsi="Times New Roman" w:cs="Times New Roman" w:eastAsia="Times New Roman" w:hint="default"/>
          <w:sz w:val="21"/>
          <w:szCs w:val="21"/>
        </w:rPr>
        <w:t>98,448,000 </w:t>
      </w:r>
      <w:r>
        <w:rPr>
          <w:rFonts w:ascii="宋体" w:hAnsi="宋体" w:cs="宋体" w:eastAsia="宋体" w:hint="default"/>
          <w:sz w:val="21"/>
          <w:szCs w:val="21"/>
        </w:rPr>
        <w:t>份额，占 </w:t>
      </w:r>
      <w:r>
        <w:rPr>
          <w:rFonts w:ascii="Times New Roman" w:hAnsi="Times New Roman" w:cs="Times New Roman" w:eastAsia="Times New Roman" w:hint="default"/>
          <w:sz w:val="21"/>
          <w:szCs w:val="21"/>
        </w:rPr>
        <w:t>Grindr </w:t>
      </w:r>
      <w:r>
        <w:rPr>
          <w:rFonts w:ascii="宋体" w:hAnsi="宋体" w:cs="宋体" w:eastAsia="宋体" w:hint="default"/>
          <w:sz w:val="21"/>
          <w:szCs w:val="21"/>
        </w:rPr>
        <w:t>总股本</w:t>
      </w:r>
      <w:r>
        <w:rPr>
          <w:rFonts w:ascii="宋体" w:hAnsi="宋体" w:cs="宋体" w:eastAsia="宋体" w:hint="default"/>
          <w:spacing w:val="-27"/>
          <w:sz w:val="21"/>
          <w:szCs w:val="21"/>
        </w:rPr>
        <w:t> </w:t>
      </w:r>
      <w:r>
        <w:rPr>
          <w:rFonts w:ascii="Times New Roman" w:hAnsi="Times New Roman" w:cs="Times New Roman" w:eastAsia="Times New Roman" w:hint="default"/>
          <w:sz w:val="21"/>
          <w:szCs w:val="21"/>
        </w:rPr>
        <w:t>60%</w:t>
      </w:r>
      <w:r>
        <w:rPr>
          <w:rFonts w:ascii="宋体" w:hAnsi="宋体" w:cs="宋体" w:eastAsia="宋体" w:hint="default"/>
          <w:sz w:val="21"/>
          <w:szCs w:val="21"/>
        </w:rPr>
        <w:t>，总投资金额约 </w:t>
      </w:r>
      <w:r>
        <w:rPr>
          <w:rFonts w:ascii="Times New Roman" w:hAnsi="Times New Roman" w:cs="Times New Roman" w:eastAsia="Times New Roman" w:hint="default"/>
          <w:sz w:val="21"/>
          <w:szCs w:val="21"/>
        </w:rPr>
        <w:t>9300</w:t>
      </w:r>
      <w:r>
        <w:rPr>
          <w:rFonts w:ascii="宋体" w:hAnsi="宋体" w:cs="宋体" w:eastAsia="宋体" w:hint="default"/>
          <w:sz w:val="21"/>
          <w:szCs w:val="21"/>
        </w:rPr>
        <w:t>万美金。</w:t>
      </w:r>
      <w:r>
        <w:rPr>
          <w:rFonts w:ascii="Times New Roman" w:hAnsi="Times New Roman" w:cs="Times New Roman" w:eastAsia="Times New Roman" w:hint="default"/>
          <w:sz w:val="21"/>
          <w:szCs w:val="21"/>
        </w:rPr>
        <w:t>Grindr </w:t>
      </w:r>
      <w:r>
        <w:rPr>
          <w:rFonts w:ascii="宋体" w:hAnsi="宋体" w:cs="宋体" w:eastAsia="宋体" w:hint="default"/>
          <w:sz w:val="21"/>
          <w:szCs w:val="21"/>
        </w:rPr>
        <w:t>是全球最大的同性恋社交网络，总部在美国洛杉矶。</w:t>
      </w:r>
      <w:r>
        <w:rPr>
          <w:rFonts w:ascii="Times New Roman" w:hAnsi="Times New Roman" w:cs="Times New Roman" w:eastAsia="Times New Roman" w:hint="default"/>
          <w:sz w:val="21"/>
          <w:szCs w:val="21"/>
        </w:rPr>
        <w:t>Grindr </w:t>
      </w:r>
      <w:r>
        <w:rPr>
          <w:rFonts w:ascii="宋体" w:hAnsi="宋体" w:cs="宋体" w:eastAsia="宋体" w:hint="default"/>
          <w:sz w:val="21"/>
          <w:szCs w:val="21"/>
        </w:rPr>
        <w:t>董事会有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名成员， 昆仑集团有权指派 </w:t>
      </w:r>
      <w:r>
        <w:rPr>
          <w:rFonts w:ascii="Times New Roman" w:hAnsi="Times New Roman" w:cs="Times New Roman" w:eastAsia="Times New Roman" w:hint="default"/>
          <w:sz w:val="21"/>
          <w:szCs w:val="21"/>
        </w:rPr>
        <w:t>5  </w:t>
      </w:r>
      <w:r>
        <w:rPr>
          <w:rFonts w:ascii="宋体" w:hAnsi="宋体" w:cs="宋体" w:eastAsia="宋体" w:hint="default"/>
          <w:sz w:val="21"/>
          <w:szCs w:val="21"/>
        </w:rPr>
        <w:t>名董事中的</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名，其中周亚辉担任董事会主席，周玮担任副主席。</w:t>
      </w:r>
    </w:p>
    <w:p>
      <w:pPr>
        <w:spacing w:line="256" w:lineRule="auto" w:before="125"/>
        <w:ind w:left="514" w:right="212" w:hanging="360"/>
        <w:jc w:val="both"/>
        <w:rPr>
          <w:rFonts w:ascii="宋体" w:hAnsi="宋体" w:cs="宋体" w:eastAsia="宋体" w:hint="default"/>
          <w:sz w:val="21"/>
          <w:szCs w:val="21"/>
        </w:rPr>
      </w:pPr>
      <w:r>
        <w:rPr>
          <w:rFonts w:ascii="宋体" w:hAnsi="宋体" w:cs="宋体" w:eastAsia="宋体" w:hint="default"/>
          <w:sz w:val="21"/>
          <w:szCs w:val="21"/>
        </w:rPr>
        <w:t>8. </w:t>
      </w:r>
      <w:r>
        <w:rPr>
          <w:rFonts w:ascii="Times New Roman" w:hAnsi="Times New Roman" w:cs="Times New Roman" w:eastAsia="Times New Roman" w:hint="default"/>
          <w:sz w:val="21"/>
          <w:szCs w:val="21"/>
        </w:rPr>
        <w:t>2015</w:t>
      </w:r>
      <w:r>
        <w:rPr>
          <w:rFonts w:ascii="宋体" w:hAnsi="宋体" w:cs="宋体" w:eastAsia="宋体" w:hint="default"/>
          <w:sz w:val="21"/>
          <w:szCs w:val="21"/>
        </w:rPr>
        <w:t>年 </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28</w:t>
      </w:r>
      <w:r>
        <w:rPr>
          <w:rFonts w:ascii="宋体" w:hAnsi="宋体" w:cs="宋体" w:eastAsia="宋体" w:hint="default"/>
          <w:sz w:val="21"/>
          <w:szCs w:val="21"/>
        </w:rPr>
        <w:t>日，公司召开了</w:t>
      </w: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年第八次临时股东大会，审议通过《关于面向合格投资者公开发 行公司债券方案的议案》。本次发行的公司债券票面总额不超过人民币 </w:t>
      </w:r>
      <w:r>
        <w:rPr>
          <w:rFonts w:ascii="Times New Roman" w:hAnsi="Times New Roman" w:cs="Times New Roman" w:eastAsia="Times New Roman" w:hint="default"/>
          <w:sz w:val="21"/>
          <w:szCs w:val="21"/>
        </w:rPr>
        <w:t>9 </w:t>
      </w:r>
      <w:r>
        <w:rPr>
          <w:rFonts w:ascii="宋体" w:hAnsi="宋体" w:cs="宋体" w:eastAsia="宋体" w:hint="default"/>
          <w:spacing w:val="-5"/>
          <w:sz w:val="21"/>
          <w:szCs w:val="21"/>
        </w:rPr>
        <w:t>亿元（含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6"/>
          <w:sz w:val="21"/>
          <w:szCs w:val="21"/>
        </w:rPr>
        <w:t> </w:t>
      </w:r>
      <w:r>
        <w:rPr>
          <w:rFonts w:ascii="宋体" w:hAnsi="宋体" w:cs="宋体" w:eastAsia="宋体" w:hint="default"/>
          <w:spacing w:val="-6"/>
          <w:sz w:val="21"/>
          <w:szCs w:val="21"/>
        </w:rPr>
        <w:t>亿元），债券期</w:t>
      </w:r>
    </w:p>
    <w:p>
      <w:pPr>
        <w:spacing w:line="264" w:lineRule="auto" w:before="5"/>
        <w:ind w:left="514" w:right="186" w:firstLine="0"/>
        <w:jc w:val="both"/>
        <w:rPr>
          <w:rFonts w:ascii="宋体" w:hAnsi="宋体" w:cs="宋体" w:eastAsia="宋体" w:hint="default"/>
          <w:sz w:val="21"/>
          <w:szCs w:val="21"/>
        </w:rPr>
      </w:pPr>
      <w:r>
        <w:rPr>
          <w:rFonts w:ascii="宋体" w:hAnsi="宋体" w:cs="宋体" w:eastAsia="宋体" w:hint="default"/>
          <w:sz w:val="21"/>
          <w:szCs w:val="21"/>
        </w:rPr>
        <w:t>限为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年。本次债券发行不提供担保，在获得中国证监会核准后，可以采取一次发行或者分期发行。 公司通过本次公开发行债券所募集的资金扣除承销费后拟用于调整债务结构、补充流动资金及适用的 法律法规允许的其他用途，于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9</w:t>
      </w:r>
      <w:r>
        <w:rPr>
          <w:rFonts w:ascii="宋体" w:hAnsi="宋体" w:cs="宋体" w:eastAsia="宋体" w:hint="default"/>
          <w:sz w:val="21"/>
          <w:szCs w:val="21"/>
        </w:rPr>
        <w:t>日取得核准机构的无异议函。</w:t>
      </w:r>
    </w:p>
    <w:p>
      <w:pPr>
        <w:spacing w:line="264" w:lineRule="auto" w:before="118"/>
        <w:ind w:left="514" w:right="212" w:hanging="360"/>
        <w:jc w:val="both"/>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pacing w:val="-23"/>
          <w:sz w:val="21"/>
          <w:szCs w:val="21"/>
        </w:rPr>
        <w:t> </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日，公司决定成立宁波昆仑点金股权投资有限公司和北京昆仑点金投资有限公司两家全资 子公司。决定变更香港的两家全资子公司游景蓝图（香港）科技股份有限公司和香港昆仑万维股份有 限公司的业务性质为投资（</w:t>
      </w:r>
      <w:r>
        <w:rPr>
          <w:rFonts w:ascii="Times New Roman" w:hAnsi="Times New Roman" w:cs="Times New Roman" w:eastAsia="Times New Roman" w:hint="default"/>
          <w:sz w:val="21"/>
          <w:szCs w:val="21"/>
        </w:rPr>
        <w:t>Investment</w:t>
      </w:r>
      <w:r>
        <w:rPr>
          <w:rFonts w:ascii="宋体" w:hAnsi="宋体" w:cs="宋体" w:eastAsia="宋体" w:hint="default"/>
          <w:sz w:val="21"/>
          <w:szCs w:val="21"/>
        </w:rPr>
        <w:t>）。</w:t>
      </w:r>
    </w:p>
    <w:p>
      <w:pPr>
        <w:spacing w:line="256" w:lineRule="auto" w:before="118"/>
        <w:ind w:left="514" w:right="211" w:hanging="360"/>
        <w:jc w:val="both"/>
        <w:rPr>
          <w:rFonts w:ascii="宋体" w:hAnsi="宋体" w:cs="宋体" w:eastAsia="宋体" w:hint="default"/>
          <w:sz w:val="21"/>
          <w:szCs w:val="21"/>
        </w:rPr>
      </w:pPr>
      <w:r>
        <w:rPr>
          <w:rFonts w:ascii="宋体" w:hAnsi="宋体" w:cs="宋体" w:eastAsia="宋体" w:hint="default"/>
          <w:sz w:val="21"/>
          <w:szCs w:val="21"/>
        </w:rPr>
        <w:t>10.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 </w:t>
      </w:r>
      <w:r>
        <w:rPr>
          <w:rFonts w:ascii="Times New Roman" w:hAnsi="Times New Roman" w:cs="Times New Roman" w:eastAsia="Times New Roman" w:hint="default"/>
          <w:sz w:val="21"/>
          <w:szCs w:val="21"/>
        </w:rPr>
        <w:t>2 </w:t>
      </w:r>
      <w:r>
        <w:rPr>
          <w:rFonts w:ascii="宋体" w:hAnsi="宋体" w:cs="宋体" w:eastAsia="宋体" w:hint="default"/>
          <w:sz w:val="21"/>
          <w:szCs w:val="21"/>
        </w:rPr>
        <w:t>月 </w:t>
      </w:r>
      <w:r>
        <w:rPr>
          <w:rFonts w:ascii="Times New Roman" w:hAnsi="Times New Roman" w:cs="Times New Roman" w:eastAsia="Times New Roman" w:hint="default"/>
          <w:sz w:val="21"/>
          <w:szCs w:val="21"/>
        </w:rPr>
        <w:t>9 </w:t>
      </w:r>
      <w:r>
        <w:rPr>
          <w:rFonts w:ascii="宋体" w:hAnsi="宋体" w:cs="宋体" w:eastAsia="宋体" w:hint="default"/>
          <w:spacing w:val="-5"/>
          <w:sz w:val="21"/>
          <w:szCs w:val="21"/>
        </w:rPr>
        <w:t>日，公司召开第二届董事会第二十五次会议审议通过了《关于公司成立买方团对</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Opera Software ASA  </w:t>
      </w:r>
      <w:r>
        <w:rPr>
          <w:rFonts w:ascii="宋体" w:hAnsi="宋体" w:cs="宋体" w:eastAsia="宋体" w:hint="default"/>
          <w:sz w:val="21"/>
          <w:szCs w:val="21"/>
        </w:rPr>
        <w:t>进行</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股权公开要约收购的议案》。同意公司和奇虎三六零软件（北京）有限公司</w:t>
      </w:r>
    </w:p>
    <w:p>
      <w:pPr>
        <w:spacing w:line="256" w:lineRule="auto" w:before="5"/>
        <w:ind w:left="514" w:right="203" w:firstLine="0"/>
        <w:jc w:val="left"/>
        <w:rPr>
          <w:rFonts w:ascii="宋体" w:hAnsi="宋体" w:cs="宋体" w:eastAsia="宋体" w:hint="default"/>
          <w:sz w:val="21"/>
          <w:szCs w:val="21"/>
        </w:rPr>
      </w:pP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奇虎</w:t>
      </w:r>
      <w:r>
        <w:rPr>
          <w:rFonts w:ascii="Times New Roman" w:hAnsi="Times New Roman" w:cs="Times New Roman" w:eastAsia="Times New Roman" w:hint="default"/>
          <w:sz w:val="21"/>
          <w:szCs w:val="21"/>
        </w:rPr>
        <w:t>”</w:t>
      </w:r>
      <w:r>
        <w:rPr>
          <w:rFonts w:ascii="宋体" w:hAnsi="宋体" w:cs="宋体" w:eastAsia="宋体" w:hint="default"/>
          <w:sz w:val="21"/>
          <w:szCs w:val="21"/>
        </w:rPr>
        <w:t>）、金砖丝路基金管理（深圳）合伙企业（有限合伙）（以下简称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金砖</w:t>
      </w:r>
      <w:r>
        <w:rPr>
          <w:rFonts w:ascii="Times New Roman" w:hAnsi="Times New Roman" w:cs="Times New Roman" w:eastAsia="Times New Roman" w:hint="default"/>
          <w:sz w:val="21"/>
          <w:szCs w:val="21"/>
        </w:rPr>
        <w:t>”</w:t>
      </w:r>
      <w:r>
        <w:rPr>
          <w:rFonts w:ascii="宋体" w:hAnsi="宋体" w:cs="宋体" w:eastAsia="宋体" w:hint="default"/>
          <w:sz w:val="21"/>
          <w:szCs w:val="21"/>
        </w:rPr>
        <w:t>）成立买 方团</w:t>
      </w:r>
      <w:r>
        <w:rPr>
          <w:rFonts w:ascii="Times New Roman" w:hAnsi="Times New Roman" w:cs="Times New Roman" w:eastAsia="Times New Roman" w:hint="default"/>
          <w:sz w:val="21"/>
          <w:szCs w:val="21"/>
        </w:rPr>
        <w:t>(</w:t>
      </w: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买方团</w:t>
      </w:r>
      <w:r>
        <w:rPr>
          <w:rFonts w:ascii="Times New Roman" w:hAnsi="Times New Roman" w:cs="Times New Roman" w:eastAsia="Times New Roman" w:hint="default"/>
          <w:sz w:val="21"/>
          <w:szCs w:val="21"/>
        </w:rPr>
        <w:t>”)</w:t>
      </w:r>
      <w:r>
        <w:rPr>
          <w:rFonts w:ascii="宋体" w:hAnsi="宋体" w:cs="宋体" w:eastAsia="宋体" w:hint="default"/>
          <w:sz w:val="21"/>
          <w:szCs w:val="21"/>
        </w:rPr>
        <w:t>，对</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Opera</w:t>
      </w:r>
      <w:r>
        <w:rPr>
          <w:rFonts w:ascii="Times New Roman" w:hAnsi="Times New Roman" w:cs="Times New Roman" w:eastAsia="Times New Roman" w:hint="default"/>
          <w:spacing w:val="-14"/>
          <w:sz w:val="21"/>
          <w:szCs w:val="21"/>
        </w:rPr>
        <w:t> </w:t>
      </w:r>
      <w:r>
        <w:rPr>
          <w:rFonts w:ascii="Times New Roman" w:hAnsi="Times New Roman" w:cs="Times New Roman" w:eastAsia="Times New Roman" w:hint="default"/>
          <w:sz w:val="21"/>
          <w:szCs w:val="21"/>
        </w:rPr>
        <w:t>Software</w:t>
      </w:r>
      <w:r>
        <w:rPr>
          <w:rFonts w:ascii="Times New Roman" w:hAnsi="Times New Roman" w:cs="Times New Roman" w:eastAsia="Times New Roman" w:hint="default"/>
          <w:spacing w:val="-15"/>
          <w:sz w:val="21"/>
          <w:szCs w:val="21"/>
        </w:rPr>
        <w:t> </w:t>
      </w:r>
      <w:r>
        <w:rPr>
          <w:rFonts w:ascii="Times New Roman" w:hAnsi="Times New Roman" w:cs="Times New Roman" w:eastAsia="Times New Roman" w:hint="default"/>
          <w:sz w:val="21"/>
          <w:szCs w:val="21"/>
        </w:rPr>
        <w:t>ASA</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进行</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股权公开要约收购。收购总价约合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亿 美元，昆仑出资金额占收购总价的 </w:t>
      </w:r>
      <w:r>
        <w:rPr>
          <w:rFonts w:ascii="Times New Roman" w:hAnsi="Times New Roman" w:cs="Times New Roman" w:eastAsia="Times New Roman" w:hint="default"/>
          <w:sz w:val="21"/>
          <w:szCs w:val="21"/>
        </w:rPr>
        <w:t>14%</w:t>
      </w:r>
      <w:r>
        <w:rPr>
          <w:rFonts w:ascii="宋体" w:hAnsi="宋体" w:cs="宋体" w:eastAsia="宋体" w:hint="default"/>
          <w:sz w:val="21"/>
          <w:szCs w:val="21"/>
        </w:rPr>
        <w:t>，约合 </w:t>
      </w:r>
      <w:r>
        <w:rPr>
          <w:rFonts w:ascii="Times New Roman" w:hAnsi="Times New Roman" w:cs="Times New Roman" w:eastAsia="Times New Roman" w:hint="default"/>
          <w:sz w:val="21"/>
          <w:szCs w:val="21"/>
        </w:rPr>
        <w:t>1.68</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亿美元。该事项已经</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日召开的第三次 临时股东大会审议通过。</w:t>
      </w:r>
    </w:p>
    <w:p>
      <w:pPr>
        <w:spacing w:before="142"/>
        <w:ind w:left="154" w:right="213" w:firstLine="0"/>
        <w:jc w:val="left"/>
        <w:rPr>
          <w:rFonts w:ascii="宋体" w:hAnsi="宋体" w:cs="宋体" w:eastAsia="宋体" w:hint="default"/>
          <w:sz w:val="21"/>
          <w:szCs w:val="21"/>
        </w:rPr>
      </w:pPr>
      <w:r>
        <w:rPr>
          <w:rFonts w:ascii="宋体" w:hAnsi="宋体" w:cs="宋体" w:eastAsia="宋体" w:hint="default"/>
          <w:sz w:val="21"/>
          <w:szCs w:val="21"/>
        </w:rPr>
        <w:t>11.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日，公司以全资子公司宁波昆仑点金股权投资有限公司（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宁波昆仑点金</w:t>
      </w:r>
      <w:r>
        <w:rPr>
          <w:rFonts w:ascii="Times New Roman" w:hAnsi="Times New Roman" w:cs="Times New Roman" w:eastAsia="Times New Roman" w:hint="default"/>
          <w:sz w:val="21"/>
          <w:szCs w:val="21"/>
        </w:rPr>
        <w:t>”</w:t>
      </w:r>
      <w:r>
        <w:rPr>
          <w:rFonts w:ascii="宋体" w:hAnsi="宋体" w:cs="宋体" w:eastAsia="宋体" w:hint="default"/>
          <w:sz w:val="21"/>
          <w:szCs w:val="21"/>
        </w:rPr>
        <w:t>）为投资主</w:t>
      </w:r>
    </w:p>
    <w:p>
      <w:pPr>
        <w:spacing w:before="21"/>
        <w:ind w:left="514" w:right="103" w:firstLine="0"/>
        <w:jc w:val="left"/>
        <w:rPr>
          <w:rFonts w:ascii="宋体" w:hAnsi="宋体" w:cs="宋体" w:eastAsia="宋体" w:hint="default"/>
          <w:sz w:val="21"/>
          <w:szCs w:val="21"/>
        </w:rPr>
      </w:pPr>
      <w:r>
        <w:rPr>
          <w:rFonts w:ascii="宋体" w:hAnsi="宋体" w:cs="宋体" w:eastAsia="宋体" w:hint="default"/>
          <w:sz w:val="21"/>
          <w:szCs w:val="21"/>
        </w:rPr>
        <w:t>体，与东方富海（上海）创业投资企业（有限合伙）（</w:t>
      </w:r>
      <w:r>
        <w:rPr>
          <w:rFonts w:ascii="Times New Roman" w:hAnsi="Times New Roman" w:cs="Times New Roman" w:eastAsia="Times New Roman" w:hint="default"/>
          <w:sz w:val="21"/>
          <w:szCs w:val="21"/>
        </w:rPr>
        <w:t>“</w:t>
      </w:r>
      <w:r>
        <w:rPr>
          <w:rFonts w:ascii="宋体" w:hAnsi="宋体" w:cs="宋体" w:eastAsia="宋体" w:hint="default"/>
          <w:sz w:val="21"/>
          <w:szCs w:val="21"/>
        </w:rPr>
        <w:t>东方富海</w:t>
      </w:r>
      <w:r>
        <w:rPr>
          <w:rFonts w:ascii="Times New Roman" w:hAnsi="Times New Roman" w:cs="Times New Roman" w:eastAsia="Times New Roman" w:hint="default"/>
          <w:sz w:val="21"/>
          <w:szCs w:val="21"/>
        </w:rPr>
        <w:t>”</w:t>
      </w:r>
      <w:r>
        <w:rPr>
          <w:rFonts w:ascii="宋体" w:hAnsi="宋体" w:cs="宋体" w:eastAsia="宋体" w:hint="default"/>
          <w:sz w:val="21"/>
          <w:szCs w:val="21"/>
        </w:rPr>
        <w:t>）签订了股权转让协议，以 </w:t>
      </w:r>
      <w:r>
        <w:rPr>
          <w:rFonts w:ascii="Times New Roman" w:hAnsi="Times New Roman" w:cs="Times New Roman" w:eastAsia="Times New Roman" w:hint="default"/>
          <w:sz w:val="21"/>
          <w:szCs w:val="21"/>
        </w:rPr>
        <w:t>400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w:t>
      </w:r>
    </w:p>
    <w:p>
      <w:pPr>
        <w:spacing w:after="0"/>
        <w:jc w:val="left"/>
        <w:rPr>
          <w:rFonts w:ascii="宋体" w:hAnsi="宋体" w:cs="宋体" w:eastAsia="宋体" w:hint="default"/>
          <w:sz w:val="21"/>
          <w:szCs w:val="21"/>
        </w:rPr>
        <w:sectPr>
          <w:pgSz w:w="11910" w:h="16840"/>
          <w:pgMar w:header="747" w:footer="979" w:top="1060" w:bottom="1160" w:left="980" w:right="920"/>
        </w:sectPr>
      </w:pPr>
    </w:p>
    <w:p>
      <w:pPr>
        <w:spacing w:line="240" w:lineRule="auto" w:before="9"/>
        <w:rPr>
          <w:rFonts w:ascii="宋体" w:hAnsi="宋体" w:cs="宋体" w:eastAsia="宋体" w:hint="default"/>
          <w:sz w:val="24"/>
          <w:szCs w:val="24"/>
        </w:rPr>
      </w:pPr>
    </w:p>
    <w:p>
      <w:pPr>
        <w:spacing w:line="256" w:lineRule="auto" w:before="35"/>
        <w:ind w:left="514" w:right="0" w:firstLine="0"/>
        <w:jc w:val="left"/>
        <w:rPr>
          <w:rFonts w:ascii="宋体" w:hAnsi="宋体" w:cs="宋体" w:eastAsia="宋体" w:hint="default"/>
          <w:sz w:val="21"/>
          <w:szCs w:val="21"/>
        </w:rPr>
      </w:pPr>
      <w:r>
        <w:rPr>
          <w:rFonts w:ascii="宋体" w:hAnsi="宋体" w:cs="宋体" w:eastAsia="宋体" w:hint="default"/>
          <w:spacing w:val="-2"/>
          <w:sz w:val="21"/>
          <w:szCs w:val="21"/>
        </w:rPr>
        <w:t>元人民币的价格获得东方富海持有的北京蚁视科技有限公司（</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蚁视科技</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1.0714%</w:t>
      </w:r>
      <w:r>
        <w:rPr>
          <w:rFonts w:ascii="宋体" w:hAnsi="宋体" w:cs="宋体" w:eastAsia="宋体" w:hint="default"/>
          <w:spacing w:val="-2"/>
          <w:sz w:val="21"/>
          <w:szCs w:val="21"/>
        </w:rPr>
        <w:t>的股权，认购蚁视</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科技注册资本 </w:t>
      </w:r>
      <w:r>
        <w:rPr>
          <w:rFonts w:ascii="Times New Roman" w:hAnsi="Times New Roman" w:cs="Times New Roman" w:eastAsia="Times New Roman" w:hint="default"/>
          <w:sz w:val="21"/>
          <w:szCs w:val="21"/>
        </w:rPr>
        <w:t>19.2855 </w:t>
      </w:r>
      <w:r>
        <w:rPr>
          <w:rFonts w:ascii="宋体" w:hAnsi="宋体" w:cs="宋体" w:eastAsia="宋体" w:hint="default"/>
          <w:sz w:val="21"/>
          <w:szCs w:val="21"/>
        </w:rPr>
        <w:t>万元；与萍乡市鑫悦投资咨询合伙企业（有限合伙） （</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鑫悦投资</w:t>
      </w:r>
      <w:r>
        <w:rPr>
          <w:rFonts w:ascii="Times New Roman" w:hAnsi="Times New Roman" w:cs="Times New Roman" w:eastAsia="Times New Roman" w:hint="default"/>
          <w:sz w:val="21"/>
          <w:szCs w:val="21"/>
        </w:rPr>
        <w:t>”</w:t>
      </w:r>
      <w:r>
        <w:rPr>
          <w:rFonts w:ascii="宋体" w:hAnsi="宋体" w:cs="宋体" w:eastAsia="宋体" w:hint="default"/>
          <w:sz w:val="21"/>
          <w:szCs w:val="21"/>
        </w:rPr>
        <w:t>）签订了 股权转让协议，以</w:t>
      </w:r>
      <w:r>
        <w:rPr>
          <w:rFonts w:ascii="宋体" w:hAnsi="宋体" w:cs="宋体" w:eastAsia="宋体" w:hint="default"/>
          <w:spacing w:val="-22"/>
          <w:sz w:val="21"/>
          <w:szCs w:val="21"/>
        </w:rPr>
        <w:t> </w:t>
      </w:r>
      <w:r>
        <w:rPr>
          <w:rFonts w:ascii="Times New Roman" w:hAnsi="Times New Roman" w:cs="Times New Roman" w:eastAsia="Times New Roman" w:hint="default"/>
          <w:sz w:val="21"/>
          <w:szCs w:val="21"/>
        </w:rPr>
        <w:t>600</w:t>
      </w:r>
      <w:r>
        <w:rPr>
          <w:rFonts w:ascii="宋体" w:hAnsi="宋体" w:cs="宋体" w:eastAsia="宋体" w:hint="default"/>
          <w:sz w:val="21"/>
          <w:szCs w:val="21"/>
        </w:rPr>
        <w:t>万元人民币的价格获得鑫悦投资持有的南京睿悦信息技术有限公司（旗下平台 </w:t>
      </w:r>
      <w:r>
        <w:rPr>
          <w:rFonts w:ascii="Times New Roman" w:hAnsi="Times New Roman" w:cs="Times New Roman" w:eastAsia="Times New Roman" w:hint="default"/>
          <w:spacing w:val="-3"/>
          <w:sz w:val="21"/>
          <w:szCs w:val="21"/>
        </w:rPr>
        <w:t>Nibiru</w:t>
      </w:r>
      <w:r>
        <w:rPr>
          <w:rFonts w:ascii="宋体" w:hAnsi="宋体" w:cs="宋体" w:eastAsia="宋体" w:hint="default"/>
          <w:spacing w:val="-3"/>
          <w:sz w:val="21"/>
          <w:szCs w:val="21"/>
        </w:rPr>
        <w:t>游戏，简称</w:t>
      </w:r>
      <w:r>
        <w:rPr>
          <w:rFonts w:ascii="Times New Roman" w:hAnsi="Times New Roman" w:cs="Times New Roman" w:eastAsia="Times New Roman" w:hint="default"/>
          <w:spacing w:val="-3"/>
          <w:sz w:val="21"/>
          <w:szCs w:val="21"/>
        </w:rPr>
        <w:t>“Nibiru”</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1.6630%</w:t>
      </w:r>
      <w:r>
        <w:rPr>
          <w:rFonts w:ascii="宋体" w:hAnsi="宋体" w:cs="宋体" w:eastAsia="宋体" w:hint="default"/>
          <w:spacing w:val="-3"/>
          <w:sz w:val="21"/>
          <w:szCs w:val="21"/>
        </w:rPr>
        <w:t>的股权，认购 </w:t>
      </w:r>
      <w:r>
        <w:rPr>
          <w:rFonts w:ascii="Times New Roman" w:hAnsi="Times New Roman" w:cs="Times New Roman" w:eastAsia="Times New Roman" w:hint="default"/>
          <w:sz w:val="21"/>
          <w:szCs w:val="21"/>
        </w:rPr>
        <w:t>Nibiru </w:t>
      </w:r>
      <w:r>
        <w:rPr>
          <w:rFonts w:ascii="宋体" w:hAnsi="宋体" w:cs="宋体" w:eastAsia="宋体" w:hint="default"/>
          <w:sz w:val="21"/>
          <w:szCs w:val="21"/>
        </w:rPr>
        <w:t>注册资本 </w:t>
      </w:r>
      <w:r>
        <w:rPr>
          <w:rFonts w:ascii="Times New Roman" w:hAnsi="Times New Roman" w:cs="Times New Roman" w:eastAsia="Times New Roman" w:hint="default"/>
          <w:sz w:val="21"/>
          <w:szCs w:val="21"/>
        </w:rPr>
        <w:t>1.3889</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万元。因鑫悦投资和东方富</w:t>
      </w:r>
      <w:r>
        <w:rPr>
          <w:rFonts w:ascii="宋体" w:hAnsi="宋体" w:cs="宋体" w:eastAsia="宋体" w:hint="default"/>
          <w:w w:val="99"/>
          <w:sz w:val="21"/>
          <w:szCs w:val="21"/>
        </w:rPr>
        <w:t> </w:t>
      </w:r>
      <w:r>
        <w:rPr>
          <w:rFonts w:ascii="宋体" w:hAnsi="宋体" w:cs="宋体" w:eastAsia="宋体" w:hint="default"/>
          <w:sz w:val="21"/>
          <w:szCs w:val="21"/>
        </w:rPr>
        <w:t>海的执行事务合伙人委派代表陈玮为公司董事，本次交易构成关联交易。</w:t>
      </w:r>
    </w:p>
    <w:p>
      <w:pPr>
        <w:spacing w:line="256" w:lineRule="auto" w:before="142"/>
        <w:ind w:left="514" w:right="189" w:hanging="360"/>
        <w:jc w:val="both"/>
        <w:rPr>
          <w:rFonts w:ascii="宋体" w:hAnsi="宋体" w:cs="宋体" w:eastAsia="宋体" w:hint="default"/>
          <w:sz w:val="21"/>
          <w:szCs w:val="21"/>
        </w:rPr>
      </w:pPr>
      <w:r>
        <w:rPr>
          <w:rFonts w:ascii="宋体" w:hAnsi="宋体" w:cs="宋体" w:eastAsia="宋体" w:hint="default"/>
          <w:sz w:val="21"/>
          <w:szCs w:val="21"/>
        </w:rPr>
        <w:t>12. </w:t>
      </w:r>
      <w:r>
        <w:rPr>
          <w:rFonts w:ascii="Times New Roman" w:hAnsi="Times New Roman" w:cs="Times New Roman" w:eastAsia="Times New Roman" w:hint="default"/>
          <w:sz w:val="21"/>
          <w:szCs w:val="21"/>
        </w:rPr>
        <w:t>2016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日以公司全资子公司香港昆仑万维股份有限公司（以下简称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香港昆仑</w:t>
      </w:r>
      <w:r>
        <w:rPr>
          <w:rFonts w:ascii="Times New Roman" w:hAnsi="Times New Roman" w:cs="Times New Roman" w:eastAsia="Times New Roman" w:hint="default"/>
          <w:sz w:val="21"/>
          <w:szCs w:val="21"/>
        </w:rPr>
        <w:t>”</w:t>
      </w:r>
      <w:r>
        <w:rPr>
          <w:rFonts w:ascii="宋体" w:hAnsi="宋体" w:cs="宋体" w:eastAsia="宋体" w:hint="default"/>
          <w:sz w:val="21"/>
          <w:szCs w:val="21"/>
        </w:rPr>
        <w:t>）为投资主体 为投资主体签署了《股东协议》。根据股东协议，香港昆仑出资叁佰万美金（</w:t>
      </w:r>
      <w:r>
        <w:rPr>
          <w:rFonts w:ascii="Times New Roman" w:hAnsi="Times New Roman" w:cs="Times New Roman" w:eastAsia="Times New Roman" w:hint="default"/>
          <w:sz w:val="21"/>
          <w:szCs w:val="21"/>
        </w:rPr>
        <w:t>3,000,000USD</w:t>
      </w:r>
      <w:r>
        <w:rPr>
          <w:rFonts w:ascii="宋体" w:hAnsi="宋体" w:cs="宋体" w:eastAsia="宋体" w:hint="default"/>
          <w:sz w:val="21"/>
          <w:szCs w:val="21"/>
        </w:rPr>
        <w:t>）与其他 方共同成立 </w:t>
      </w:r>
      <w:r>
        <w:rPr>
          <w:rFonts w:ascii="Times New Roman" w:hAnsi="Times New Roman" w:cs="Times New Roman" w:eastAsia="Times New Roman" w:hint="default"/>
          <w:sz w:val="21"/>
          <w:szCs w:val="21"/>
        </w:rPr>
        <w:t>Kunlun AI</w:t>
      </w:r>
      <w:r>
        <w:rPr>
          <w:rFonts w:ascii="宋体" w:hAnsi="宋体" w:cs="宋体" w:eastAsia="宋体" w:hint="default"/>
          <w:sz w:val="21"/>
          <w:szCs w:val="21"/>
        </w:rPr>
        <w:t>（昆仑人工智能科技公司），总股本 </w:t>
      </w:r>
      <w:r>
        <w:rPr>
          <w:rFonts w:ascii="Times New Roman" w:hAnsi="Times New Roman" w:cs="Times New Roman" w:eastAsia="Times New Roman" w:hint="default"/>
          <w:sz w:val="21"/>
          <w:szCs w:val="21"/>
        </w:rPr>
        <w:t>1 </w:t>
      </w:r>
      <w:r>
        <w:rPr>
          <w:rFonts w:ascii="宋体" w:hAnsi="宋体" w:cs="宋体" w:eastAsia="宋体" w:hint="default"/>
          <w:sz w:val="21"/>
          <w:szCs w:val="21"/>
        </w:rPr>
        <w:t>亿股，香港昆仑占比</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w:t>
      </w:r>
    </w:p>
    <w:p>
      <w:pPr>
        <w:spacing w:line="256" w:lineRule="auto" w:before="125"/>
        <w:ind w:left="514" w:right="153" w:hanging="360"/>
        <w:jc w:val="both"/>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60"/>
          <w:sz w:val="21"/>
          <w:szCs w:val="21"/>
        </w:rPr>
        <w:t> </w:t>
      </w:r>
      <w:r>
        <w:rPr>
          <w:rFonts w:ascii="宋体" w:hAnsi="宋体" w:cs="宋体" w:eastAsia="宋体" w:hint="default"/>
          <w:spacing w:val="-2"/>
          <w:sz w:val="21"/>
          <w:szCs w:val="21"/>
        </w:rPr>
        <w:t>北京昆仑万维科技股份有限公司（以下简称</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公司</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）拟以</w:t>
      </w:r>
      <w:r>
        <w:rPr>
          <w:rFonts w:ascii="Times New Roman" w:hAnsi="Times New Roman" w:cs="Times New Roman" w:eastAsia="Times New Roman" w:hint="default"/>
          <w:spacing w:val="-2"/>
          <w:sz w:val="21"/>
          <w:szCs w:val="21"/>
        </w:rPr>
        <w:t>1,127,230,993</w:t>
      </w:r>
      <w:r>
        <w:rPr>
          <w:rFonts w:ascii="宋体" w:hAnsi="宋体" w:cs="宋体" w:eastAsia="宋体" w:hint="default"/>
          <w:spacing w:val="-2"/>
          <w:sz w:val="21"/>
          <w:szCs w:val="21"/>
        </w:rPr>
        <w:t>股为基数，向全体股东每</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股派 </w:t>
      </w:r>
      <w:r>
        <w:rPr>
          <w:rFonts w:ascii="宋体" w:hAnsi="宋体" w:cs="宋体" w:eastAsia="宋体" w:hint="default"/>
          <w:sz w:val="21"/>
          <w:szCs w:val="21"/>
        </w:rPr>
        <w:t>发现金红利</w:t>
      </w:r>
      <w:r>
        <w:rPr>
          <w:rFonts w:ascii="Times New Roman" w:hAnsi="Times New Roman" w:cs="Times New Roman" w:eastAsia="Times New Roman" w:hint="default"/>
          <w:sz w:val="21"/>
          <w:szCs w:val="21"/>
        </w:rPr>
        <w:t>1.05</w:t>
      </w:r>
      <w:r>
        <w:rPr>
          <w:rFonts w:ascii="宋体" w:hAnsi="宋体" w:cs="宋体" w:eastAsia="宋体" w:hint="default"/>
          <w:sz w:val="21"/>
          <w:szCs w:val="21"/>
        </w:rPr>
        <w:t>元（含税），共计分配现金红利</w:t>
      </w:r>
      <w:r>
        <w:rPr>
          <w:rFonts w:ascii="Times New Roman" w:hAnsi="Times New Roman" w:cs="Times New Roman" w:eastAsia="Times New Roman" w:hint="default"/>
          <w:sz w:val="21"/>
          <w:szCs w:val="21"/>
        </w:rPr>
        <w:t>118,359,254.27</w:t>
      </w:r>
      <w:r>
        <w:rPr>
          <w:rFonts w:ascii="宋体" w:hAnsi="宋体" w:cs="宋体" w:eastAsia="宋体" w:hint="default"/>
          <w:sz w:val="21"/>
          <w:szCs w:val="21"/>
        </w:rPr>
        <w:t>元。本分配预案已经公司第二届董事会 第二十九次会议以及公司第二届监事会第十五次会议审议通过，尚需提交公司股东大会审议。</w:t>
      </w:r>
    </w:p>
    <w:p>
      <w:pPr>
        <w:spacing w:line="240" w:lineRule="auto" w:before="2"/>
        <w:rPr>
          <w:rFonts w:ascii="宋体" w:hAnsi="宋体" w:cs="宋体" w:eastAsia="宋体" w:hint="default"/>
          <w:sz w:val="17"/>
          <w:szCs w:val="17"/>
        </w:rPr>
      </w:pPr>
    </w:p>
    <w:p>
      <w:pPr>
        <w:pStyle w:val="Heading2"/>
        <w:spacing w:line="240" w:lineRule="auto"/>
        <w:ind w:right="0"/>
        <w:jc w:val="left"/>
        <w:rPr>
          <w:b w:val="0"/>
          <w:bCs w:val="0"/>
        </w:rPr>
      </w:pPr>
      <w:r>
        <w:rPr/>
        <w:t>十六、其他重要事项</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、前期会计差错更正</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）追溯重述法</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29" w:right="111"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）未来适用法</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6"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7"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7"/>
        <w:rPr>
          <w:rFonts w:ascii="Microsoft JhengHei" w:hAnsi="Microsoft JhengHei" w:cs="Microsoft JhengHei" w:eastAsia="Microsoft JhengHei" w:hint="default"/>
          <w:b/>
          <w:bCs/>
          <w:sz w:val="14"/>
          <w:szCs w:val="1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、债务重组</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、资产置换</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）非货币性资产交换</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）其他资产置换</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、年金计划</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、终止经营</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9"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7" w:right="47"/>
              <w:jc w:val="center"/>
              <w:rPr>
                <w:rFonts w:ascii="宋体" w:hAnsi="宋体" w:cs="宋体" w:eastAsia="宋体" w:hint="default"/>
                <w:sz w:val="18"/>
                <w:szCs w:val="18"/>
              </w:rPr>
            </w:pPr>
            <w:r>
              <w:rPr>
                <w:rFonts w:ascii="宋体" w:hAnsi="宋体" w:cs="宋体" w:eastAsia="宋体" w:hint="default"/>
                <w:sz w:val="18"/>
                <w:szCs w:val="18"/>
              </w:rPr>
              <w:t>归属于母公司所 有者的终止经营 利润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、分部信息</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）报告分部的确定依据与会计政策</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8"/>
          <w:szCs w:val="18"/>
        </w:rPr>
      </w:pPr>
    </w:p>
    <w:p>
      <w:pPr>
        <w:pStyle w:val="BodyText"/>
        <w:spacing w:line="312" w:lineRule="exact"/>
        <w:ind w:right="232" w:firstLine="480"/>
        <w:jc w:val="both"/>
      </w:pPr>
      <w:r>
        <w:rPr>
          <w:spacing w:val="-3"/>
        </w:rPr>
        <w:t>根据本公司的内部组织结构、管理要求及内部报告制度确定了</w:t>
      </w:r>
      <w:r>
        <w:rPr>
          <w:rFonts w:ascii="Times New Roman" w:hAnsi="Times New Roman" w:cs="Times New Roman" w:eastAsia="Times New Roman" w:hint="default"/>
          <w:spacing w:val="-3"/>
        </w:rPr>
        <w:t>2</w:t>
      </w:r>
      <w:r>
        <w:rPr>
          <w:spacing w:val="-3"/>
        </w:rPr>
        <w:t>个报告分部，分别为：产</w:t>
      </w:r>
      <w:r>
        <w:rPr/>
        <w:t> 品分布和公司地区分布。本公司的各个报告分部分别提供不同的产品或服务，或在不同地区 从事经营活动。由于每个分部需要不同的技术或市场策略，本公司管理层分别单独管理各个 报告分部的经营活动，定期评价这些报告分部的经营成果，以决定向其分配资源及评价其业 绩。</w:t>
      </w:r>
    </w:p>
    <w:p>
      <w:pPr>
        <w:pStyle w:val="BodyText"/>
        <w:spacing w:line="312" w:lineRule="exact"/>
        <w:ind w:right="232" w:firstLine="384"/>
        <w:jc w:val="both"/>
      </w:pPr>
      <w:r>
        <w:rPr>
          <w:spacing w:val="-3"/>
        </w:rPr>
        <w:t>分部间转移价格按照实际交易价格为基础确定，间接归属于各分部的费用按照人员或资产</w:t>
      </w:r>
      <w:r>
        <w:rPr/>
        <w:t> 占用比例在分部之间进行分配。资产根据分部的经营以及资产的所在位置进行分配，分部负 债包括分部经营活动形成的可归属于该分部的负债。如果多个经营分部共同承担的负债相关 的费用分配给这些经营分部，该共同承担的负债也分配给这些经营分部。</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7"/>
          <w:szCs w:val="17"/>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）报告分部的财务信息</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2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0"/>
              <w:jc w:val="right"/>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境内公司</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境外公司</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right="801"/>
              <w:jc w:val="right"/>
              <w:rPr>
                <w:rFonts w:ascii="宋体" w:hAnsi="宋体" w:cs="宋体" w:eastAsia="宋体" w:hint="default"/>
                <w:sz w:val="18"/>
                <w:szCs w:val="18"/>
              </w:rPr>
            </w:pPr>
            <w:r>
              <w:rPr>
                <w:rFonts w:ascii="宋体" w:hAnsi="宋体" w:cs="宋体" w:eastAsia="宋体" w:hint="default"/>
                <w:sz w:val="18"/>
                <w:szCs w:val="18"/>
              </w:rPr>
              <w:t>主营业务收入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465,485,435.47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1,323,655,129.05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1,789,140,564.52</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right="801"/>
              <w:jc w:val="right"/>
              <w:rPr>
                <w:rFonts w:ascii="宋体" w:hAnsi="宋体" w:cs="宋体" w:eastAsia="宋体" w:hint="default"/>
                <w:sz w:val="18"/>
                <w:szCs w:val="18"/>
              </w:rPr>
            </w:pPr>
            <w:r>
              <w:rPr>
                <w:rFonts w:ascii="宋体" w:hAnsi="宋体" w:cs="宋体" w:eastAsia="宋体" w:hint="default"/>
                <w:sz w:val="18"/>
                <w:szCs w:val="18"/>
              </w:rPr>
              <w:t>主营业务成本</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228,086,767.37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470,528,573.56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698,615,340.93</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）公司无报告分部的，或者不能披露各报告分部的资产总额和负债总额的，应说明原因</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）其他说明</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、其他对投资者决策有影响的重要交易和事项</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pStyle w:val="BodyText"/>
        <w:spacing w:line="322" w:lineRule="exact"/>
        <w:ind w:right="0"/>
        <w:jc w:val="left"/>
      </w:pPr>
      <w:r>
        <w:rPr>
          <w:rFonts w:ascii="Times New Roman" w:hAnsi="Times New Roman" w:cs="Times New Roman" w:eastAsia="Times New Roman" w:hint="default"/>
        </w:rPr>
        <w:t>1.</w:t>
      </w:r>
      <w:r>
        <w:rPr/>
        <w:t>本期处置的重要投资情况如下：</w:t>
      </w:r>
    </w:p>
    <w:p>
      <w:pPr>
        <w:pStyle w:val="BodyText"/>
        <w:spacing w:line="228" w:lineRule="auto" w:before="4"/>
        <w:ind w:left="374" w:right="112"/>
        <w:jc w:val="left"/>
      </w:pP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月，公司将持有东方富海（上海）创业投资企业（有限合伙）</w:t>
      </w:r>
      <w:r>
        <w:rPr>
          <w:rFonts w:ascii="Times New Roman" w:hAnsi="Times New Roman" w:cs="Times New Roman" w:eastAsia="Times New Roman" w:hint="default"/>
        </w:rPr>
        <w:t>13.11%</w:t>
      </w:r>
      <w:r>
        <w:rPr/>
        <w:t>、</w:t>
      </w:r>
      <w:r>
        <w:rPr>
          <w:rFonts w:ascii="Times New Roman" w:hAnsi="Times New Roman" w:cs="Times New Roman" w:eastAsia="Times New Roman" w:hint="default"/>
        </w:rPr>
        <w:t>5.87%</w:t>
      </w:r>
      <w:r>
        <w:rPr/>
        <w:t>的股 权分别以</w:t>
      </w:r>
      <w:r>
        <w:rPr>
          <w:rFonts w:ascii="Times New Roman" w:hAnsi="Times New Roman" w:cs="Times New Roman" w:eastAsia="Times New Roman" w:hint="default"/>
        </w:rPr>
        <w:t>3,800</w:t>
      </w:r>
      <w:r>
        <w:rPr/>
        <w:t>万元、</w:t>
      </w:r>
      <w:r>
        <w:rPr>
          <w:rFonts w:ascii="Times New Roman" w:hAnsi="Times New Roman" w:cs="Times New Roman" w:eastAsia="Times New Roman" w:hint="default"/>
        </w:rPr>
        <w:t>1700</w:t>
      </w:r>
      <w:r>
        <w:rPr/>
        <w:t>万元转让给广州偶玩信息科技合伙企业（有限合伙）和珠海富海 铧创信息技术创业投资基金（有限合伙），处置损益为</w:t>
      </w:r>
      <w:r>
        <w:rPr>
          <w:rFonts w:ascii="Times New Roman" w:hAnsi="Times New Roman" w:cs="Times New Roman" w:eastAsia="Times New Roman" w:hint="default"/>
        </w:rPr>
        <w:t>30,035,606.00</w:t>
      </w:r>
      <w:r>
        <w:rPr/>
        <w:t>元。本期已收回全部 转让价款。 </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月，公司将持有的和力辰光国际文化传媒（北京）有限公司</w:t>
      </w:r>
      <w:r>
        <w:rPr>
          <w:rFonts w:ascii="Times New Roman" w:hAnsi="Times New Roman" w:cs="Times New Roman" w:eastAsia="Times New Roman" w:hint="default"/>
        </w:rPr>
        <w:t>3%</w:t>
      </w:r>
      <w:r>
        <w:rPr/>
        <w:t>的股权份额（实缴 出资人民币</w:t>
      </w:r>
      <w:r>
        <w:rPr>
          <w:rFonts w:ascii="Times New Roman" w:hAnsi="Times New Roman" w:cs="Times New Roman" w:eastAsia="Times New Roman" w:hint="default"/>
        </w:rPr>
        <w:t>6,000</w:t>
      </w:r>
      <w:r>
        <w:rPr/>
        <w:t>万元）及对应的财产权益以</w:t>
      </w:r>
      <w:r>
        <w:rPr>
          <w:rFonts w:ascii="Times New Roman" w:hAnsi="Times New Roman" w:cs="Times New Roman" w:eastAsia="Times New Roman" w:hint="default"/>
        </w:rPr>
        <w:t>7,800</w:t>
      </w:r>
      <w:r>
        <w:rPr/>
        <w:t>万元全部转让给珠海富海、扬州市富海永 </w:t>
      </w:r>
      <w:r>
        <w:rPr>
          <w:spacing w:val="-2"/>
        </w:rPr>
        <w:t>成股权投资合伙企业（有限合伙）、上海万盛投资管理有限公司及珠海铧盈投资有限公司，</w:t>
      </w:r>
      <w:r>
        <w:rPr>
          <w:spacing w:val="-106"/>
        </w:rPr>
        <w:t> </w:t>
      </w:r>
      <w:r>
        <w:rPr>
          <w:spacing w:val="-106"/>
        </w:rPr>
      </w:r>
      <w:r>
        <w:rPr/>
        <w:t>处置损益为</w:t>
      </w:r>
      <w:r>
        <w:rPr>
          <w:rFonts w:ascii="Times New Roman" w:hAnsi="Times New Roman" w:cs="Times New Roman" w:eastAsia="Times New Roman" w:hint="default"/>
        </w:rPr>
        <w:t>18,000,000.00</w:t>
      </w:r>
      <w:r>
        <w:rPr/>
        <w:t>元。本期已收回全部转让价款。</w:t>
      </w:r>
    </w:p>
    <w:p>
      <w:pPr>
        <w:pStyle w:val="BodyText"/>
        <w:spacing w:line="312" w:lineRule="exact" w:before="13"/>
        <w:ind w:left="374" w:right="230"/>
        <w:jc w:val="both"/>
      </w:pP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月，公司将持有的</w:t>
      </w:r>
      <w:r>
        <w:rPr>
          <w:rFonts w:ascii="Times New Roman" w:hAnsi="Times New Roman" w:cs="Times New Roman" w:eastAsia="Times New Roman" w:hint="default"/>
        </w:rPr>
        <w:t>Source</w:t>
      </w:r>
      <w:r>
        <w:rPr>
          <w:rFonts w:ascii="Times New Roman" w:hAnsi="Times New Roman" w:cs="Times New Roman" w:eastAsia="Times New Roman" w:hint="default"/>
          <w:spacing w:val="-13"/>
        </w:rPr>
        <w:t> </w:t>
      </w:r>
      <w:r>
        <w:rPr>
          <w:rFonts w:ascii="Times New Roman" w:hAnsi="Times New Roman" w:cs="Times New Roman" w:eastAsia="Times New Roman" w:hint="default"/>
        </w:rPr>
        <w:t>Code</w:t>
      </w:r>
      <w:r>
        <w:rPr>
          <w:rFonts w:ascii="Times New Roman" w:hAnsi="Times New Roman" w:cs="Times New Roman" w:eastAsia="Times New Roman" w:hint="default"/>
          <w:spacing w:val="-12"/>
        </w:rPr>
        <w:t> </w:t>
      </w:r>
      <w:r>
        <w:rPr>
          <w:rFonts w:ascii="Times New Roman" w:hAnsi="Times New Roman" w:cs="Times New Roman" w:eastAsia="Times New Roman" w:hint="default"/>
        </w:rPr>
        <w:t>QFQ</w:t>
      </w:r>
      <w:r>
        <w:rPr>
          <w:rFonts w:ascii="Times New Roman" w:hAnsi="Times New Roman" w:cs="Times New Roman" w:eastAsia="Times New Roman" w:hint="default"/>
          <w:spacing w:val="-10"/>
        </w:rPr>
        <w:t> </w:t>
      </w:r>
      <w:r>
        <w:rPr>
          <w:rFonts w:ascii="Times New Roman" w:hAnsi="Times New Roman" w:cs="Times New Roman" w:eastAsia="Times New Roman" w:hint="default"/>
        </w:rPr>
        <w:t>Linkage</w:t>
      </w:r>
      <w:r>
        <w:rPr>
          <w:rFonts w:ascii="Times New Roman" w:hAnsi="Times New Roman" w:cs="Times New Roman" w:eastAsia="Times New Roman" w:hint="default"/>
          <w:spacing w:val="-12"/>
        </w:rPr>
        <w:t> </w:t>
      </w:r>
      <w:r>
        <w:rPr>
          <w:rFonts w:ascii="Times New Roman" w:hAnsi="Times New Roman" w:cs="Times New Roman" w:eastAsia="Times New Roman" w:hint="default"/>
        </w:rPr>
        <w:t>L.P.</w:t>
      </w:r>
      <w:r>
        <w:rPr/>
        <w:t>的</w:t>
      </w:r>
      <w:r>
        <w:rPr>
          <w:rFonts w:ascii="Times New Roman" w:hAnsi="Times New Roman" w:cs="Times New Roman" w:eastAsia="Times New Roman" w:hint="default"/>
        </w:rPr>
        <w:t>60%</w:t>
      </w:r>
      <w:r>
        <w:rPr/>
        <w:t>股权以</w:t>
      </w:r>
      <w:r>
        <w:rPr>
          <w:rFonts w:ascii="Times New Roman" w:hAnsi="Times New Roman" w:cs="Times New Roman" w:eastAsia="Times New Roman" w:hint="default"/>
        </w:rPr>
        <w:t>30,186,801.49</w:t>
      </w:r>
      <w:r>
        <w:rPr/>
        <w:t>美元价 </w:t>
      </w:r>
      <w:r>
        <w:rPr>
          <w:spacing w:val="-1"/>
        </w:rPr>
        <w:t>款转让给</w:t>
      </w:r>
      <w:r>
        <w:rPr>
          <w:rFonts w:ascii="Times New Roman" w:hAnsi="Times New Roman" w:cs="Times New Roman" w:eastAsia="Times New Roman" w:hint="default"/>
          <w:spacing w:val="-1"/>
        </w:rPr>
        <w:t>kunlunkemilimited</w:t>
      </w:r>
      <w:r>
        <w:rPr>
          <w:spacing w:val="-1"/>
        </w:rPr>
        <w:t>，取得投资收益</w:t>
      </w:r>
      <w:r>
        <w:rPr>
          <w:rFonts w:ascii="Times New Roman" w:hAnsi="Times New Roman" w:cs="Times New Roman" w:eastAsia="Times New Roman" w:hint="default"/>
          <w:spacing w:val="-1"/>
        </w:rPr>
        <w:t>113,310,672.88</w:t>
      </w:r>
      <w:r>
        <w:rPr>
          <w:spacing w:val="-1"/>
        </w:rPr>
        <w:t>元。转让价款于</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3</w:t>
      </w:r>
      <w:r>
        <w:rPr>
          <w:spacing w:val="-1"/>
        </w:rPr>
        <w:t>月全部收</w:t>
      </w:r>
      <w:r>
        <w:rPr>
          <w:spacing w:val="-95"/>
        </w:rPr>
        <w:t> </w:t>
      </w:r>
      <w:r>
        <w:rPr/>
        <w:t>回。</w:t>
      </w:r>
    </w:p>
    <w:p>
      <w:pPr>
        <w:spacing w:after="0" w:line="312" w:lineRule="exact"/>
        <w:jc w:val="both"/>
        <w:sectPr>
          <w:pgSz w:w="11910" w:h="16840"/>
          <w:pgMar w:header="747" w:footer="979" w:top="1060" w:bottom="1160" w:left="980" w:right="900"/>
        </w:sectPr>
      </w:pPr>
    </w:p>
    <w:p>
      <w:pPr>
        <w:spacing w:line="240" w:lineRule="auto" w:before="7"/>
        <w:rPr>
          <w:rFonts w:ascii="宋体" w:hAnsi="宋体" w:cs="宋体" w:eastAsia="宋体" w:hint="default"/>
          <w:sz w:val="23"/>
          <w:szCs w:val="23"/>
        </w:rPr>
      </w:pPr>
    </w:p>
    <w:p>
      <w:pPr>
        <w:pStyle w:val="BodyText"/>
        <w:spacing w:line="322" w:lineRule="exact" w:before="26"/>
        <w:ind w:right="0"/>
        <w:jc w:val="both"/>
      </w:pPr>
      <w:r>
        <w:rPr>
          <w:rFonts w:ascii="Times New Roman" w:hAnsi="Times New Roman" w:cs="Times New Roman" w:eastAsia="Times New Roman" w:hint="default"/>
        </w:rPr>
        <w:t>2.</w:t>
      </w:r>
      <w:r>
        <w:rPr/>
        <w:t>本期以过桥贷款协议形式支付投资款</w:t>
      </w:r>
      <w:r>
        <w:rPr>
          <w:rFonts w:ascii="Times New Roman" w:hAnsi="Times New Roman" w:cs="Times New Roman" w:eastAsia="Times New Roman" w:hint="default"/>
        </w:rPr>
        <w:t>14,000.00</w:t>
      </w:r>
      <w:r>
        <w:rPr/>
        <w:t>万元，期中，上海自友投资管理有限公司</w:t>
      </w:r>
    </w:p>
    <w:p>
      <w:pPr>
        <w:pStyle w:val="BodyText"/>
        <w:spacing w:line="230" w:lineRule="auto" w:before="1"/>
        <w:ind w:right="150"/>
        <w:jc w:val="both"/>
      </w:pPr>
      <w:r>
        <w:rPr>
          <w:rFonts w:ascii="Times New Roman" w:hAnsi="Times New Roman" w:cs="Times New Roman" w:eastAsia="Times New Roman" w:hint="default"/>
        </w:rPr>
        <w:t>6,000.00</w:t>
      </w:r>
      <w:r>
        <w:rPr/>
        <w:t>万元，</w:t>
      </w:r>
      <w:r>
        <w:rPr>
          <w:rFonts w:ascii="Times New Roman" w:hAnsi="Times New Roman" w:cs="Times New Roman" w:eastAsia="Times New Roman" w:hint="default"/>
        </w:rPr>
        <w:t>4</w:t>
      </w:r>
      <w:r>
        <w:rPr/>
        <w:t>个月内免息；聚鲜（北</w:t>
      </w:r>
      <w:r>
        <w:rPr>
          <w:spacing w:val="-79"/>
        </w:rPr>
        <w:t> </w:t>
      </w:r>
      <w:r>
        <w:rPr/>
        <w:t>京）科技有限公司</w:t>
      </w:r>
      <w:r>
        <w:rPr>
          <w:rFonts w:ascii="Times New Roman" w:hAnsi="Times New Roman" w:cs="Times New Roman" w:eastAsia="Times New Roman" w:hint="default"/>
        </w:rPr>
        <w:t>2,000.00</w:t>
      </w:r>
      <w:r>
        <w:rPr/>
        <w:t>万元，</w:t>
      </w:r>
      <w:r>
        <w:rPr>
          <w:rFonts w:ascii="Times New Roman" w:hAnsi="Times New Roman" w:cs="Times New Roman" w:eastAsia="Times New Roman" w:hint="default"/>
        </w:rPr>
        <w:t>6</w:t>
      </w:r>
      <w:r>
        <w:rPr/>
        <w:t>个月内免息；北京 和谐爱奇投资中心（有限合伙）</w:t>
      </w:r>
      <w:r>
        <w:rPr>
          <w:rFonts w:ascii="Times New Roman" w:hAnsi="Times New Roman" w:cs="Times New Roman" w:eastAsia="Times New Roman" w:hint="default"/>
        </w:rPr>
        <w:t>6,000.00</w:t>
      </w:r>
      <w:r>
        <w:rPr/>
        <w:t>万元，</w:t>
      </w:r>
      <w:r>
        <w:rPr>
          <w:rFonts w:ascii="Times New Roman" w:hAnsi="Times New Roman" w:cs="Times New Roman" w:eastAsia="Times New Roman" w:hint="default"/>
        </w:rPr>
        <w:t>4</w:t>
      </w:r>
      <w:r>
        <w:rPr/>
        <w:t>个月内免息。若被投资单位完成融资，支付 的款项转为投资款，未完成融资，则所支付的款项退还。截止审计报告日，上述款项已全部 退还。</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6"/>
          <w:szCs w:val="16"/>
        </w:rPr>
      </w:pPr>
    </w:p>
    <w:p>
      <w:pPr>
        <w:pStyle w:val="Heading2"/>
        <w:spacing w:line="240" w:lineRule="auto"/>
        <w:ind w:right="0"/>
        <w:jc w:val="both"/>
        <w:rPr>
          <w:b w:val="0"/>
          <w:bCs w:val="0"/>
        </w:rPr>
      </w:pPr>
      <w:r>
        <w:rPr/>
        <w:t>十七、母公司财务报表主要项目注释</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、应收账款</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）应收账款分类披露</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2"/>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8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left"/>
              <w:rPr>
                <w:rFonts w:ascii="Times New Roman" w:hAnsi="Times New Roman" w:cs="Times New Roman" w:eastAsia="Times New Roman" w:hint="default"/>
                <w:sz w:val="18"/>
                <w:szCs w:val="18"/>
              </w:rPr>
            </w:pPr>
            <w:r>
              <w:rPr>
                <w:rFonts w:ascii="Times New Roman"/>
                <w:sz w:val="18"/>
              </w:rPr>
              <w:t>20,697,3</w:t>
            </w:r>
          </w:p>
          <w:p>
            <w:pPr>
              <w:pStyle w:val="TableParagraph"/>
              <w:spacing w:line="240" w:lineRule="auto" w:before="105"/>
              <w:ind w:left="325" w:right="0"/>
              <w:jc w:val="left"/>
              <w:rPr>
                <w:rFonts w:ascii="Times New Roman" w:hAnsi="Times New Roman" w:cs="Times New Roman" w:eastAsia="Times New Roman" w:hint="default"/>
                <w:sz w:val="18"/>
                <w:szCs w:val="18"/>
              </w:rPr>
            </w:pPr>
            <w:r>
              <w:rPr>
                <w:rFonts w:ascii="Times New Roman"/>
                <w:sz w:val="18"/>
              </w:rPr>
              <w:t>55.52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714,490.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19,982,86</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5.13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21,619,</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200.03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566,244.0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21,052,956.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9" w:right="0"/>
              <w:jc w:val="left"/>
              <w:rPr>
                <w:rFonts w:ascii="Times New Roman" w:hAnsi="Times New Roman" w:cs="Times New Roman" w:eastAsia="Times New Roman" w:hint="default"/>
                <w:sz w:val="18"/>
                <w:szCs w:val="18"/>
              </w:rPr>
            </w:pPr>
            <w:r>
              <w:rPr>
                <w:rFonts w:ascii="Times New Roman"/>
                <w:sz w:val="18"/>
              </w:rPr>
              <w:t>20,697,3</w:t>
            </w:r>
          </w:p>
          <w:p>
            <w:pPr>
              <w:pStyle w:val="TableParagraph"/>
              <w:spacing w:line="240" w:lineRule="auto" w:before="105"/>
              <w:ind w:left="325" w:right="0"/>
              <w:jc w:val="left"/>
              <w:rPr>
                <w:rFonts w:ascii="Times New Roman" w:hAnsi="Times New Roman" w:cs="Times New Roman" w:eastAsia="Times New Roman" w:hint="default"/>
                <w:sz w:val="18"/>
                <w:szCs w:val="18"/>
              </w:rPr>
            </w:pPr>
            <w:r>
              <w:rPr>
                <w:rFonts w:ascii="Times New Roman"/>
                <w:sz w:val="18"/>
              </w:rPr>
              <w:t>55.52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714,490.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19,982,86</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5.13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21,619,</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200.03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566,244.0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21,052,956.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98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38" w:lineRule="auto" w:before="117"/>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组合中，按账龄分析法计提坏账准备的应收账款：</w:t>
      </w:r>
    </w:p>
    <w:p>
      <w:pPr>
        <w:spacing w:before="42"/>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295" w:space="4535"/>
            <w:col w:w="112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206" w:hRule="exact"/>
        </w:trPr>
        <w:tc>
          <w:tcPr>
            <w:tcW w:w="24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4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494"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6" w:hRule="exact"/>
        </w:trPr>
        <w:tc>
          <w:tcPr>
            <w:tcW w:w="2494"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424,546.48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21,227.32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91,846.29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9,184.63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20,105.39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4,021.08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680,057.36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680,057.36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1,216,555.52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714,490.39</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51"/>
        <w:ind w:left="154" w:right="545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组合中，采用余额百分比法计提坏账准备的应收账款：</w:t>
      </w:r>
    </w:p>
    <w:p>
      <w:pPr>
        <w:spacing w:after="0" w:line="360" w:lineRule="auto"/>
        <w:jc w:val="left"/>
        <w:rPr>
          <w:rFonts w:ascii="宋体" w:hAnsi="宋体" w:cs="宋体" w:eastAsia="宋体" w:hint="default"/>
          <w:sz w:val="18"/>
          <w:szCs w:val="18"/>
        </w:rPr>
        <w:sectPr>
          <w:type w:val="continuous"/>
          <w:pgSz w:w="11910" w:h="16840"/>
          <w:pgMar w:top="1060" w:bottom="1160" w:left="980" w:right="980"/>
        </w:sectPr>
      </w:pPr>
    </w:p>
    <w:p>
      <w:pPr>
        <w:spacing w:line="240" w:lineRule="auto" w:before="13"/>
        <w:rPr>
          <w:rFonts w:ascii="宋体" w:hAnsi="宋体" w:cs="宋体" w:eastAsia="宋体" w:hint="default"/>
          <w:sz w:val="25"/>
          <w:szCs w:val="25"/>
        </w:rPr>
      </w:pPr>
    </w:p>
    <w:p>
      <w:pPr>
        <w:spacing w:line="338" w:lineRule="auto" w:before="44"/>
        <w:ind w:left="154" w:right="58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组合中，采用其他方法计提坏账准备的应收账款：</w:t>
      </w:r>
    </w:p>
    <w:p>
      <w:pPr>
        <w:spacing w:line="240" w:lineRule="auto" w:before="6"/>
        <w:rPr>
          <w:rFonts w:ascii="宋体" w:hAnsi="宋体" w:cs="宋体" w:eastAsia="宋体" w:hint="default"/>
          <w:sz w:val="2"/>
          <w:szCs w:val="2"/>
        </w:rPr>
      </w:pPr>
    </w:p>
    <w:tbl>
      <w:tblPr>
        <w:tblW w:w="0" w:type="auto"/>
        <w:jc w:val="left"/>
        <w:tblInd w:w="717" w:type="dxa"/>
        <w:tblLayout w:type="fixed"/>
        <w:tblCellMar>
          <w:top w:w="0" w:type="dxa"/>
          <w:left w:w="0" w:type="dxa"/>
          <w:bottom w:w="0" w:type="dxa"/>
          <w:right w:w="0" w:type="dxa"/>
        </w:tblCellMar>
        <w:tblLook w:val="01E0"/>
      </w:tblPr>
      <w:tblGrid>
        <w:gridCol w:w="2622"/>
        <w:gridCol w:w="2170"/>
        <w:gridCol w:w="1428"/>
        <w:gridCol w:w="1526"/>
      </w:tblGrid>
      <w:tr>
        <w:trPr>
          <w:trHeight w:val="355" w:hRule="exact"/>
        </w:trPr>
        <w:tc>
          <w:tcPr>
            <w:tcW w:w="2622" w:type="dxa"/>
            <w:vMerge w:val="restart"/>
            <w:tcBorders>
              <w:top w:val="single" w:sz="6" w:space="0" w:color="000000"/>
              <w:left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5124" w:type="dxa"/>
            <w:gridSpan w:val="3"/>
            <w:tcBorders>
              <w:top w:val="single" w:sz="6" w:space="0" w:color="000000"/>
              <w:left w:val="single" w:sz="6" w:space="0" w:color="000000"/>
              <w:bottom w:val="single" w:sz="12" w:space="0" w:color="000000"/>
              <w:right w:val="nil" w:sz="6" w:space="0" w:color="auto"/>
            </w:tcBorders>
          </w:tcPr>
          <w:p>
            <w:pPr>
              <w:pStyle w:val="TableParagraph"/>
              <w:spacing w:line="240" w:lineRule="auto" w:before="20"/>
              <w:ind w:right="6"/>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2" w:hRule="exact"/>
        </w:trPr>
        <w:tc>
          <w:tcPr>
            <w:tcW w:w="2622" w:type="dxa"/>
            <w:vMerge/>
            <w:tcBorders>
              <w:left w:val="single" w:sz="6" w:space="0" w:color="000000"/>
              <w:bottom w:val="single" w:sz="12" w:space="0" w:color="000000"/>
              <w:right w:val="single" w:sz="6" w:space="0" w:color="000000"/>
            </w:tcBorders>
          </w:tcPr>
          <w:p>
            <w:pPr/>
          </w:p>
        </w:tc>
        <w:tc>
          <w:tcPr>
            <w:tcW w:w="21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left="71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left="34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26"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1"/>
              <w:ind w:left="26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r>
      <w:tr>
        <w:trPr>
          <w:trHeight w:val="353" w:hRule="exact"/>
        </w:trPr>
        <w:tc>
          <w:tcPr>
            <w:tcW w:w="262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21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19,480,800.00</w:t>
            </w:r>
          </w:p>
        </w:tc>
        <w:tc>
          <w:tcPr>
            <w:tcW w:w="1428" w:type="dxa"/>
            <w:tcBorders>
              <w:top w:val="single" w:sz="12" w:space="0" w:color="000000"/>
              <w:left w:val="single" w:sz="6" w:space="0" w:color="000000"/>
              <w:bottom w:val="single" w:sz="12" w:space="0" w:color="000000"/>
              <w:right w:val="single" w:sz="6" w:space="0" w:color="000000"/>
            </w:tcBorders>
          </w:tcPr>
          <w:p>
            <w:pPr/>
          </w:p>
        </w:tc>
        <w:tc>
          <w:tcPr>
            <w:tcW w:w="1526"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62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7"/>
                <w:sz w:val="18"/>
                <w:szCs w:val="18"/>
              </w:rPr>
              <w:t> </w:t>
            </w:r>
            <w:r>
              <w:rPr>
                <w:rFonts w:ascii="宋体" w:hAnsi="宋体" w:cs="宋体" w:eastAsia="宋体" w:hint="default"/>
                <w:sz w:val="18"/>
                <w:szCs w:val="18"/>
              </w:rPr>
              <w:t>计</w:t>
            </w:r>
          </w:p>
        </w:tc>
        <w:tc>
          <w:tcPr>
            <w:tcW w:w="21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19,480,800.00</w:t>
            </w:r>
          </w:p>
        </w:tc>
        <w:tc>
          <w:tcPr>
            <w:tcW w:w="1428" w:type="dxa"/>
            <w:tcBorders>
              <w:top w:val="single" w:sz="12" w:space="0" w:color="000000"/>
              <w:left w:val="single" w:sz="6" w:space="0" w:color="000000"/>
              <w:bottom w:val="single" w:sz="12" w:space="0" w:color="000000"/>
              <w:right w:val="single" w:sz="6" w:space="0" w:color="000000"/>
            </w:tcBorders>
          </w:tcPr>
          <w:p>
            <w:pPr/>
          </w:p>
        </w:tc>
        <w:tc>
          <w:tcPr>
            <w:tcW w:w="1526"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pgSz w:w="11910" w:h="16840"/>
          <w:pgMar w:header="747" w:footer="979" w:top="1060" w:bottom="1160" w:left="980" w:right="980"/>
        </w:sectPr>
      </w:pPr>
    </w:p>
    <w:p>
      <w:pPr>
        <w:spacing w:line="338" w:lineRule="auto" w:before="44"/>
        <w:ind w:left="154" w:right="-18"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148,246.36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5915" w:space="2915"/>
            <w:col w:w="112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）本期实际核销的应收账款情况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32" w:right="80"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line="357" w:lineRule="auto" w:before="51"/>
        <w:ind w:left="154" w:right="8152" w:firstLine="0"/>
        <w:jc w:val="left"/>
        <w:rPr>
          <w:rFonts w:ascii="宋体" w:hAnsi="宋体" w:cs="宋体" w:eastAsia="宋体" w:hint="default"/>
          <w:sz w:val="18"/>
          <w:szCs w:val="18"/>
        </w:rPr>
      </w:pPr>
      <w:r>
        <w:rPr>
          <w:rFonts w:ascii="宋体" w:hAnsi="宋体" w:cs="宋体" w:eastAsia="宋体" w:hint="default"/>
          <w:sz w:val="18"/>
          <w:szCs w:val="18"/>
        </w:rPr>
        <w:t>应收账款核销说明：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）按欠款方归集的期末余额前五名的应收账款情况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749" w:type="dxa"/>
        <w:tblLayout w:type="fixed"/>
        <w:tblCellMar>
          <w:top w:w="0" w:type="dxa"/>
          <w:left w:w="0" w:type="dxa"/>
          <w:bottom w:w="0" w:type="dxa"/>
          <w:right w:w="0" w:type="dxa"/>
        </w:tblCellMar>
        <w:tblLook w:val="01E0"/>
      </w:tblPr>
      <w:tblGrid>
        <w:gridCol w:w="2941"/>
        <w:gridCol w:w="1631"/>
        <w:gridCol w:w="1489"/>
        <w:gridCol w:w="1677"/>
      </w:tblGrid>
      <w:tr>
        <w:trPr>
          <w:trHeight w:val="347" w:hRule="exact"/>
        </w:trPr>
        <w:tc>
          <w:tcPr>
            <w:tcW w:w="2941" w:type="dxa"/>
            <w:vMerge w:val="restart"/>
            <w:tcBorders>
              <w:top w:val="single" w:sz="6" w:space="0" w:color="000000"/>
              <w:left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4797"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492" w:right="0"/>
              <w:jc w:val="left"/>
              <w:rPr>
                <w:rFonts w:ascii="宋体" w:hAnsi="宋体" w:cs="宋体" w:eastAsia="宋体" w:hint="default"/>
                <w:sz w:val="18"/>
                <w:szCs w:val="18"/>
              </w:rPr>
            </w:pPr>
            <w:r>
              <w:rPr>
                <w:rFonts w:ascii="宋体" w:hAnsi="宋体" w:cs="宋体" w:eastAsia="宋体" w:hint="default"/>
                <w:sz w:val="18"/>
                <w:szCs w:val="18"/>
              </w:rPr>
              <w:t>期末余额（单位：元）</w:t>
            </w:r>
          </w:p>
        </w:tc>
      </w:tr>
      <w:tr>
        <w:trPr>
          <w:trHeight w:val="659" w:hRule="exact"/>
        </w:trPr>
        <w:tc>
          <w:tcPr>
            <w:tcW w:w="2941" w:type="dxa"/>
            <w:vMerge/>
            <w:tcBorders>
              <w:left w:val="single" w:sz="6" w:space="0" w:color="000000"/>
              <w:bottom w:val="single" w:sz="6" w:space="0" w:color="000000"/>
              <w:right w:val="single" w:sz="6" w:space="0" w:color="000000"/>
            </w:tcBorders>
          </w:tcPr>
          <w:p>
            <w:pP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31" w:right="17" w:hanging="31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 的比例</w:t>
            </w:r>
            <w:r>
              <w:rPr>
                <w:rFonts w:ascii="Times New Roman" w:hAnsi="Times New Roman" w:cs="Times New Roman" w:eastAsia="Times New Roman" w:hint="default"/>
                <w:sz w:val="18"/>
                <w:szCs w:val="18"/>
              </w:rPr>
              <w:t>(%)</w:t>
            </w:r>
          </w:p>
        </w:tc>
        <w:tc>
          <w:tcPr>
            <w:tcW w:w="1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7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48" w:hRule="exact"/>
        </w:trPr>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center"/>
              <w:rPr>
                <w:rFonts w:ascii="Times New Roman" w:hAnsi="Times New Roman" w:cs="Times New Roman" w:eastAsia="Times New Roman" w:hint="default"/>
                <w:sz w:val="18"/>
                <w:szCs w:val="18"/>
              </w:rPr>
            </w:pPr>
            <w:r>
              <w:rPr>
                <w:rFonts w:ascii="Times New Roman"/>
                <w:sz w:val="18"/>
              </w:rPr>
              <w:t>19,480,800.00</w:t>
            </w:r>
          </w:p>
        </w:tc>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94.12</w:t>
            </w:r>
          </w:p>
        </w:tc>
        <w:tc>
          <w:tcPr>
            <w:tcW w:w="1677"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one world service joint stock</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sz w:val="18"/>
                <w:szCs w:val="18"/>
              </w:rPr>
              <w:t>co-</w:t>
            </w:r>
            <w:r>
              <w:rPr>
                <w:rFonts w:ascii="宋体" w:hAnsi="宋体" w:cs="宋体" w:eastAsia="宋体" w:hint="default"/>
                <w:sz w:val="18"/>
                <w:szCs w:val="18"/>
              </w:rPr>
              <w:t>越南</w:t>
            </w: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657,898.25</w:t>
            </w:r>
          </w:p>
        </w:tc>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3.18</w:t>
            </w:r>
          </w:p>
        </w:tc>
        <w:tc>
          <w:tcPr>
            <w:tcW w:w="1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26" w:right="0"/>
              <w:jc w:val="left"/>
              <w:rPr>
                <w:rFonts w:ascii="Times New Roman" w:hAnsi="Times New Roman" w:cs="Times New Roman" w:eastAsia="Times New Roman" w:hint="default"/>
                <w:sz w:val="18"/>
                <w:szCs w:val="18"/>
              </w:rPr>
            </w:pPr>
            <w:r>
              <w:rPr>
                <w:rFonts w:ascii="Times New Roman"/>
                <w:sz w:val="18"/>
              </w:rPr>
              <w:t>657,898.25</w:t>
            </w:r>
          </w:p>
        </w:tc>
      </w:tr>
      <w:tr>
        <w:trPr>
          <w:trHeight w:val="347" w:hRule="exact"/>
        </w:trPr>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hyperlink r:id="rId49">
              <w:r>
                <w:rPr>
                  <w:rFonts w:ascii="Times New Roman"/>
                  <w:sz w:val="18"/>
                </w:rPr>
                <w:t>google-paypal@brothersoft.com</w:t>
              </w:r>
            </w:hyperlink>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109,970.22</w:t>
            </w:r>
          </w:p>
        </w:tc>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0.53</w:t>
            </w:r>
          </w:p>
        </w:tc>
        <w:tc>
          <w:tcPr>
            <w:tcW w:w="1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516" w:right="0"/>
              <w:jc w:val="left"/>
              <w:rPr>
                <w:rFonts w:ascii="Times New Roman" w:hAnsi="Times New Roman" w:cs="Times New Roman" w:eastAsia="Times New Roman" w:hint="default"/>
                <w:sz w:val="18"/>
                <w:szCs w:val="18"/>
              </w:rPr>
            </w:pPr>
            <w:r>
              <w:rPr>
                <w:rFonts w:ascii="Times New Roman"/>
                <w:sz w:val="18"/>
              </w:rPr>
              <w:t>5,498.51</w:t>
            </w:r>
          </w:p>
        </w:tc>
      </w:tr>
      <w:tr>
        <w:trPr>
          <w:trHeight w:val="347" w:hRule="exact"/>
        </w:trPr>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hyperlink r:id="rId50">
              <w:r>
                <w:rPr>
                  <w:rFonts w:ascii="Times New Roman"/>
                  <w:sz w:val="18"/>
                </w:rPr>
                <w:t>payonline@koramgame.com</w:t>
              </w:r>
            </w:hyperlink>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center"/>
              <w:rPr>
                <w:rFonts w:ascii="Times New Roman" w:hAnsi="Times New Roman" w:cs="Times New Roman" w:eastAsia="Times New Roman" w:hint="default"/>
                <w:sz w:val="18"/>
                <w:szCs w:val="18"/>
              </w:rPr>
            </w:pPr>
            <w:r>
              <w:rPr>
                <w:rFonts w:ascii="Times New Roman"/>
                <w:sz w:val="18"/>
              </w:rPr>
              <w:t>87,960.29</w:t>
            </w:r>
          </w:p>
        </w:tc>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0.42</w:t>
            </w:r>
          </w:p>
        </w:tc>
        <w:tc>
          <w:tcPr>
            <w:tcW w:w="1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516" w:right="0"/>
              <w:jc w:val="left"/>
              <w:rPr>
                <w:rFonts w:ascii="Times New Roman" w:hAnsi="Times New Roman" w:cs="Times New Roman" w:eastAsia="Times New Roman" w:hint="default"/>
                <w:sz w:val="18"/>
                <w:szCs w:val="18"/>
              </w:rPr>
            </w:pPr>
            <w:r>
              <w:rPr>
                <w:rFonts w:ascii="Times New Roman"/>
                <w:sz w:val="18"/>
              </w:rPr>
              <w:t>8,123.27</w:t>
            </w:r>
          </w:p>
        </w:tc>
      </w:tr>
      <w:tr>
        <w:trPr>
          <w:trHeight w:val="347" w:hRule="exact"/>
        </w:trPr>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hyperlink r:id="rId51">
              <w:r>
                <w:rPr>
                  <w:rFonts w:ascii="Times New Roman"/>
                  <w:sz w:val="18"/>
                </w:rPr>
                <w:t>google-jia.liu@kunlun-inc.com</w:t>
              </w:r>
            </w:hyperlink>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center"/>
              <w:rPr>
                <w:rFonts w:ascii="Times New Roman" w:hAnsi="Times New Roman" w:cs="Times New Roman" w:eastAsia="Times New Roman" w:hint="default"/>
                <w:sz w:val="18"/>
                <w:szCs w:val="18"/>
              </w:rPr>
            </w:pPr>
            <w:r>
              <w:rPr>
                <w:rFonts w:ascii="Times New Roman"/>
                <w:sz w:val="18"/>
              </w:rPr>
              <w:t>79,075.59</w:t>
            </w:r>
          </w:p>
        </w:tc>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0.38</w:t>
            </w:r>
          </w:p>
        </w:tc>
        <w:tc>
          <w:tcPr>
            <w:tcW w:w="1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516" w:right="0"/>
              <w:jc w:val="left"/>
              <w:rPr>
                <w:rFonts w:ascii="Times New Roman" w:hAnsi="Times New Roman" w:cs="Times New Roman" w:eastAsia="Times New Roman" w:hint="default"/>
                <w:sz w:val="18"/>
                <w:szCs w:val="18"/>
              </w:rPr>
            </w:pPr>
            <w:r>
              <w:rPr>
                <w:rFonts w:ascii="Times New Roman"/>
                <w:sz w:val="18"/>
              </w:rPr>
              <w:t>3,953.78</w:t>
            </w:r>
          </w:p>
        </w:tc>
      </w:tr>
      <w:tr>
        <w:trPr>
          <w:trHeight w:val="348" w:hRule="exact"/>
        </w:trPr>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16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center"/>
              <w:rPr>
                <w:rFonts w:ascii="Times New Roman" w:hAnsi="Times New Roman" w:cs="Times New Roman" w:eastAsia="Times New Roman" w:hint="default"/>
                <w:sz w:val="18"/>
                <w:szCs w:val="18"/>
              </w:rPr>
            </w:pPr>
            <w:r>
              <w:rPr>
                <w:rFonts w:ascii="Times New Roman"/>
                <w:sz w:val="18"/>
              </w:rPr>
              <w:t>20,415,704.35</w:t>
            </w:r>
          </w:p>
        </w:tc>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98.52</w:t>
            </w:r>
          </w:p>
        </w:tc>
        <w:tc>
          <w:tcPr>
            <w:tcW w:w="16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26" w:right="0"/>
              <w:jc w:val="left"/>
              <w:rPr>
                <w:rFonts w:ascii="Times New Roman" w:hAnsi="Times New Roman" w:cs="Times New Roman" w:eastAsia="Times New Roman" w:hint="default"/>
                <w:sz w:val="18"/>
                <w:szCs w:val="18"/>
              </w:rPr>
            </w:pPr>
            <w:r>
              <w:rPr>
                <w:rFonts w:ascii="Times New Roman"/>
                <w:sz w:val="18"/>
              </w:rPr>
              <w:t>675,473.81</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11"/>
        <w:rPr>
          <w:rFonts w:ascii="Microsoft JhengHei" w:hAnsi="Microsoft JhengHei" w:cs="Microsoft JhengHei" w:eastAsia="Microsoft JhengHei" w:hint="default"/>
          <w:b/>
          <w:bCs/>
          <w:sz w:val="18"/>
          <w:szCs w:val="18"/>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）因金融资产转移而终止确认的应收账款</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）转移应收账款且继续涉入形成的资产、负债金额</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line="360" w:lineRule="auto" w:before="0"/>
        <w:ind w:left="154" w:right="8872" w:firstLine="0"/>
        <w:jc w:val="left"/>
        <w:rPr>
          <w:rFonts w:ascii="宋体" w:hAnsi="宋体" w:cs="宋体" w:eastAsia="宋体" w:hint="default"/>
          <w:sz w:val="18"/>
          <w:szCs w:val="18"/>
        </w:rPr>
      </w:pPr>
      <w:r>
        <w:rPr>
          <w:rFonts w:ascii="宋体" w:hAnsi="宋体" w:cs="宋体" w:eastAsia="宋体" w:hint="default"/>
          <w:sz w:val="18"/>
          <w:szCs w:val="18"/>
        </w:rPr>
        <w:t>无。 其他说明： 无。</w:t>
      </w:r>
    </w:p>
    <w:p>
      <w:pPr>
        <w:spacing w:line="240" w:lineRule="auto" w:before="12"/>
        <w:rPr>
          <w:rFonts w:ascii="宋体" w:hAnsi="宋体" w:cs="宋体" w:eastAsia="宋体" w:hint="default"/>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、其他应收款</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）其他应收款分类披露</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2"/>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3"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8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585,298,</w:t>
            </w:r>
          </w:p>
          <w:p>
            <w:pPr>
              <w:pStyle w:val="TableParagraph"/>
              <w:spacing w:line="240" w:lineRule="auto" w:before="105"/>
              <w:ind w:left="212" w:right="0"/>
              <w:jc w:val="center"/>
              <w:rPr>
                <w:rFonts w:ascii="Times New Roman" w:hAnsi="Times New Roman" w:cs="Times New Roman" w:eastAsia="Times New Roman" w:hint="default"/>
                <w:sz w:val="18"/>
                <w:szCs w:val="18"/>
              </w:rPr>
            </w:pPr>
            <w:r>
              <w:rPr>
                <w:rFonts w:ascii="Times New Roman"/>
                <w:sz w:val="18"/>
              </w:rPr>
              <w:t>667.31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15,200.0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585,283,4</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67.31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290,945</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,475.67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9,649,600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281,295,87</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5.65</w:t>
            </w: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 w:right="0"/>
              <w:jc w:val="center"/>
              <w:rPr>
                <w:rFonts w:ascii="Times New Roman" w:hAnsi="Times New Roman" w:cs="Times New Roman" w:eastAsia="Times New Roman" w:hint="default"/>
                <w:sz w:val="18"/>
                <w:szCs w:val="18"/>
              </w:rPr>
            </w:pPr>
            <w:r>
              <w:rPr>
                <w:rFonts w:ascii="Times New Roman"/>
                <w:sz w:val="18"/>
              </w:rPr>
              <w:t>585,298,</w:t>
            </w:r>
          </w:p>
          <w:p>
            <w:pPr>
              <w:pStyle w:val="TableParagraph"/>
              <w:spacing w:line="240" w:lineRule="auto" w:before="105"/>
              <w:ind w:left="212" w:right="0"/>
              <w:jc w:val="center"/>
              <w:rPr>
                <w:rFonts w:ascii="Times New Roman" w:hAnsi="Times New Roman" w:cs="Times New Roman" w:eastAsia="Times New Roman" w:hint="default"/>
                <w:sz w:val="18"/>
                <w:szCs w:val="18"/>
              </w:rPr>
            </w:pPr>
            <w:r>
              <w:rPr>
                <w:rFonts w:ascii="Times New Roman"/>
                <w:sz w:val="18"/>
              </w:rPr>
              <w:t>667.31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15,200.0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7" w:right="0"/>
              <w:jc w:val="left"/>
              <w:rPr>
                <w:rFonts w:ascii="Times New Roman" w:hAnsi="Times New Roman" w:cs="Times New Roman" w:eastAsia="Times New Roman" w:hint="default"/>
                <w:sz w:val="18"/>
                <w:szCs w:val="18"/>
              </w:rPr>
            </w:pPr>
            <w:r>
              <w:rPr>
                <w:rFonts w:ascii="Times New Roman"/>
                <w:sz w:val="18"/>
              </w:rPr>
              <w:t>585,283,4</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67.31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6" w:right="0"/>
              <w:jc w:val="left"/>
              <w:rPr>
                <w:rFonts w:ascii="Times New Roman" w:hAnsi="Times New Roman" w:cs="Times New Roman" w:eastAsia="Times New Roman" w:hint="default"/>
                <w:sz w:val="18"/>
                <w:szCs w:val="18"/>
              </w:rPr>
            </w:pPr>
            <w:r>
              <w:rPr>
                <w:rFonts w:ascii="Times New Roman"/>
                <w:sz w:val="18"/>
              </w:rPr>
              <w:t>290,945</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,475.67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9,649,600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8" w:right="0"/>
              <w:jc w:val="left"/>
              <w:rPr>
                <w:rFonts w:ascii="Times New Roman" w:hAnsi="Times New Roman" w:cs="Times New Roman" w:eastAsia="Times New Roman" w:hint="default"/>
                <w:sz w:val="18"/>
                <w:szCs w:val="18"/>
              </w:rPr>
            </w:pPr>
            <w:r>
              <w:rPr>
                <w:rFonts w:ascii="Times New Roman"/>
                <w:sz w:val="18"/>
              </w:rPr>
              <w:t>281,295,87</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5.65</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98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40" w:lineRule="auto" w:before="116"/>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组合中，按账龄分析法计提坏账准备的其他应收款：</w:t>
      </w:r>
    </w:p>
    <w:p>
      <w:pPr>
        <w:spacing w:before="40"/>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475" w:space="4355"/>
            <w:col w:w="112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205" w:hRule="exact"/>
        </w:trPr>
        <w:tc>
          <w:tcPr>
            <w:tcW w:w="24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24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494"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69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6" w:hRule="exact"/>
        </w:trPr>
        <w:tc>
          <w:tcPr>
            <w:tcW w:w="2494"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15,000.00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301,000.00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15,200.00</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51"/>
        <w:ind w:left="154" w:right="527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after="0" w:line="360" w:lineRule="auto"/>
        <w:jc w:val="left"/>
        <w:rPr>
          <w:rFonts w:ascii="宋体" w:hAnsi="宋体" w:cs="宋体" w:eastAsia="宋体" w:hint="default"/>
          <w:sz w:val="18"/>
          <w:szCs w:val="18"/>
        </w:rPr>
        <w:sectPr>
          <w:type w:val="continuous"/>
          <w:pgSz w:w="11910" w:h="16840"/>
          <w:pgMar w:top="1060" w:bottom="1160" w:left="980" w:right="980"/>
        </w:sectPr>
      </w:pPr>
    </w:p>
    <w:p>
      <w:pPr>
        <w:spacing w:line="240" w:lineRule="auto" w:before="13"/>
        <w:rPr>
          <w:rFonts w:ascii="宋体" w:hAnsi="宋体" w:cs="宋体" w:eastAsia="宋体" w:hint="default"/>
          <w:sz w:val="25"/>
          <w:szCs w:val="25"/>
        </w:rPr>
      </w:pPr>
    </w:p>
    <w:p>
      <w:pPr>
        <w:spacing w:line="338" w:lineRule="auto" w:before="44"/>
        <w:ind w:left="154" w:right="56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组合中，采用其他方法计提坏账准备的其他应收款：</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856" w:type="dxa"/>
        <w:tblLayout w:type="fixed"/>
        <w:tblCellMar>
          <w:top w:w="0" w:type="dxa"/>
          <w:left w:w="0" w:type="dxa"/>
          <w:bottom w:w="0" w:type="dxa"/>
          <w:right w:w="0" w:type="dxa"/>
        </w:tblCellMar>
        <w:tblLook w:val="01E0"/>
      </w:tblPr>
      <w:tblGrid>
        <w:gridCol w:w="2864"/>
        <w:gridCol w:w="1956"/>
        <w:gridCol w:w="1679"/>
        <w:gridCol w:w="1735"/>
      </w:tblGrid>
      <w:tr>
        <w:trPr>
          <w:trHeight w:val="355" w:hRule="exact"/>
        </w:trPr>
        <w:tc>
          <w:tcPr>
            <w:tcW w:w="2864" w:type="dxa"/>
            <w:vMerge w:val="restart"/>
            <w:tcBorders>
              <w:top w:val="single" w:sz="6" w:space="0" w:color="000000"/>
              <w:left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5371" w:type="dxa"/>
            <w:gridSpan w:val="3"/>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5"/>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2" w:hRule="exact"/>
        </w:trPr>
        <w:tc>
          <w:tcPr>
            <w:tcW w:w="2864" w:type="dxa"/>
            <w:vMerge/>
            <w:tcBorders>
              <w:left w:val="single" w:sz="6" w:space="0" w:color="000000"/>
              <w:bottom w:val="single" w:sz="12" w:space="0" w:color="000000"/>
              <w:right w:val="single" w:sz="6" w:space="0" w:color="000000"/>
            </w:tcBorders>
          </w:tcPr>
          <w:p>
            <w:pPr/>
          </w:p>
        </w:tc>
        <w:tc>
          <w:tcPr>
            <w:tcW w:w="19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6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47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73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left="500" w:right="0"/>
              <w:jc w:val="left"/>
              <w:rPr>
                <w:rFonts w:ascii="宋体" w:hAnsi="宋体" w:cs="宋体" w:eastAsia="宋体" w:hint="default"/>
                <w:sz w:val="18"/>
                <w:szCs w:val="18"/>
              </w:rPr>
            </w:pPr>
            <w:r>
              <w:rPr>
                <w:rFonts w:ascii="宋体" w:hAnsi="宋体" w:cs="宋体" w:eastAsia="宋体" w:hint="default"/>
                <w:sz w:val="18"/>
                <w:szCs w:val="18"/>
              </w:rPr>
              <w:t>计提比例</w:t>
            </w:r>
          </w:p>
        </w:tc>
      </w:tr>
      <w:tr>
        <w:trPr>
          <w:trHeight w:val="353" w:hRule="exact"/>
        </w:trPr>
        <w:tc>
          <w:tcPr>
            <w:tcW w:w="286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9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6,623,048.00</w:t>
            </w:r>
          </w:p>
        </w:tc>
        <w:tc>
          <w:tcPr>
            <w:tcW w:w="1679" w:type="dxa"/>
            <w:tcBorders>
              <w:top w:val="single" w:sz="12" w:space="0" w:color="000000"/>
              <w:left w:val="single" w:sz="6" w:space="0" w:color="000000"/>
              <w:bottom w:val="single" w:sz="12" w:space="0" w:color="000000"/>
              <w:right w:val="single" w:sz="6" w:space="0" w:color="000000"/>
            </w:tcBorders>
          </w:tcPr>
          <w:p>
            <w:pPr/>
          </w:p>
        </w:tc>
        <w:tc>
          <w:tcPr>
            <w:tcW w:w="1735"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86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19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577,779,287.86</w:t>
            </w:r>
          </w:p>
        </w:tc>
        <w:tc>
          <w:tcPr>
            <w:tcW w:w="1679" w:type="dxa"/>
            <w:tcBorders>
              <w:top w:val="single" w:sz="12" w:space="0" w:color="000000"/>
              <w:left w:val="single" w:sz="6" w:space="0" w:color="000000"/>
              <w:bottom w:val="single" w:sz="12" w:space="0" w:color="000000"/>
              <w:right w:val="single" w:sz="6" w:space="0" w:color="000000"/>
            </w:tcBorders>
          </w:tcPr>
          <w:p>
            <w:pPr/>
          </w:p>
        </w:tc>
        <w:tc>
          <w:tcPr>
            <w:tcW w:w="1735"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86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19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474,481.45</w:t>
            </w:r>
          </w:p>
        </w:tc>
        <w:tc>
          <w:tcPr>
            <w:tcW w:w="1679" w:type="dxa"/>
            <w:tcBorders>
              <w:top w:val="single" w:sz="12" w:space="0" w:color="000000"/>
              <w:left w:val="single" w:sz="6" w:space="0" w:color="000000"/>
              <w:bottom w:val="single" w:sz="12" w:space="0" w:color="000000"/>
              <w:right w:val="single" w:sz="6" w:space="0" w:color="000000"/>
            </w:tcBorders>
          </w:tcPr>
          <w:p>
            <w:pPr/>
          </w:p>
        </w:tc>
        <w:tc>
          <w:tcPr>
            <w:tcW w:w="1735"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86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代交员工社保</w:t>
            </w:r>
          </w:p>
        </w:tc>
        <w:tc>
          <w:tcPr>
            <w:tcW w:w="19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120,850.00</w:t>
            </w:r>
          </w:p>
        </w:tc>
        <w:tc>
          <w:tcPr>
            <w:tcW w:w="1679" w:type="dxa"/>
            <w:tcBorders>
              <w:top w:val="single" w:sz="12" w:space="0" w:color="000000"/>
              <w:left w:val="single" w:sz="6" w:space="0" w:color="000000"/>
              <w:bottom w:val="single" w:sz="12" w:space="0" w:color="000000"/>
              <w:right w:val="single" w:sz="6" w:space="0" w:color="000000"/>
            </w:tcBorders>
          </w:tcPr>
          <w:p>
            <w:pPr/>
          </w:p>
        </w:tc>
        <w:tc>
          <w:tcPr>
            <w:tcW w:w="1735"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86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195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584,997,667.31</w:t>
            </w:r>
          </w:p>
        </w:tc>
        <w:tc>
          <w:tcPr>
            <w:tcW w:w="1679" w:type="dxa"/>
            <w:tcBorders>
              <w:top w:val="single" w:sz="12" w:space="0" w:color="000000"/>
              <w:left w:val="single" w:sz="6" w:space="0" w:color="000000"/>
              <w:bottom w:val="single" w:sz="12" w:space="0" w:color="000000"/>
              <w:right w:val="single" w:sz="6" w:space="0" w:color="000000"/>
            </w:tcBorders>
          </w:tcPr>
          <w:p>
            <w:pPr/>
          </w:p>
        </w:tc>
        <w:tc>
          <w:tcPr>
            <w:tcW w:w="1735"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pgSz w:w="11910" w:h="16840"/>
          <w:pgMar w:header="747" w:footer="979" w:top="1060" w:bottom="1160" w:left="980" w:right="980"/>
        </w:sectPr>
      </w:pPr>
    </w:p>
    <w:p>
      <w:pPr>
        <w:spacing w:line="340" w:lineRule="auto" w:before="44"/>
        <w:ind w:left="154" w:right="-18"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本期计提坏账准备金额元；本期收回或转回坏账准备金额</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9,634,400.02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6050" w:space="2780"/>
            <w:col w:w="112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4"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）本期实际核销的其他应收款情况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before="117"/>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32" w:right="80"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line="357" w:lineRule="auto" w:before="52"/>
        <w:ind w:left="154" w:right="7972" w:firstLine="0"/>
        <w:jc w:val="left"/>
        <w:rPr>
          <w:rFonts w:ascii="宋体" w:hAnsi="宋体" w:cs="宋体" w:eastAsia="宋体" w:hint="default"/>
          <w:sz w:val="18"/>
          <w:szCs w:val="18"/>
        </w:rPr>
      </w:pPr>
      <w:r>
        <w:rPr>
          <w:rFonts w:ascii="宋体" w:hAnsi="宋体" w:cs="宋体" w:eastAsia="宋体" w:hint="default"/>
          <w:sz w:val="18"/>
          <w:szCs w:val="18"/>
        </w:rPr>
        <w:t>其他应收款核销说明： 无。</w:t>
      </w:r>
    </w:p>
    <w:p>
      <w:pPr>
        <w:spacing w:line="240" w:lineRule="auto" w:before="1"/>
        <w:rPr>
          <w:rFonts w:ascii="宋体" w:hAnsi="宋体" w:cs="宋体" w:eastAsia="宋体" w:hint="default"/>
          <w:sz w:val="15"/>
          <w:szCs w:val="15"/>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）其他应收款按款项性质分类情况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游戏授权金、分成款</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9,649,500.02</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全资子公司往来款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577,779,287.86</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273,713,075.44</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6,623,048.00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6,959,248.00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474,481.45</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622,384.11</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代交员工社保</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120,850.00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268.10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员工借款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300,000.00</w:t>
            </w:r>
          </w:p>
        </w:tc>
        <w:tc>
          <w:tcPr>
            <w:tcW w:w="31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585,298,667.31</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290,945,475.67</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）按欠款方归集的期末余额前五名的其他应收款情况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2"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366,918,100.73</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62.69%</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北京昆仑乐享网络技 术有限公司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133,502,534.45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22.81%</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北京昆仑在线网络科 技有限公司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57,930,053.89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9.90%</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广州昆仑在线信息科 技有限公司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16,928,326.62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2.89%</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北京中蓝恒丰投资管 理有限公司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4,012,158.00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0.69%</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579,291,173.69</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98.98%</w:t>
            </w:r>
          </w:p>
        </w:tc>
        <w:tc>
          <w:tcPr>
            <w:tcW w:w="161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）涉及政府补助的应收款项</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026"/>
        <w:gridCol w:w="1866"/>
        <w:gridCol w:w="1866"/>
        <w:gridCol w:w="1868"/>
        <w:gridCol w:w="1944"/>
      </w:tblGrid>
      <w:tr>
        <w:trPr>
          <w:trHeight w:val="714"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7"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95" w:right="66"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spacing w:before="11"/>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）因金融资产转移而终止确认的其他应收款</w:t>
      </w:r>
      <w:r>
        <w:rPr>
          <w:rFonts w:ascii="Microsoft JhengHei" w:hAnsi="Microsoft JhengHei" w:cs="Microsoft JhengHei" w:eastAsia="Microsoft JhengHei" w:hint="default"/>
          <w:sz w:val="21"/>
          <w:szCs w:val="21"/>
        </w:rPr>
      </w:r>
    </w:p>
    <w:p>
      <w:pPr>
        <w:spacing w:line="240" w:lineRule="auto" w:before="8"/>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）转移其他应收款且继续涉入形成的资产、负债金额</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、长期股权投资</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1"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footerReference w:type="default" r:id="rId52"/>
          <w:pgSz w:w="11910" w:h="16840"/>
          <w:pgMar w:footer="979" w:header="747"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776,359,290.75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776,359,290.75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104,862,253.78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104,862,253.78</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89,120,920.60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89,120,920.60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865,480,211.35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865,480,211.35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104,862,253.78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104,862,253.78</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）对子公司投资</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北京昆仑在线网 络科技有限公司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180,397,635.82</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190,397,635.82</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昆仑日本株式会 社</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7,320,407.27</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7,320,407.27</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昆仑集团有限公 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63,743,050.00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131,536,353.04</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195,279,403.04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昆仑韩国株式会 社</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12,798,350.00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12,798,350.00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广州昆仑在线信 息科技有限公司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1,000,446.51</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1,000,446.51</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北京昆仑乐享网 络技术有限公司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327,589,798.11</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337,589,798.11</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香港昆仑万维股 份有限公司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31,973,250.00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31,973,250.00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104,862,253.78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671,497,036.97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776,359,290.75</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）对联营、合营企业投资</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1"/>
              <w:jc w:val="righ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1"/>
              <w:jc w:val="both"/>
              <w:rPr>
                <w:rFonts w:ascii="宋体" w:hAnsi="宋体" w:cs="宋体" w:eastAsia="宋体" w:hint="default"/>
                <w:sz w:val="18"/>
                <w:szCs w:val="18"/>
              </w:rPr>
            </w:pPr>
            <w:r>
              <w:rPr>
                <w:rFonts w:ascii="宋体" w:hAnsi="宋体" w:cs="宋体" w:eastAsia="宋体" w:hint="default"/>
                <w:sz w:val="18"/>
                <w:szCs w:val="18"/>
              </w:rPr>
              <w:t>北京信达 天下科技 有限公司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15,000,00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-2,161,00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4.57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12,838,99</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5.43</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深圳玩贝</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1,500,000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4" w:right="0"/>
              <w:jc w:val="left"/>
              <w:rPr>
                <w:rFonts w:ascii="Times New Roman" w:hAnsi="Times New Roman" w:cs="Times New Roman" w:eastAsia="Times New Roman" w:hint="default"/>
                <w:sz w:val="18"/>
                <w:szCs w:val="18"/>
              </w:rPr>
            </w:pPr>
            <w:r>
              <w:rPr>
                <w:rFonts w:ascii="Times New Roman"/>
                <w:sz w:val="18"/>
              </w:rPr>
              <w:t>-129,421.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1,370,578</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53"/>
          <w:pgSz w:w="11910" w:h="16840"/>
          <w:pgMar w:footer="979" w:header="747" w:top="1060" w:bottom="1160" w:left="980" w:right="980"/>
          <w:pgNumType w:start="201"/>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67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41"/>
              <w:jc w:val="left"/>
              <w:rPr>
                <w:rFonts w:ascii="宋体" w:hAnsi="宋体" w:cs="宋体" w:eastAsia="宋体" w:hint="default"/>
                <w:sz w:val="18"/>
                <w:szCs w:val="18"/>
              </w:rPr>
            </w:pPr>
            <w:r>
              <w:rPr>
                <w:rFonts w:ascii="宋体" w:hAnsi="宋体" w:cs="宋体" w:eastAsia="宋体" w:hint="default"/>
                <w:sz w:val="18"/>
                <w:szCs w:val="18"/>
              </w:rPr>
              <w:t>科技有限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46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.54</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艾普拉斯 投资顾问</w:t>
            </w:r>
          </w:p>
          <w:p>
            <w:pPr>
              <w:pStyle w:val="TableParagraph"/>
              <w:spacing w:line="319" w:lineRule="auto" w:before="19"/>
              <w:ind w:left="22" w:right="41"/>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75,000,00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-88,653.3</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left"/>
              <w:rPr>
                <w:rFonts w:ascii="Times New Roman" w:hAnsi="Times New Roman" w:cs="Times New Roman" w:eastAsia="Times New Roman" w:hint="default"/>
                <w:sz w:val="18"/>
                <w:szCs w:val="18"/>
              </w:rPr>
            </w:pPr>
            <w:r>
              <w:rPr>
                <w:rFonts w:ascii="Times New Roman"/>
                <w:sz w:val="18"/>
              </w:rPr>
              <w:t>74,911,34</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6.63</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91,500,00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-2,379,07</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9.40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89,120,92</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0.60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91,500,00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-2,379,07</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9.40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89,120,92</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0.60</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）其他说明</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、营业收入和营业成本</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16"/>
          <w:szCs w:val="16"/>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10,170,934.52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2,779,302.31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25,098,135.19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3,534,914.58</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3,409,112.51</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18,600,000.00</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13,580,047.03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2,779,302.31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43,698,135.19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3,534,914.58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、投资收益</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17"/>
          <w:szCs w:val="17"/>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109,387,600.87</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219,979,745.34</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-2,379,079.40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48,035,606.00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1,531,465.74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156,575,593.21</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219,979,745.34</w:t>
            </w:r>
          </w:p>
        </w:tc>
      </w:tr>
    </w:tbl>
    <w:p>
      <w:pPr>
        <w:spacing w:line="240" w:lineRule="auto" w:before="2"/>
        <w:rPr>
          <w:rFonts w:ascii="宋体" w:hAnsi="宋体" w:cs="宋体" w:eastAsia="宋体" w:hint="default"/>
          <w:sz w:val="19"/>
          <w:szCs w:val="19"/>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12"/>
          <w:szCs w:val="12"/>
        </w:rPr>
      </w:pPr>
    </w:p>
    <w:p>
      <w:pPr>
        <w:pStyle w:val="Heading2"/>
        <w:spacing w:line="240" w:lineRule="auto"/>
        <w:ind w:right="0"/>
        <w:jc w:val="left"/>
        <w:rPr>
          <w:b w:val="0"/>
          <w:bCs w:val="0"/>
        </w:rPr>
      </w:pPr>
      <w:r>
        <w:rPr/>
        <w:t>十八、补充资料</w:t>
      </w:r>
      <w:r>
        <w:rPr>
          <w:b w:val="0"/>
          <w:bCs w:val="0"/>
        </w:rPr>
      </w:r>
    </w:p>
    <w:p>
      <w:pPr>
        <w:spacing w:line="240" w:lineRule="auto" w:before="2"/>
        <w:rPr>
          <w:rFonts w:ascii="Microsoft JhengHei" w:hAnsi="Microsoft JhengHei" w:cs="Microsoft JhengHei" w:eastAsia="Microsoft JhengHei" w:hint="default"/>
          <w:b/>
          <w:bCs/>
          <w:sz w:val="13"/>
          <w:szCs w:val="13"/>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、当期非经常性损益明细表</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13"/>
        <w:rPr>
          <w:rFonts w:ascii="宋体" w:hAnsi="宋体" w:cs="宋体" w:eastAsia="宋体" w:hint="default"/>
          <w:sz w:val="25"/>
          <w:szCs w:val="25"/>
        </w:rPr>
      </w:pPr>
    </w:p>
    <w:p>
      <w:pPr>
        <w:spacing w:before="44"/>
        <w:ind w:left="0" w:right="15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1"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w w:val="95"/>
                <w:sz w:val="18"/>
              </w:rPr>
              <w:t>-37,869.53</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2" w:right="51"/>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5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11,889,531.29</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4,505,602.71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49"/>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305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161,346,278.88</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1,559,398.51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20,565,603.82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158,697,338.04</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2" w:lineRule="auto" w:before="61"/>
        <w:ind w:left="154" w:right="13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69"/>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、净资产收益率及每股收益</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6" w:hRule="exact"/>
        </w:trPr>
        <w:tc>
          <w:tcPr>
            <w:tcW w:w="26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662"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5" w:hRule="exact"/>
        </w:trPr>
        <w:tc>
          <w:tcPr>
            <w:tcW w:w="2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16.67%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0.37</w:t>
            </w:r>
          </w:p>
        </w:tc>
      </w:tr>
      <w:tr>
        <w:trPr>
          <w:trHeight w:val="715"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0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0.22</w:t>
            </w:r>
          </w:p>
        </w:tc>
      </w:tr>
    </w:tbl>
    <w:p>
      <w:pPr>
        <w:spacing w:line="240" w:lineRule="auto" w:before="7"/>
        <w:rPr>
          <w:rFonts w:ascii="Microsoft JhengHei" w:hAnsi="Microsoft JhengHei" w:cs="Microsoft JhengHei" w:eastAsia="Microsoft JhengHei" w:hint="default"/>
          <w:b/>
          <w:bCs/>
          <w:sz w:val="14"/>
          <w:szCs w:val="14"/>
        </w:rPr>
      </w:pPr>
    </w:p>
    <w:p>
      <w:pPr>
        <w:spacing w:line="334" w:lineRule="exact"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、境内外会计准则下会计数据差异</w:t>
      </w:r>
      <w:r>
        <w:rPr>
          <w:rFonts w:ascii="Microsoft JhengHei" w:hAnsi="Microsoft JhengHei" w:cs="Microsoft JhengHei" w:eastAsia="Microsoft JhengHei" w:hint="default"/>
          <w:sz w:val="21"/>
          <w:szCs w:val="21"/>
        </w:rPr>
      </w:r>
    </w:p>
    <w:p>
      <w:pPr>
        <w:spacing w:line="240" w:lineRule="auto" w:before="4"/>
        <w:rPr>
          <w:rFonts w:ascii="Microsoft JhengHei" w:hAnsi="Microsoft JhengHei" w:cs="Microsoft JhengHei" w:eastAsia="Microsoft JhengHei" w:hint="default"/>
          <w:b/>
          <w:bCs/>
          <w:sz w:val="14"/>
          <w:szCs w:val="14"/>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）同时按照国际会计准则与按中国会计准则披露的财务报告中净利润和净资产差异情况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9"/>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20"/>
          <w:szCs w:val="20"/>
        </w:rPr>
      </w:pPr>
    </w:p>
    <w:p>
      <w:pPr>
        <w:spacing w:before="0"/>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）同时按照境外会计准则与按中国会计准则披露的财务报告中净利润和净资产差异情况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980"/>
        </w:sectPr>
      </w:pPr>
    </w:p>
    <w:p>
      <w:pPr>
        <w:spacing w:line="240" w:lineRule="auto" w:before="9"/>
        <w:rPr>
          <w:rFonts w:ascii="宋体" w:hAnsi="宋体" w:cs="宋体" w:eastAsia="宋体" w:hint="default"/>
          <w:sz w:val="24"/>
          <w:szCs w:val="24"/>
        </w:rPr>
      </w:pPr>
    </w:p>
    <w:p>
      <w:pPr>
        <w:spacing w:line="314" w:lineRule="exact" w:before="29"/>
        <w:ind w:left="154" w:right="0"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）境内外会计准则下会计数据差异原因说明，对已经境外审计机构审计的数据进行差异调节的，应注</w:t>
      </w:r>
      <w:r>
        <w:rPr>
          <w:rFonts w:ascii="Microsoft JhengHei" w:hAnsi="Microsoft JhengHei" w:cs="Microsoft JhengHei" w:eastAsia="Microsoft JhengHei" w:hint="default"/>
          <w:b/>
          <w:bCs/>
          <w:spacing w:val="17"/>
          <w:sz w:val="21"/>
          <w:szCs w:val="21"/>
        </w:rPr>
        <w:t> </w:t>
      </w:r>
      <w:r>
        <w:rPr>
          <w:rFonts w:ascii="Microsoft JhengHei" w:hAnsi="Microsoft JhengHei" w:cs="Microsoft JhengHei" w:eastAsia="Microsoft JhengHei" w:hint="default"/>
          <w:b/>
          <w:bCs/>
          <w:spacing w:val="17"/>
          <w:sz w:val="21"/>
          <w:szCs w:val="21"/>
        </w:rPr>
      </w:r>
      <w:r>
        <w:rPr>
          <w:rFonts w:ascii="Microsoft JhengHei" w:hAnsi="Microsoft JhengHei" w:cs="Microsoft JhengHei" w:eastAsia="Microsoft JhengHei" w:hint="default"/>
          <w:b/>
          <w:bCs/>
          <w:sz w:val="21"/>
          <w:szCs w:val="21"/>
        </w:rPr>
        <w:t>明该境外机构的名称</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18"/>
          <w:szCs w:val="18"/>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1"/>
          <w:szCs w:val="21"/>
        </w:rPr>
      </w:pPr>
    </w:p>
    <w:p>
      <w:pPr>
        <w:spacing w:before="0"/>
        <w:ind w:left="154"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after="0"/>
        <w:jc w:val="left"/>
        <w:rPr>
          <w:rFonts w:ascii="Microsoft JhengHei" w:hAnsi="Microsoft JhengHei" w:cs="Microsoft JhengHei" w:eastAsia="Microsoft JhengHei" w:hint="default"/>
          <w:sz w:val="21"/>
          <w:szCs w:val="21"/>
        </w:rPr>
        <w:sectPr>
          <w:pgSz w:w="11910" w:h="16840"/>
          <w:pgMar w:header="747" w:footer="979" w:top="1060" w:bottom="1160" w:left="980" w:right="980"/>
        </w:sectPr>
      </w:pPr>
    </w:p>
    <w:p>
      <w:pPr>
        <w:spacing w:line="240" w:lineRule="auto" w:before="0"/>
        <w:rPr>
          <w:rFonts w:ascii="Microsoft JhengHei" w:hAnsi="Microsoft JhengHei" w:cs="Microsoft JhengHei" w:eastAsia="Microsoft JhengHei" w:hint="default"/>
          <w:b/>
          <w:bCs/>
          <w:sz w:val="20"/>
          <w:szCs w:val="20"/>
        </w:rPr>
      </w:pPr>
    </w:p>
    <w:p>
      <w:pPr>
        <w:pStyle w:val="Heading1"/>
        <w:spacing w:line="240" w:lineRule="auto" w:before="79"/>
        <w:ind w:left="3286" w:right="0"/>
        <w:jc w:val="left"/>
        <w:rPr>
          <w:b w:val="0"/>
          <w:bCs w:val="0"/>
        </w:rPr>
      </w:pPr>
      <w:bookmarkStart w:name="_TOC_250000" w:id="11"/>
      <w:r>
        <w:rPr/>
        <w:t>第十一节 </w:t>
      </w:r>
      <w:r>
        <w:rPr>
          <w:spacing w:val="5"/>
        </w:rPr>
        <w:t> </w:t>
      </w:r>
      <w:r>
        <w:rPr/>
        <w:t>备查文件目录</w:t>
      </w:r>
      <w:bookmarkEnd w:id="11"/>
      <w:r>
        <w:rPr>
          <w:b w:val="0"/>
          <w:bCs w:val="0"/>
        </w:rPr>
      </w:r>
    </w:p>
    <w:p>
      <w:pPr>
        <w:spacing w:line="240" w:lineRule="auto" w:before="4"/>
        <w:rPr>
          <w:rFonts w:ascii="Microsoft JhengHei" w:hAnsi="Microsoft JhengHei" w:cs="Microsoft JhengHei" w:eastAsia="Microsoft JhengHei" w:hint="default"/>
          <w:b/>
          <w:bCs/>
          <w:sz w:val="29"/>
          <w:szCs w:val="29"/>
        </w:rPr>
      </w:pPr>
    </w:p>
    <w:tbl>
      <w:tblPr>
        <w:tblW w:w="0" w:type="auto"/>
        <w:jc w:val="left"/>
        <w:tblInd w:w="169" w:type="dxa"/>
        <w:tblLayout w:type="fixed"/>
        <w:tblCellMar>
          <w:top w:w="0" w:type="dxa"/>
          <w:left w:w="0" w:type="dxa"/>
          <w:bottom w:w="0" w:type="dxa"/>
          <w:right w:w="0" w:type="dxa"/>
        </w:tblCellMar>
        <w:tblLook w:val="01E0"/>
      </w:tblPr>
      <w:tblGrid>
        <w:gridCol w:w="2075"/>
        <w:gridCol w:w="6223"/>
      </w:tblGrid>
      <w:tr>
        <w:trPr>
          <w:trHeight w:val="660" w:hRule="exact"/>
        </w:trPr>
        <w:tc>
          <w:tcPr>
            <w:tcW w:w="2075"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备查文件目录</w:t>
            </w:r>
          </w:p>
        </w:tc>
        <w:tc>
          <w:tcPr>
            <w:tcW w:w="622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 w:right="2"/>
              <w:jc w:val="left"/>
              <w:rPr>
                <w:rFonts w:ascii="宋体" w:hAnsi="宋体" w:cs="宋体" w:eastAsia="宋体" w:hint="default"/>
                <w:sz w:val="21"/>
                <w:szCs w:val="21"/>
              </w:rPr>
            </w:pPr>
            <w:r>
              <w:rPr>
                <w:rFonts w:ascii="宋体" w:hAnsi="宋体" w:cs="宋体" w:eastAsia="宋体" w:hint="default"/>
                <w:spacing w:val="-4"/>
                <w:sz w:val="21"/>
                <w:szCs w:val="21"/>
              </w:rPr>
              <w:t>载有公司法定代表人周亚辉、主管会计工作负责人王立伟、会计机构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负责人马苓月签名并盖章的财务报表。</w:t>
            </w:r>
          </w:p>
        </w:tc>
      </w:tr>
      <w:tr>
        <w:trPr>
          <w:trHeight w:val="347" w:hRule="exact"/>
        </w:trPr>
        <w:tc>
          <w:tcPr>
            <w:tcW w:w="2075"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备查文件目录</w:t>
            </w:r>
          </w:p>
        </w:tc>
        <w:tc>
          <w:tcPr>
            <w:tcW w:w="6223"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载有会计师事务所盖章、注册会计师签名并盖章的审计报告原件。</w:t>
            </w:r>
          </w:p>
        </w:tc>
      </w:tr>
      <w:tr>
        <w:trPr>
          <w:trHeight w:val="659" w:hRule="exact"/>
        </w:trPr>
        <w:tc>
          <w:tcPr>
            <w:tcW w:w="2075"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备查文件目录</w:t>
            </w:r>
          </w:p>
        </w:tc>
        <w:tc>
          <w:tcPr>
            <w:tcW w:w="622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 w:right="4"/>
              <w:jc w:val="left"/>
              <w:rPr>
                <w:rFonts w:ascii="宋体" w:hAnsi="宋体" w:cs="宋体" w:eastAsia="宋体" w:hint="default"/>
                <w:sz w:val="21"/>
                <w:szCs w:val="21"/>
              </w:rPr>
            </w:pPr>
            <w:r>
              <w:rPr>
                <w:rFonts w:ascii="宋体" w:hAnsi="宋体" w:cs="宋体" w:eastAsia="宋体" w:hint="default"/>
                <w:spacing w:val="3"/>
                <w:sz w:val="21"/>
                <w:szCs w:val="21"/>
              </w:rPr>
              <w:t>报告期内在中国证监会指定网站上公开披露过的所有公司文件的正</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本及公告的原稿。</w:t>
            </w:r>
          </w:p>
        </w:tc>
      </w:tr>
    </w:tbl>
    <w:p>
      <w:pPr>
        <w:spacing w:line="260" w:lineRule="exact"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以上备查文件的备至地址：北京昆仑万维科技股份有限公司董事会秘书办公室。</w:t>
      </w:r>
    </w:p>
    <w:sectPr>
      <w:pgSz w:w="11910" w:h="16840"/>
      <w:pgMar w:header="747" w:footer="979" w:top="1060" w:bottom="1160" w:left="9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icrosoft JhengHei">
    <w:altName w:val="Microsoft JhengHei"/>
    <w:charset w:val="0"/>
    <w:family w:val="swiss"/>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3.179993pt;margin-top:795.517944pt;width:6.5pt;height:11pt;mso-position-horizontal-relative:page;mso-position-vertical-relative:page;z-index:-9663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79993pt;margin-top:781.957947pt;width:13pt;height:11pt;mso-position-horizontal-relative:page;mso-position-vertical-relative:page;z-index:-9662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79993pt;margin-top:781.957947pt;width:13pt;height:11pt;mso-position-horizontal-relative:page;mso-position-vertical-relative:page;z-index:-9662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79993pt;margin-top:781.957947pt;width:13pt;height:11pt;mso-position-horizontal-relative:page;mso-position-vertical-relative:page;z-index:-9662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4.179993pt;margin-top:781.957947pt;width:15.5pt;height:11pt;mso-position-horizontal-relative:page;mso-position-vertical-relative:page;z-index:-96620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179993pt;margin-top:781.957947pt;width:17.5pt;height:11pt;mso-position-horizontal-relative:page;mso-position-vertical-relative:page;z-index:-9661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4.179993pt;margin-top:781.957947pt;width:15.5pt;height:11pt;mso-position-horizontal-relative:page;mso-position-vertical-relative:page;z-index:-96616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179993pt;margin-top:781.957947pt;width:17.5pt;height:11pt;mso-position-horizontal-relative:page;mso-position-vertical-relative:page;z-index:-9661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6.160004pt;margin-top:36.325607pt;width:213.55pt;height:11.5pt;mso-position-horizontal-relative:page;mso-position-vertical-relative:page;z-index:-9663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74"/>
      <w:ind w:left="154"/>
    </w:pPr>
    <w:rPr>
      <w:rFonts w:ascii="Microsoft JhengHei" w:hAnsi="Microsoft JhengHei" w:eastAsia="Microsoft JhengHei"/>
      <w:b/>
      <w:bCs/>
      <w:sz w:val="24"/>
      <w:szCs w:val="24"/>
    </w:rPr>
  </w:style>
  <w:style w:styleId="BodyText" w:type="paragraph">
    <w:name w:val="Body Text"/>
    <w:basedOn w:val="Normal"/>
    <w:uiPriority w:val="1"/>
    <w:qFormat/>
    <w:pPr>
      <w:ind w:left="154"/>
    </w:pPr>
    <w:rPr>
      <w:rFonts w:ascii="宋体" w:hAnsi="宋体" w:eastAsia="宋体"/>
      <w:sz w:val="24"/>
      <w:szCs w:val="24"/>
    </w:rPr>
  </w:style>
  <w:style w:styleId="Heading1" w:type="paragraph">
    <w:name w:val="Heading 1"/>
    <w:basedOn w:val="Normal"/>
    <w:uiPriority w:val="1"/>
    <w:qFormat/>
    <w:pPr>
      <w:ind w:left="615"/>
      <w:outlineLvl w:val="1"/>
    </w:pPr>
    <w:rPr>
      <w:rFonts w:ascii="Microsoft JhengHei" w:hAnsi="Microsoft JhengHei" w:eastAsia="Microsoft JhengHei"/>
      <w:b/>
      <w:bCs/>
      <w:sz w:val="32"/>
      <w:szCs w:val="32"/>
    </w:rPr>
  </w:style>
  <w:style w:styleId="Heading2" w:type="paragraph">
    <w:name w:val="Heading 2"/>
    <w:basedOn w:val="Normal"/>
    <w:uiPriority w:val="1"/>
    <w:qFormat/>
    <w:pPr>
      <w:ind w:left="154"/>
      <w:outlineLvl w:val="2"/>
    </w:pPr>
    <w:rPr>
      <w:rFonts w:ascii="Microsoft JhengHei" w:hAnsi="Microsoft JhengHei" w:eastAsia="Microsoft JhengHei"/>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footer" Target="footer2.xml"/><Relationship Id="rId9" Type="http://schemas.openxmlformats.org/officeDocument/2006/relationships/hyperlink" Target="http://www.kunlun.com/" TargetMode="External"/><Relationship Id="rId10" Type="http://schemas.openxmlformats.org/officeDocument/2006/relationships/hyperlink" Target="mailto:ir@kunlun-inc.com" TargetMode="External"/><Relationship Id="rId11" Type="http://schemas.openxmlformats.org/officeDocument/2006/relationships/hyperlink" Target="http://www.cninfo.com.cn/" TargetMode="Externa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footer" Target="footer3.xml"/><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hyperlink" Target="http://www/" TargetMode="External"/><Relationship Id="rId44" Type="http://schemas.openxmlformats.org/officeDocument/2006/relationships/footer" Target="footer4.xml"/><Relationship Id="rId45" Type="http://schemas.openxmlformats.org/officeDocument/2006/relationships/image" Target="media/image32.png"/><Relationship Id="rId46" Type="http://schemas.openxmlformats.org/officeDocument/2006/relationships/hyperlink" Target="http://www.cninfo.c/" TargetMode="External"/><Relationship Id="rId47" Type="http://schemas.openxmlformats.org/officeDocument/2006/relationships/footer" Target="footer5.xml"/><Relationship Id="rId48" Type="http://schemas.openxmlformats.org/officeDocument/2006/relationships/footer" Target="footer6.xml"/><Relationship Id="rId49" Type="http://schemas.openxmlformats.org/officeDocument/2006/relationships/hyperlink" Target="mailto:google-paypal@brothersoft.com" TargetMode="External"/><Relationship Id="rId50" Type="http://schemas.openxmlformats.org/officeDocument/2006/relationships/hyperlink" Target="mailto:payonline@koramgame.com" TargetMode="External"/><Relationship Id="rId51" Type="http://schemas.openxmlformats.org/officeDocument/2006/relationships/hyperlink" Target="mailto:google-jia.liu@kunlun-inc.com" TargetMode="External"/><Relationship Id="rId52" Type="http://schemas.openxmlformats.org/officeDocument/2006/relationships/footer" Target="footer7.xml"/><Relationship Id="rId5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北京昆仑万维科技股份有限公司</dc:creator>
  <dc:title>北京昆仑万维科技股份有限公司2015年年度报告全文</dc:title>
  <dcterms:created xsi:type="dcterms:W3CDTF">2020-05-04T16:59:00Z</dcterms:created>
  <dcterms:modified xsi:type="dcterms:W3CDTF">2020-05-04T16:59:00Z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2016-06-08T00:00:00Z</vt:filetime>
  </property>
  <property fmtid="{D5CDD505-2E9C-101B-9397-08002B2CF9AE}" pid="3" name="Creator">
    <vt:lpwstr>Microsoft® Word 2013</vt:lpwstr>
  </property>
  <property fmtid="{D5CDD505-2E9C-101B-9397-08002B2CF9AE}" pid="4" name="LastSaved">
    <vt:filetime>2020-05-04T00:00:00Z</vt:filetime>
  </property>
</Properties>
</file>